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04825" w14:textId="77777777" w:rsidR="0003596E" w:rsidRPr="00C76630" w:rsidRDefault="0043177F" w:rsidP="00CA3465">
      <w:pPr>
        <w:pStyle w:val="Title"/>
        <w:pBdr>
          <w:bottom w:val="single" w:sz="8" w:space="4" w:color="4F81BD" w:themeColor="accent1"/>
        </w:pBdr>
        <w:spacing w:after="300" w:line="276" w:lineRule="auto"/>
        <w:rPr>
          <w:rFonts w:cs="Arial"/>
          <w:color w:val="17365D" w:themeColor="text2" w:themeShade="BF"/>
          <w:kern w:val="28"/>
          <w:sz w:val="36"/>
          <w:lang w:val="en-US"/>
        </w:rPr>
      </w:pPr>
      <w:r w:rsidRPr="00C76630">
        <w:rPr>
          <w:rFonts w:cs="Arial"/>
          <w:color w:val="17365D" w:themeColor="text2" w:themeShade="BF"/>
          <w:kern w:val="28"/>
          <w:sz w:val="36"/>
          <w:lang w:val="en-US"/>
        </w:rPr>
        <w:t>Bilateral Agreement between the Commonwealth</w:t>
      </w:r>
      <w:r w:rsidR="008D6848" w:rsidRPr="00C76630">
        <w:rPr>
          <w:rFonts w:cs="Arial"/>
          <w:color w:val="17365D" w:themeColor="text2" w:themeShade="BF"/>
          <w:kern w:val="28"/>
          <w:sz w:val="36"/>
          <w:lang w:val="en-US"/>
        </w:rPr>
        <w:t xml:space="preserve"> </w:t>
      </w:r>
      <w:r w:rsidR="00B93636" w:rsidRPr="00C76630">
        <w:rPr>
          <w:rFonts w:cs="Arial"/>
          <w:color w:val="17365D" w:themeColor="text2" w:themeShade="BF"/>
          <w:kern w:val="28"/>
          <w:sz w:val="36"/>
          <w:lang w:val="en-US"/>
        </w:rPr>
        <w:t xml:space="preserve">of Australia </w:t>
      </w:r>
      <w:r w:rsidRPr="00C76630">
        <w:rPr>
          <w:rFonts w:cs="Arial"/>
          <w:color w:val="17365D" w:themeColor="text2" w:themeShade="BF"/>
          <w:kern w:val="28"/>
          <w:sz w:val="36"/>
          <w:lang w:val="en-US"/>
        </w:rPr>
        <w:t xml:space="preserve">and </w:t>
      </w:r>
      <w:r w:rsidR="00D52EA6" w:rsidRPr="00EC734C">
        <w:rPr>
          <w:rFonts w:cs="Arial"/>
          <w:color w:val="17365D" w:themeColor="text2" w:themeShade="BF"/>
          <w:kern w:val="28"/>
          <w:sz w:val="36"/>
          <w:lang w:val="en-US"/>
        </w:rPr>
        <w:t>the</w:t>
      </w:r>
      <w:r w:rsidR="00D52EA6">
        <w:rPr>
          <w:rFonts w:cs="Arial"/>
          <w:color w:val="17365D" w:themeColor="text2" w:themeShade="BF"/>
          <w:kern w:val="28"/>
          <w:sz w:val="36"/>
          <w:lang w:val="en-US"/>
        </w:rPr>
        <w:t xml:space="preserve"> </w:t>
      </w:r>
      <w:r w:rsidR="00814CC8">
        <w:rPr>
          <w:rFonts w:cs="Arial"/>
          <w:color w:val="17365D" w:themeColor="text2" w:themeShade="BF"/>
          <w:kern w:val="28"/>
          <w:sz w:val="36"/>
          <w:lang w:val="en-US"/>
        </w:rPr>
        <w:t>Northern Territory</w:t>
      </w:r>
      <w:r w:rsidR="00551D85">
        <w:rPr>
          <w:rFonts w:cs="Arial"/>
          <w:color w:val="17365D" w:themeColor="text2" w:themeShade="BF"/>
          <w:kern w:val="28"/>
          <w:sz w:val="36"/>
          <w:lang w:val="en-US"/>
        </w:rPr>
        <w:t xml:space="preserve"> on the National </w:t>
      </w:r>
      <w:r w:rsidRPr="00C76630">
        <w:rPr>
          <w:rFonts w:cs="Arial"/>
          <w:color w:val="17365D" w:themeColor="text2" w:themeShade="BF"/>
          <w:kern w:val="28"/>
          <w:sz w:val="36"/>
          <w:lang w:val="en-US"/>
        </w:rPr>
        <w:t>Disability Insurance Scheme</w:t>
      </w:r>
    </w:p>
    <w:p w14:paraId="3F4BB079" w14:textId="77777777" w:rsidR="00213960" w:rsidRDefault="00213960" w:rsidP="00213960">
      <w:pPr>
        <w:rPr>
          <w:rFonts w:cs="Arial"/>
          <w:b/>
          <w:sz w:val="24"/>
          <w:szCs w:val="24"/>
        </w:rPr>
      </w:pPr>
    </w:p>
    <w:p w14:paraId="55BDF264" w14:textId="77777777" w:rsidR="00BD41E6" w:rsidRDefault="00BD41E6" w:rsidP="00CA3465">
      <w:pPr>
        <w:pStyle w:val="Title"/>
        <w:pBdr>
          <w:bottom w:val="single" w:sz="8" w:space="4" w:color="4F81BD" w:themeColor="accent1"/>
        </w:pBdr>
        <w:spacing w:after="300" w:line="276" w:lineRule="auto"/>
        <w:rPr>
          <w:rFonts w:cs="Arial"/>
          <w:color w:val="17365D" w:themeColor="text2" w:themeShade="BF"/>
          <w:kern w:val="28"/>
          <w:sz w:val="36"/>
          <w:lang w:val="en-US"/>
        </w:rPr>
        <w:sectPr w:rsidR="00BD41E6" w:rsidSect="00F4281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7308B766" w14:textId="77777777" w:rsidR="00674FC5" w:rsidRPr="00C76630" w:rsidRDefault="0016441B" w:rsidP="001972B6">
      <w:pPr>
        <w:pStyle w:val="Title"/>
        <w:pBdr>
          <w:bottom w:val="single" w:sz="8" w:space="4" w:color="4F81BD" w:themeColor="accent1"/>
        </w:pBdr>
        <w:spacing w:after="300" w:line="276" w:lineRule="auto"/>
        <w:outlineLvl w:val="0"/>
        <w:rPr>
          <w:rFonts w:cs="Arial"/>
          <w:color w:val="17365D" w:themeColor="text2" w:themeShade="BF"/>
          <w:kern w:val="28"/>
          <w:sz w:val="36"/>
          <w:lang w:val="en-US"/>
        </w:rPr>
      </w:pPr>
      <w:r w:rsidRPr="00C76630">
        <w:rPr>
          <w:rFonts w:cs="Arial"/>
          <w:color w:val="17365D" w:themeColor="text2" w:themeShade="BF"/>
          <w:kern w:val="28"/>
          <w:sz w:val="36"/>
          <w:lang w:val="en-US"/>
        </w:rPr>
        <w:lastRenderedPageBreak/>
        <w:t>S</w:t>
      </w:r>
      <w:r w:rsidR="00CA7D12" w:rsidRPr="00C76630">
        <w:rPr>
          <w:rFonts w:cs="Arial"/>
          <w:color w:val="17365D" w:themeColor="text2" w:themeShade="BF"/>
          <w:kern w:val="28"/>
          <w:sz w:val="36"/>
          <w:lang w:val="en-US"/>
        </w:rPr>
        <w:t>chedule A</w:t>
      </w:r>
      <w:r w:rsidR="001D3A77" w:rsidRPr="00C76630">
        <w:rPr>
          <w:rFonts w:cs="Arial"/>
          <w:color w:val="17365D" w:themeColor="text2" w:themeShade="BF"/>
          <w:kern w:val="28"/>
          <w:sz w:val="36"/>
          <w:lang w:val="en-US"/>
        </w:rPr>
        <w:t>.</w:t>
      </w:r>
      <w:r w:rsidR="00CA7D12" w:rsidRPr="00C76630">
        <w:rPr>
          <w:rFonts w:cs="Arial"/>
          <w:color w:val="17365D" w:themeColor="text2" w:themeShade="BF"/>
          <w:kern w:val="28"/>
          <w:sz w:val="36"/>
          <w:lang w:val="en-US"/>
        </w:rPr>
        <w:t xml:space="preserve"> Financial Contributions</w:t>
      </w:r>
      <w:r w:rsidR="00027DD6" w:rsidRPr="00C76630">
        <w:rPr>
          <w:rFonts w:cs="Arial"/>
          <w:color w:val="17365D" w:themeColor="text2" w:themeShade="BF"/>
          <w:kern w:val="28"/>
          <w:sz w:val="36"/>
          <w:lang w:val="en-US"/>
        </w:rPr>
        <w:t xml:space="preserve"> </w:t>
      </w:r>
    </w:p>
    <w:p w14:paraId="04F6F757" w14:textId="68A71D74" w:rsidR="00445E04" w:rsidRPr="00EB7B6E" w:rsidRDefault="00445E04" w:rsidP="001972B6">
      <w:pPr>
        <w:pStyle w:val="BoldBlueh2"/>
      </w:pPr>
      <w:r w:rsidRPr="006F0E9E">
        <w:t>Commitment</w:t>
      </w:r>
      <w:r w:rsidRPr="00BB3278">
        <w:t xml:space="preserve"> to </w:t>
      </w:r>
      <w:r w:rsidR="003145D0" w:rsidRPr="00BB3278">
        <w:t>s</w:t>
      </w:r>
      <w:r w:rsidRPr="00BB3278">
        <w:t xml:space="preserve">ustainable </w:t>
      </w:r>
      <w:r w:rsidR="003145D0" w:rsidRPr="00BB3278">
        <w:t>g</w:t>
      </w:r>
      <w:r w:rsidRPr="00BB3278">
        <w:t>rowth</w:t>
      </w:r>
      <w:r w:rsidRPr="00EB7B6E">
        <w:t> </w:t>
      </w:r>
    </w:p>
    <w:p w14:paraId="24BDD1F3" w14:textId="7E12ABE3" w:rsidR="00445E04" w:rsidRPr="008F6F2F" w:rsidRDefault="00445E04" w:rsidP="000448B0">
      <w:pPr>
        <w:pStyle w:val="ListParagraph"/>
        <w:numPr>
          <w:ilvl w:val="0"/>
          <w:numId w:val="10"/>
        </w:numPr>
        <w:spacing w:after="120"/>
        <w:ind w:left="357" w:hanging="357"/>
        <w:rPr>
          <w:b/>
          <w:bCs/>
          <w:color w:val="000000" w:themeColor="text1"/>
        </w:rPr>
      </w:pPr>
      <w:r w:rsidRPr="008F6F2F">
        <w:rPr>
          <w:color w:val="000000" w:themeColor="text1"/>
        </w:rPr>
        <w:t xml:space="preserve">Consistent with the commitment set out in the Heads of Agreement on the National Health Reform Agreement, National Disability Insurance Scheme reforms, and Foundational Supports (the Heads of Agreement), the Commonwealth and Northern Territory commit to working together to address the growing </w:t>
      </w:r>
      <w:r w:rsidRPr="000448B0">
        <w:rPr>
          <w:rStyle w:val="BookTitle"/>
          <w:rFonts w:cs="Arial"/>
          <w:i w:val="0"/>
          <w:smallCaps w:val="0"/>
          <w:spacing w:val="0"/>
        </w:rPr>
        <w:t>pressures</w:t>
      </w:r>
      <w:r w:rsidRPr="008F6F2F">
        <w:rPr>
          <w:color w:val="000000" w:themeColor="text1"/>
        </w:rPr>
        <w:t xml:space="preserve"> on the NDIS, to ensure the Scheme can be delivered sustainably into the future. </w:t>
      </w:r>
    </w:p>
    <w:p w14:paraId="3070B26D" w14:textId="4F164765" w:rsidR="00674FC5" w:rsidRPr="000C317C" w:rsidRDefault="00814CC8" w:rsidP="001972B6">
      <w:pPr>
        <w:pStyle w:val="BoldBlueh2"/>
        <w:rPr>
          <w:rStyle w:val="BookTitle"/>
          <w:rFonts w:cs="Arial"/>
          <w:i w:val="0"/>
          <w:smallCaps w:val="0"/>
          <w:spacing w:val="0"/>
        </w:rPr>
      </w:pPr>
      <w:r>
        <w:rPr>
          <w:rStyle w:val="BookTitle"/>
          <w:rFonts w:cs="Arial"/>
          <w:i w:val="0"/>
          <w:smallCaps w:val="0"/>
          <w:spacing w:val="0"/>
        </w:rPr>
        <w:t>Northern Territory</w:t>
      </w:r>
      <w:r w:rsidR="00674FC5" w:rsidRPr="000C317C">
        <w:rPr>
          <w:rStyle w:val="BookTitle"/>
          <w:rFonts w:cs="Arial"/>
          <w:i w:val="0"/>
          <w:smallCaps w:val="0"/>
          <w:spacing w:val="0"/>
        </w:rPr>
        <w:t xml:space="preserve"> </w:t>
      </w:r>
      <w:r w:rsidR="002F553D" w:rsidRPr="000C317C">
        <w:rPr>
          <w:rStyle w:val="BookTitle"/>
          <w:rFonts w:cs="Arial"/>
          <w:i w:val="0"/>
          <w:smallCaps w:val="0"/>
          <w:spacing w:val="0"/>
        </w:rPr>
        <w:t xml:space="preserve">financial </w:t>
      </w:r>
      <w:r w:rsidR="00674FC5" w:rsidRPr="000C317C">
        <w:rPr>
          <w:rStyle w:val="BookTitle"/>
          <w:rFonts w:cs="Arial"/>
          <w:i w:val="0"/>
          <w:smallCaps w:val="0"/>
          <w:spacing w:val="0"/>
        </w:rPr>
        <w:t xml:space="preserve">contributions </w:t>
      </w:r>
    </w:p>
    <w:p w14:paraId="42001BF2" w14:textId="427D2C3D" w:rsidR="0058515D" w:rsidRPr="0058515D" w:rsidRDefault="0058515D" w:rsidP="000448B0">
      <w:pPr>
        <w:pStyle w:val="ListParagraph"/>
        <w:numPr>
          <w:ilvl w:val="0"/>
          <w:numId w:val="10"/>
        </w:numPr>
        <w:spacing w:after="0"/>
        <w:ind w:left="357" w:hanging="357"/>
        <w:contextualSpacing w:val="0"/>
        <w:rPr>
          <w:rStyle w:val="BookTitle"/>
          <w:rFonts w:eastAsiaTheme="majorEastAsia" w:cs="Arial"/>
          <w:b/>
          <w:bCs/>
          <w:i w:val="0"/>
          <w:smallCaps w:val="0"/>
          <w:color w:val="345A8A" w:themeColor="accent1" w:themeShade="B5"/>
          <w:spacing w:val="0"/>
          <w:sz w:val="28"/>
          <w:szCs w:val="32"/>
          <w:lang w:val="en-US"/>
        </w:rPr>
      </w:pPr>
      <w:r w:rsidRPr="0058515D">
        <w:rPr>
          <w:rStyle w:val="BookTitle"/>
          <w:rFonts w:cs="Arial"/>
          <w:i w:val="0"/>
          <w:smallCaps w:val="0"/>
          <w:spacing w:val="0"/>
        </w:rPr>
        <w:t xml:space="preserve">The </w:t>
      </w:r>
      <w:r w:rsidRPr="000448B0">
        <w:rPr>
          <w:rStyle w:val="BookTitle"/>
          <w:rFonts w:eastAsiaTheme="minorEastAsia" w:cs="Arial"/>
          <w:i w:val="0"/>
          <w:iCs/>
          <w:smallCaps w:val="0"/>
          <w:spacing w:val="0"/>
          <w:lang w:eastAsia="en-AU"/>
        </w:rPr>
        <w:t>Northern</w:t>
      </w:r>
      <w:r w:rsidRPr="0058515D">
        <w:rPr>
          <w:rStyle w:val="BookTitle"/>
          <w:rFonts w:cs="Arial"/>
          <w:i w:val="0"/>
          <w:smallCaps w:val="0"/>
          <w:spacing w:val="0"/>
        </w:rPr>
        <w:t xml:space="preserve"> Territory will contribute </w:t>
      </w:r>
      <w:r w:rsidR="00C043F5" w:rsidRPr="0058515D">
        <w:rPr>
          <w:rStyle w:val="BookTitle"/>
          <w:rFonts w:eastAsiaTheme="minorEastAsia" w:cs="Arial"/>
          <w:i w:val="0"/>
          <w:smallCaps w:val="0"/>
          <w:spacing w:val="0"/>
          <w:lang w:eastAsia="en-AU"/>
        </w:rPr>
        <w:t>$128.7</w:t>
      </w:r>
      <w:r w:rsidR="00BA5FEE">
        <w:rPr>
          <w:rStyle w:val="BookTitle"/>
          <w:rFonts w:eastAsiaTheme="minorEastAsia" w:cs="Arial"/>
          <w:i w:val="0"/>
          <w:smallCaps w:val="0"/>
          <w:spacing w:val="0"/>
          <w:lang w:eastAsia="en-AU"/>
        </w:rPr>
        <w:t xml:space="preserve"> million</w:t>
      </w:r>
      <w:r w:rsidR="00C043F5">
        <w:rPr>
          <w:rStyle w:val="BookTitle"/>
          <w:rFonts w:eastAsiaTheme="minorEastAsia" w:cs="Arial"/>
          <w:i w:val="0"/>
          <w:smallCaps w:val="0"/>
          <w:spacing w:val="0"/>
          <w:lang w:eastAsia="en-AU"/>
        </w:rPr>
        <w:t xml:space="preserve"> </w:t>
      </w:r>
      <w:r w:rsidR="00C23906">
        <w:rPr>
          <w:rStyle w:val="BookTitle"/>
          <w:rFonts w:cs="Arial"/>
          <w:i w:val="0"/>
          <w:smallCaps w:val="0"/>
          <w:spacing w:val="0"/>
        </w:rPr>
        <w:t>in 2025-26</w:t>
      </w:r>
      <w:r w:rsidR="004D5D00">
        <w:rPr>
          <w:rStyle w:val="BookTitle"/>
          <w:rFonts w:cs="Arial"/>
          <w:i w:val="0"/>
          <w:smallCaps w:val="0"/>
          <w:spacing w:val="0"/>
        </w:rPr>
        <w:t>.</w:t>
      </w:r>
    </w:p>
    <w:p w14:paraId="193CDFF1" w14:textId="77777777" w:rsidR="0058515D" w:rsidRPr="0058515D" w:rsidRDefault="0058515D" w:rsidP="0058515D">
      <w:pPr>
        <w:pStyle w:val="ListParagraph"/>
        <w:spacing w:after="120"/>
        <w:ind w:left="360"/>
        <w:rPr>
          <w:rStyle w:val="BookTitle"/>
          <w:rFonts w:cs="Arial"/>
          <w:i w:val="0"/>
          <w:smallCaps w:val="0"/>
          <w:spacing w:val="0"/>
        </w:rPr>
      </w:pPr>
    </w:p>
    <w:p w14:paraId="4F67EFE6" w14:textId="2619B4A7" w:rsidR="0058515D" w:rsidRPr="0058515D" w:rsidRDefault="0058515D" w:rsidP="000448B0">
      <w:pPr>
        <w:pStyle w:val="ListParagraph"/>
        <w:numPr>
          <w:ilvl w:val="0"/>
          <w:numId w:val="10"/>
        </w:numPr>
        <w:spacing w:after="0"/>
        <w:ind w:left="357" w:hanging="357"/>
        <w:contextualSpacing w:val="0"/>
        <w:rPr>
          <w:rStyle w:val="BookTitle"/>
          <w:rFonts w:eastAsiaTheme="majorEastAsia" w:cs="Arial"/>
          <w:b/>
          <w:i w:val="0"/>
          <w:smallCaps w:val="0"/>
          <w:color w:val="345A8A" w:themeColor="accent1" w:themeShade="B5"/>
          <w:spacing w:val="0"/>
          <w:sz w:val="28"/>
          <w:szCs w:val="32"/>
          <w:lang w:val="en-US"/>
        </w:rPr>
      </w:pPr>
      <w:r w:rsidRPr="0058515D">
        <w:rPr>
          <w:rStyle w:val="BookTitle"/>
          <w:rFonts w:cs="Arial"/>
          <w:i w:val="0"/>
          <w:smallCaps w:val="0"/>
          <w:spacing w:val="0"/>
        </w:rPr>
        <w:t xml:space="preserve">The </w:t>
      </w:r>
      <w:r w:rsidR="00C043F5" w:rsidRPr="0058515D">
        <w:rPr>
          <w:rStyle w:val="BookTitle"/>
          <w:rFonts w:eastAsiaTheme="minorEastAsia" w:cs="Arial"/>
          <w:i w:val="0"/>
          <w:smallCaps w:val="0"/>
          <w:spacing w:val="0"/>
          <w:lang w:eastAsia="en-AU"/>
        </w:rPr>
        <w:t>$128.7</w:t>
      </w:r>
      <w:r w:rsidR="00BA5FEE">
        <w:rPr>
          <w:rStyle w:val="BookTitle"/>
          <w:rFonts w:eastAsiaTheme="minorEastAsia" w:cs="Arial"/>
          <w:i w:val="0"/>
          <w:smallCaps w:val="0"/>
          <w:spacing w:val="0"/>
          <w:lang w:eastAsia="en-AU"/>
        </w:rPr>
        <w:t xml:space="preserve"> million</w:t>
      </w:r>
      <w:r w:rsidRPr="0058515D">
        <w:rPr>
          <w:rStyle w:val="BookTitle"/>
          <w:rFonts w:cs="Arial"/>
          <w:i w:val="0"/>
          <w:smallCaps w:val="0"/>
          <w:spacing w:val="0"/>
        </w:rPr>
        <w:t xml:space="preserve"> includes a </w:t>
      </w:r>
      <w:r w:rsidR="00BF532D">
        <w:rPr>
          <w:rStyle w:val="BookTitle"/>
          <w:rFonts w:cs="Arial"/>
          <w:i w:val="0"/>
          <w:smallCaps w:val="0"/>
          <w:spacing w:val="0"/>
        </w:rPr>
        <w:t>$4.6 million</w:t>
      </w:r>
      <w:r w:rsidR="00816A33">
        <w:rPr>
          <w:rStyle w:val="BookTitle"/>
          <w:rFonts w:cs="Arial"/>
          <w:i w:val="0"/>
          <w:smallCaps w:val="0"/>
          <w:spacing w:val="0"/>
        </w:rPr>
        <w:t xml:space="preserve"> </w:t>
      </w:r>
      <w:r w:rsidRPr="0058515D">
        <w:rPr>
          <w:rStyle w:val="BookTitle"/>
          <w:rFonts w:cs="Arial"/>
          <w:i w:val="0"/>
          <w:smallCaps w:val="0"/>
          <w:spacing w:val="0"/>
        </w:rPr>
        <w:t xml:space="preserve">Budget Neutral Adjustment as a result of changes to Commonwealth and State roles and </w:t>
      </w:r>
      <w:r w:rsidRPr="000448B0">
        <w:rPr>
          <w:rStyle w:val="BookTitle"/>
          <w:rFonts w:eastAsiaTheme="minorEastAsia" w:cs="Arial"/>
          <w:i w:val="0"/>
          <w:smallCaps w:val="0"/>
          <w:spacing w:val="0"/>
          <w:lang w:eastAsia="en-AU"/>
        </w:rPr>
        <w:t>responsibilities</w:t>
      </w:r>
      <w:r w:rsidRPr="0058515D">
        <w:rPr>
          <w:rStyle w:val="BookTitle"/>
          <w:rFonts w:cs="Arial"/>
          <w:i w:val="0"/>
          <w:smallCaps w:val="0"/>
          <w:spacing w:val="0"/>
        </w:rPr>
        <w:t xml:space="preserve"> under Schedule F of the 2011 National Health Reform Agreement. The Budget Neutral Adjustment will be escalated at 3.5 per cent per annum.  </w:t>
      </w:r>
    </w:p>
    <w:p w14:paraId="616B321B" w14:textId="77777777" w:rsidR="0058515D" w:rsidRPr="0058515D" w:rsidRDefault="0058515D" w:rsidP="0058515D">
      <w:pPr>
        <w:pStyle w:val="ListParagraph"/>
        <w:spacing w:after="120"/>
        <w:ind w:left="360"/>
        <w:rPr>
          <w:rStyle w:val="BookTitle"/>
          <w:rFonts w:cs="Arial"/>
          <w:i w:val="0"/>
          <w:smallCaps w:val="0"/>
          <w:spacing w:val="0"/>
        </w:rPr>
      </w:pPr>
    </w:p>
    <w:p w14:paraId="45DF0D8B" w14:textId="0330DC18" w:rsidR="00B32AD1" w:rsidRPr="009D1009" w:rsidRDefault="0058515D" w:rsidP="00F308CD">
      <w:pPr>
        <w:pStyle w:val="ListParagraph"/>
        <w:numPr>
          <w:ilvl w:val="0"/>
          <w:numId w:val="10"/>
        </w:numPr>
        <w:spacing w:after="0"/>
        <w:ind w:left="357" w:hanging="357"/>
        <w:contextualSpacing w:val="0"/>
        <w:rPr>
          <w:rStyle w:val="BookTitle"/>
          <w:rFonts w:eastAsiaTheme="majorEastAsia" w:cs="Arial"/>
          <w:b/>
          <w:i w:val="0"/>
          <w:smallCaps w:val="0"/>
          <w:color w:val="345A8A" w:themeColor="accent1" w:themeShade="B5"/>
          <w:spacing w:val="0"/>
          <w:sz w:val="28"/>
          <w:szCs w:val="32"/>
          <w:lang w:val="en-US"/>
        </w:rPr>
      </w:pPr>
      <w:r w:rsidRPr="0058515D">
        <w:rPr>
          <w:rStyle w:val="BookTitle"/>
          <w:rFonts w:cs="Arial"/>
          <w:i w:val="0"/>
          <w:smallCaps w:val="0"/>
          <w:spacing w:val="0"/>
        </w:rPr>
        <w:t xml:space="preserve">The remaining contribution of </w:t>
      </w:r>
      <w:r w:rsidR="00AF5254">
        <w:rPr>
          <w:rStyle w:val="BookTitle"/>
          <w:rFonts w:cs="Arial"/>
          <w:i w:val="0"/>
          <w:smallCaps w:val="0"/>
          <w:spacing w:val="0"/>
        </w:rPr>
        <w:t>$124</w:t>
      </w:r>
      <w:r w:rsidR="00D03975">
        <w:rPr>
          <w:rStyle w:val="BookTitle"/>
          <w:rFonts w:cs="Arial"/>
          <w:i w:val="0"/>
          <w:smallCaps w:val="0"/>
          <w:spacing w:val="0"/>
        </w:rPr>
        <w:t xml:space="preserve"> </w:t>
      </w:r>
      <w:r w:rsidR="00EA3277">
        <w:rPr>
          <w:rStyle w:val="BookTitle"/>
          <w:rFonts w:cs="Arial"/>
          <w:i w:val="0"/>
          <w:smallCaps w:val="0"/>
          <w:spacing w:val="0"/>
        </w:rPr>
        <w:t xml:space="preserve">million </w:t>
      </w:r>
      <w:r w:rsidRPr="0058515D">
        <w:rPr>
          <w:rStyle w:val="BookTitle"/>
          <w:rFonts w:cs="Arial"/>
          <w:i w:val="0"/>
          <w:smallCaps w:val="0"/>
          <w:spacing w:val="0"/>
        </w:rPr>
        <w:t xml:space="preserve">in </w:t>
      </w:r>
      <w:r w:rsidR="00D03975">
        <w:rPr>
          <w:rStyle w:val="BookTitle"/>
          <w:rFonts w:cs="Arial"/>
          <w:i w:val="0"/>
          <w:smallCaps w:val="0"/>
          <w:spacing w:val="0"/>
        </w:rPr>
        <w:t>202</w:t>
      </w:r>
      <w:r w:rsidR="00D93F60">
        <w:rPr>
          <w:rStyle w:val="BookTitle"/>
          <w:rFonts w:cs="Arial"/>
          <w:i w:val="0"/>
          <w:smallCaps w:val="0"/>
          <w:spacing w:val="0"/>
        </w:rPr>
        <w:t>5-26</w:t>
      </w:r>
      <w:r w:rsidRPr="0058515D">
        <w:rPr>
          <w:rStyle w:val="BookTitle"/>
          <w:rFonts w:cs="Arial"/>
          <w:i w:val="0"/>
          <w:smallCaps w:val="0"/>
          <w:spacing w:val="0"/>
        </w:rPr>
        <w:t xml:space="preserve"> will be escalated </w:t>
      </w:r>
      <w:r w:rsidR="00D93F60">
        <w:rPr>
          <w:rStyle w:val="BookTitle"/>
          <w:rFonts w:cs="Arial"/>
          <w:i w:val="0"/>
          <w:smallCaps w:val="0"/>
          <w:spacing w:val="0"/>
        </w:rPr>
        <w:t>at a fixed rate of 4.0 per cent per annum until (and including</w:t>
      </w:r>
      <w:r w:rsidR="00DE6DA5">
        <w:rPr>
          <w:rStyle w:val="BookTitle"/>
          <w:rFonts w:cs="Arial"/>
          <w:i w:val="0"/>
          <w:smallCaps w:val="0"/>
          <w:spacing w:val="0"/>
        </w:rPr>
        <w:t>) 2027-28.</w:t>
      </w:r>
      <w:r w:rsidR="000448B0">
        <w:rPr>
          <w:rStyle w:val="BookTitle"/>
          <w:rFonts w:cs="Arial"/>
          <w:i w:val="0"/>
          <w:smallCaps w:val="0"/>
          <w:spacing w:val="0"/>
        </w:rPr>
        <w:br/>
      </w:r>
    </w:p>
    <w:p w14:paraId="08802EAF" w14:textId="1B91DD2F" w:rsidR="0058515D" w:rsidRPr="00B32AD1" w:rsidRDefault="0058515D" w:rsidP="00F308CD">
      <w:pPr>
        <w:pStyle w:val="ListParagraph"/>
        <w:numPr>
          <w:ilvl w:val="0"/>
          <w:numId w:val="10"/>
        </w:numPr>
        <w:spacing w:after="0"/>
        <w:ind w:left="357" w:hanging="357"/>
        <w:contextualSpacing w:val="0"/>
        <w:rPr>
          <w:rStyle w:val="BookTitle"/>
          <w:rFonts w:cs="Arial"/>
          <w:i w:val="0"/>
          <w:smallCaps w:val="0"/>
          <w:spacing w:val="0"/>
        </w:rPr>
      </w:pPr>
      <w:r w:rsidRPr="00F308CD">
        <w:rPr>
          <w:rStyle w:val="BookTitle"/>
          <w:rFonts w:eastAsiaTheme="minorEastAsia" w:cs="Arial"/>
          <w:i w:val="0"/>
          <w:iCs/>
          <w:smallCaps w:val="0"/>
          <w:spacing w:val="0"/>
          <w:lang w:eastAsia="en-AU"/>
        </w:rPr>
        <w:t>Table</w:t>
      </w:r>
      <w:r w:rsidRPr="00B32AD1">
        <w:rPr>
          <w:rStyle w:val="BookTitle"/>
          <w:rFonts w:cs="Arial"/>
          <w:i w:val="0"/>
          <w:smallCaps w:val="0"/>
          <w:spacing w:val="0"/>
        </w:rPr>
        <w:t xml:space="preserve"> 1 outlines the Northern Territory’s financial contribution each year from 2019-20 to 2027-28</w:t>
      </w:r>
      <w:r w:rsidR="00214377" w:rsidRPr="00B32AD1">
        <w:rPr>
          <w:rStyle w:val="BookTitle"/>
          <w:rFonts w:cs="Arial"/>
          <w:i w:val="0"/>
          <w:smallCaps w:val="0"/>
          <w:spacing w:val="0"/>
        </w:rPr>
        <w:t xml:space="preserve"> (inclusive)</w:t>
      </w:r>
      <w:r w:rsidRPr="00B32AD1">
        <w:rPr>
          <w:rStyle w:val="BookTitle"/>
          <w:rFonts w:cs="Arial"/>
          <w:i w:val="0"/>
          <w:smallCaps w:val="0"/>
          <w:spacing w:val="0"/>
        </w:rPr>
        <w:t>.</w:t>
      </w:r>
    </w:p>
    <w:p w14:paraId="2D056E37" w14:textId="77777777" w:rsidR="0058515D" w:rsidRDefault="0058515D" w:rsidP="0058515D">
      <w:pPr>
        <w:pStyle w:val="Caption"/>
        <w:keepNext/>
      </w:pPr>
    </w:p>
    <w:p w14:paraId="4461F924" w14:textId="77777777" w:rsidR="0058515D" w:rsidRPr="002519B8" w:rsidRDefault="0058515D" w:rsidP="002519B8">
      <w:pPr>
        <w:rPr>
          <w:b/>
          <w:bCs/>
        </w:rPr>
      </w:pPr>
      <w:r w:rsidRPr="002519B8">
        <w:rPr>
          <w:b/>
          <w:bCs/>
        </w:rPr>
        <w:t xml:space="preserve">TABLE </w:t>
      </w:r>
      <w:r w:rsidRPr="002519B8">
        <w:rPr>
          <w:b/>
          <w:bCs/>
        </w:rPr>
        <w:fldChar w:fldCharType="begin"/>
      </w:r>
      <w:r w:rsidRPr="002519B8">
        <w:rPr>
          <w:b/>
          <w:bCs/>
        </w:rPr>
        <w:instrText xml:space="preserve"> SEQ Table \* ARABIC </w:instrText>
      </w:r>
      <w:r w:rsidRPr="002519B8">
        <w:rPr>
          <w:b/>
          <w:bCs/>
        </w:rPr>
        <w:fldChar w:fldCharType="separate"/>
      </w:r>
      <w:r w:rsidRPr="002519B8">
        <w:rPr>
          <w:b/>
          <w:bCs/>
        </w:rPr>
        <w:t>1</w:t>
      </w:r>
      <w:r w:rsidRPr="002519B8">
        <w:rPr>
          <w:b/>
          <w:bCs/>
        </w:rPr>
        <w:fldChar w:fldCharType="end"/>
      </w:r>
      <w:r w:rsidRPr="002519B8">
        <w:rPr>
          <w:b/>
          <w:bCs/>
        </w:rPr>
        <w:t>: THE NORTHERN TERRITORY CONTRIBUTIONS</w:t>
      </w:r>
    </w:p>
    <w:tbl>
      <w:tblPr>
        <w:tblStyle w:val="TableGrid"/>
        <w:tblW w:w="3435" w:type="dxa"/>
        <w:tblLook w:val="04A0" w:firstRow="1" w:lastRow="0" w:firstColumn="1" w:lastColumn="0" w:noHBand="0" w:noVBand="1"/>
        <w:tblCaption w:val="Table 1: the Northern Territory Contributions "/>
        <w:tblDescription w:val="The Northern Territory's contributions to the National Disability Insurance Scheme, in millions, from the year 2019-20 until 2027-28. "/>
      </w:tblPr>
      <w:tblGrid>
        <w:gridCol w:w="1545"/>
        <w:gridCol w:w="1890"/>
      </w:tblGrid>
      <w:tr w:rsidR="0058515D" w14:paraId="74B318CF" w14:textId="77777777" w:rsidTr="620A7B49">
        <w:trPr>
          <w:cantSplit/>
          <w:trHeight w:val="438"/>
          <w:tblHeader/>
        </w:trPr>
        <w:tc>
          <w:tcPr>
            <w:tcW w:w="1545" w:type="dxa"/>
            <w:tcBorders>
              <w:top w:val="single" w:sz="4" w:space="0" w:color="auto"/>
              <w:left w:val="single" w:sz="4" w:space="0" w:color="auto"/>
              <w:bottom w:val="single" w:sz="4" w:space="0" w:color="auto"/>
              <w:right w:val="single" w:sz="4" w:space="0" w:color="auto"/>
            </w:tcBorders>
            <w:vAlign w:val="center"/>
            <w:hideMark/>
          </w:tcPr>
          <w:p w14:paraId="7D9FA6A7" w14:textId="77777777" w:rsidR="0058515D" w:rsidRPr="0058515D" w:rsidRDefault="0058515D" w:rsidP="0058515D">
            <w:pPr>
              <w:spacing w:after="120" w:line="276" w:lineRule="auto"/>
              <w:jc w:val="center"/>
              <w:rPr>
                <w:rStyle w:val="BookTitle"/>
                <w:rFonts w:eastAsiaTheme="minorEastAsia" w:cs="Arial"/>
                <w:b/>
                <w:bCs/>
                <w:i w:val="0"/>
                <w:smallCaps w:val="0"/>
                <w:spacing w:val="0"/>
                <w:lang w:eastAsia="en-AU"/>
              </w:rPr>
            </w:pPr>
            <w:r w:rsidRPr="0058515D">
              <w:rPr>
                <w:rStyle w:val="BookTitle"/>
                <w:rFonts w:eastAsiaTheme="minorEastAsia" w:cs="Arial"/>
                <w:b/>
                <w:bCs/>
                <w:i w:val="0"/>
                <w:smallCaps w:val="0"/>
                <w:spacing w:val="0"/>
                <w:lang w:eastAsia="en-AU"/>
              </w:rPr>
              <w:t>Year</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0C946EE" w14:textId="77777777" w:rsidR="0058515D" w:rsidRPr="0058515D" w:rsidRDefault="0058515D" w:rsidP="0058515D">
            <w:pPr>
              <w:spacing w:after="120" w:line="276" w:lineRule="auto"/>
              <w:jc w:val="center"/>
              <w:rPr>
                <w:rStyle w:val="BookTitle"/>
                <w:rFonts w:eastAsiaTheme="minorEastAsia" w:cs="Arial"/>
                <w:i w:val="0"/>
                <w:smallCaps w:val="0"/>
                <w:spacing w:val="0"/>
                <w:lang w:eastAsia="en-AU"/>
              </w:rPr>
            </w:pPr>
            <w:r w:rsidRPr="0058515D">
              <w:rPr>
                <w:rStyle w:val="BookTitle"/>
                <w:rFonts w:eastAsiaTheme="minorEastAsia" w:cs="Arial"/>
                <w:b/>
                <w:bCs/>
                <w:i w:val="0"/>
                <w:smallCaps w:val="0"/>
                <w:spacing w:val="0"/>
                <w:lang w:eastAsia="en-AU"/>
              </w:rPr>
              <w:t>Total (millions)</w:t>
            </w:r>
          </w:p>
        </w:tc>
      </w:tr>
      <w:tr w:rsidR="0058515D" w14:paraId="49F17116" w14:textId="77777777" w:rsidTr="620A7B49">
        <w:tc>
          <w:tcPr>
            <w:tcW w:w="1545" w:type="dxa"/>
            <w:tcBorders>
              <w:top w:val="single" w:sz="4" w:space="0" w:color="auto"/>
              <w:left w:val="single" w:sz="4" w:space="0" w:color="auto"/>
              <w:bottom w:val="single" w:sz="4" w:space="0" w:color="auto"/>
              <w:right w:val="single" w:sz="4" w:space="0" w:color="auto"/>
            </w:tcBorders>
            <w:hideMark/>
          </w:tcPr>
          <w:p w14:paraId="15CBC340" w14:textId="77777777" w:rsidR="0058515D" w:rsidRPr="0058515D" w:rsidRDefault="0058515D" w:rsidP="0058515D">
            <w:pPr>
              <w:spacing w:after="120" w:line="276" w:lineRule="auto"/>
              <w:jc w:val="center"/>
              <w:rPr>
                <w:rStyle w:val="BookTitle"/>
                <w:rFonts w:eastAsiaTheme="minorEastAsia" w:cs="Arial"/>
                <w:b/>
                <w:bCs/>
                <w:i w:val="0"/>
                <w:smallCaps w:val="0"/>
                <w:spacing w:val="0"/>
                <w:lang w:eastAsia="en-AU"/>
              </w:rPr>
            </w:pPr>
            <w:r w:rsidRPr="0058515D">
              <w:rPr>
                <w:rStyle w:val="BookTitle"/>
                <w:rFonts w:eastAsiaTheme="minorEastAsia" w:cs="Arial"/>
                <w:b/>
                <w:bCs/>
                <w:i w:val="0"/>
                <w:smallCaps w:val="0"/>
                <w:spacing w:val="0"/>
                <w:lang w:eastAsia="en-AU"/>
              </w:rPr>
              <w:t>2019-20</w:t>
            </w:r>
          </w:p>
        </w:tc>
        <w:tc>
          <w:tcPr>
            <w:tcW w:w="1890" w:type="dxa"/>
            <w:tcBorders>
              <w:top w:val="single" w:sz="4" w:space="0" w:color="auto"/>
              <w:left w:val="single" w:sz="4" w:space="0" w:color="auto"/>
              <w:bottom w:val="single" w:sz="4" w:space="0" w:color="auto"/>
              <w:right w:val="single" w:sz="4" w:space="0" w:color="auto"/>
            </w:tcBorders>
            <w:hideMark/>
          </w:tcPr>
          <w:p w14:paraId="450E2014" w14:textId="77777777" w:rsidR="0058515D" w:rsidRPr="0058515D" w:rsidRDefault="0058515D" w:rsidP="0058515D">
            <w:pPr>
              <w:spacing w:after="120" w:line="276" w:lineRule="auto"/>
              <w:jc w:val="center"/>
              <w:rPr>
                <w:rStyle w:val="BookTitle"/>
                <w:rFonts w:eastAsiaTheme="minorEastAsia" w:cs="Arial"/>
                <w:i w:val="0"/>
                <w:smallCaps w:val="0"/>
                <w:spacing w:val="0"/>
                <w:lang w:eastAsia="en-AU"/>
              </w:rPr>
            </w:pPr>
            <w:r w:rsidRPr="0058515D">
              <w:rPr>
                <w:rStyle w:val="BookTitle"/>
                <w:rFonts w:eastAsiaTheme="minorEastAsia" w:cs="Arial"/>
                <w:i w:val="0"/>
                <w:smallCaps w:val="0"/>
                <w:spacing w:val="0"/>
                <w:lang w:eastAsia="en-AU"/>
              </w:rPr>
              <w:t>$103.6</w:t>
            </w:r>
          </w:p>
        </w:tc>
      </w:tr>
      <w:tr w:rsidR="0058515D" w14:paraId="22DD2B6F" w14:textId="77777777" w:rsidTr="620A7B49">
        <w:tc>
          <w:tcPr>
            <w:tcW w:w="1545" w:type="dxa"/>
            <w:tcBorders>
              <w:top w:val="single" w:sz="4" w:space="0" w:color="auto"/>
              <w:left w:val="single" w:sz="4" w:space="0" w:color="auto"/>
              <w:bottom w:val="single" w:sz="4" w:space="0" w:color="auto"/>
              <w:right w:val="single" w:sz="4" w:space="0" w:color="auto"/>
            </w:tcBorders>
            <w:hideMark/>
          </w:tcPr>
          <w:p w14:paraId="4E8C4051" w14:textId="77777777" w:rsidR="0058515D" w:rsidRPr="0058515D" w:rsidRDefault="0058515D" w:rsidP="0058515D">
            <w:pPr>
              <w:spacing w:after="120" w:line="276" w:lineRule="auto"/>
              <w:jc w:val="center"/>
              <w:rPr>
                <w:rStyle w:val="BookTitle"/>
                <w:rFonts w:eastAsiaTheme="minorEastAsia" w:cs="Arial"/>
                <w:b/>
                <w:bCs/>
                <w:i w:val="0"/>
                <w:smallCaps w:val="0"/>
                <w:spacing w:val="0"/>
                <w:lang w:eastAsia="en-AU"/>
              </w:rPr>
            </w:pPr>
            <w:r w:rsidRPr="0058515D">
              <w:rPr>
                <w:rStyle w:val="BookTitle"/>
                <w:rFonts w:eastAsiaTheme="minorEastAsia" w:cs="Arial"/>
                <w:b/>
                <w:bCs/>
                <w:i w:val="0"/>
                <w:smallCaps w:val="0"/>
                <w:spacing w:val="0"/>
                <w:lang w:eastAsia="en-AU"/>
              </w:rPr>
              <w:t>2020-21</w:t>
            </w:r>
          </w:p>
        </w:tc>
        <w:tc>
          <w:tcPr>
            <w:tcW w:w="1890" w:type="dxa"/>
            <w:tcBorders>
              <w:top w:val="single" w:sz="4" w:space="0" w:color="auto"/>
              <w:left w:val="single" w:sz="4" w:space="0" w:color="auto"/>
              <w:bottom w:val="single" w:sz="4" w:space="0" w:color="auto"/>
              <w:right w:val="single" w:sz="4" w:space="0" w:color="auto"/>
            </w:tcBorders>
            <w:hideMark/>
          </w:tcPr>
          <w:p w14:paraId="758C4FC5" w14:textId="77777777" w:rsidR="0058515D" w:rsidRPr="0058515D" w:rsidRDefault="0058515D" w:rsidP="0058515D">
            <w:pPr>
              <w:spacing w:after="120" w:line="276" w:lineRule="auto"/>
              <w:jc w:val="center"/>
              <w:rPr>
                <w:rStyle w:val="BookTitle"/>
                <w:rFonts w:eastAsiaTheme="minorEastAsia" w:cs="Arial"/>
                <w:i w:val="0"/>
                <w:smallCaps w:val="0"/>
                <w:spacing w:val="0"/>
                <w:lang w:eastAsia="en-AU"/>
              </w:rPr>
            </w:pPr>
            <w:r w:rsidRPr="0058515D">
              <w:rPr>
                <w:rStyle w:val="BookTitle"/>
                <w:rFonts w:eastAsiaTheme="minorEastAsia" w:cs="Arial"/>
                <w:i w:val="0"/>
                <w:smallCaps w:val="0"/>
                <w:spacing w:val="0"/>
                <w:lang w:eastAsia="en-AU"/>
              </w:rPr>
              <w:t>$107.7</w:t>
            </w:r>
          </w:p>
        </w:tc>
      </w:tr>
      <w:tr w:rsidR="0058515D" w14:paraId="026EE540" w14:textId="77777777" w:rsidTr="620A7B49">
        <w:tc>
          <w:tcPr>
            <w:tcW w:w="1545" w:type="dxa"/>
            <w:tcBorders>
              <w:top w:val="single" w:sz="4" w:space="0" w:color="auto"/>
              <w:left w:val="single" w:sz="4" w:space="0" w:color="auto"/>
              <w:bottom w:val="single" w:sz="4" w:space="0" w:color="auto"/>
              <w:right w:val="single" w:sz="4" w:space="0" w:color="auto"/>
            </w:tcBorders>
            <w:hideMark/>
          </w:tcPr>
          <w:p w14:paraId="19D80656" w14:textId="77777777" w:rsidR="0058515D" w:rsidRPr="0058515D" w:rsidRDefault="0058515D" w:rsidP="0058515D">
            <w:pPr>
              <w:spacing w:after="120" w:line="276" w:lineRule="auto"/>
              <w:jc w:val="center"/>
              <w:rPr>
                <w:rStyle w:val="BookTitle"/>
                <w:rFonts w:eastAsiaTheme="minorEastAsia" w:cs="Arial"/>
                <w:b/>
                <w:bCs/>
                <w:i w:val="0"/>
                <w:smallCaps w:val="0"/>
                <w:spacing w:val="0"/>
                <w:lang w:eastAsia="en-AU"/>
              </w:rPr>
            </w:pPr>
            <w:r w:rsidRPr="0058515D">
              <w:rPr>
                <w:rStyle w:val="BookTitle"/>
                <w:rFonts w:eastAsiaTheme="minorEastAsia" w:cs="Arial"/>
                <w:b/>
                <w:bCs/>
                <w:i w:val="0"/>
                <w:smallCaps w:val="0"/>
                <w:spacing w:val="0"/>
                <w:lang w:eastAsia="en-AU"/>
              </w:rPr>
              <w:t>2021-22</w:t>
            </w:r>
          </w:p>
        </w:tc>
        <w:tc>
          <w:tcPr>
            <w:tcW w:w="1890" w:type="dxa"/>
            <w:tcBorders>
              <w:top w:val="single" w:sz="4" w:space="0" w:color="auto"/>
              <w:left w:val="single" w:sz="4" w:space="0" w:color="auto"/>
              <w:bottom w:val="single" w:sz="4" w:space="0" w:color="auto"/>
              <w:right w:val="single" w:sz="4" w:space="0" w:color="auto"/>
            </w:tcBorders>
            <w:hideMark/>
          </w:tcPr>
          <w:p w14:paraId="0F77CFE3" w14:textId="77777777" w:rsidR="0058515D" w:rsidRPr="0058515D" w:rsidRDefault="0058515D" w:rsidP="0058515D">
            <w:pPr>
              <w:spacing w:after="120" w:line="276" w:lineRule="auto"/>
              <w:jc w:val="center"/>
              <w:rPr>
                <w:rStyle w:val="BookTitle"/>
                <w:rFonts w:eastAsiaTheme="minorEastAsia" w:cs="Arial"/>
                <w:i w:val="0"/>
                <w:smallCaps w:val="0"/>
                <w:spacing w:val="0"/>
                <w:lang w:eastAsia="en-AU"/>
              </w:rPr>
            </w:pPr>
            <w:r w:rsidRPr="0058515D">
              <w:rPr>
                <w:rStyle w:val="BookTitle"/>
                <w:rFonts w:eastAsiaTheme="minorEastAsia" w:cs="Arial"/>
                <w:i w:val="0"/>
                <w:smallCaps w:val="0"/>
                <w:spacing w:val="0"/>
                <w:lang w:eastAsia="en-AU"/>
              </w:rPr>
              <w:t>$112.0</w:t>
            </w:r>
          </w:p>
        </w:tc>
      </w:tr>
      <w:tr w:rsidR="0058515D" w14:paraId="7FDF61E5" w14:textId="77777777" w:rsidTr="620A7B49">
        <w:tc>
          <w:tcPr>
            <w:tcW w:w="1545" w:type="dxa"/>
            <w:tcBorders>
              <w:top w:val="single" w:sz="4" w:space="0" w:color="auto"/>
              <w:left w:val="single" w:sz="4" w:space="0" w:color="auto"/>
              <w:bottom w:val="single" w:sz="4" w:space="0" w:color="auto"/>
              <w:right w:val="single" w:sz="4" w:space="0" w:color="auto"/>
            </w:tcBorders>
            <w:hideMark/>
          </w:tcPr>
          <w:p w14:paraId="735D7B0C" w14:textId="77777777" w:rsidR="0058515D" w:rsidRPr="0058515D" w:rsidRDefault="0058515D" w:rsidP="0058515D">
            <w:pPr>
              <w:spacing w:after="120" w:line="276" w:lineRule="auto"/>
              <w:jc w:val="center"/>
              <w:rPr>
                <w:rStyle w:val="BookTitle"/>
                <w:rFonts w:eastAsiaTheme="minorEastAsia" w:cs="Arial"/>
                <w:b/>
                <w:bCs/>
                <w:i w:val="0"/>
                <w:smallCaps w:val="0"/>
                <w:spacing w:val="0"/>
                <w:lang w:eastAsia="en-AU"/>
              </w:rPr>
            </w:pPr>
            <w:r w:rsidRPr="0058515D">
              <w:rPr>
                <w:rStyle w:val="BookTitle"/>
                <w:rFonts w:eastAsiaTheme="minorEastAsia" w:cs="Arial"/>
                <w:b/>
                <w:bCs/>
                <w:i w:val="0"/>
                <w:smallCaps w:val="0"/>
                <w:spacing w:val="0"/>
                <w:lang w:eastAsia="en-AU"/>
              </w:rPr>
              <w:t>2022-23</w:t>
            </w:r>
          </w:p>
        </w:tc>
        <w:tc>
          <w:tcPr>
            <w:tcW w:w="1890" w:type="dxa"/>
            <w:tcBorders>
              <w:top w:val="single" w:sz="4" w:space="0" w:color="auto"/>
              <w:left w:val="single" w:sz="4" w:space="0" w:color="auto"/>
              <w:bottom w:val="single" w:sz="4" w:space="0" w:color="auto"/>
              <w:right w:val="single" w:sz="4" w:space="0" w:color="auto"/>
            </w:tcBorders>
            <w:hideMark/>
          </w:tcPr>
          <w:p w14:paraId="64468168" w14:textId="77777777" w:rsidR="0058515D" w:rsidRPr="0058515D" w:rsidRDefault="0058515D" w:rsidP="0058515D">
            <w:pPr>
              <w:spacing w:after="120" w:line="276" w:lineRule="auto"/>
              <w:jc w:val="center"/>
              <w:rPr>
                <w:rStyle w:val="BookTitle"/>
                <w:rFonts w:eastAsiaTheme="minorEastAsia" w:cs="Arial"/>
                <w:i w:val="0"/>
                <w:smallCaps w:val="0"/>
                <w:spacing w:val="0"/>
                <w:lang w:eastAsia="en-AU"/>
              </w:rPr>
            </w:pPr>
            <w:r w:rsidRPr="0058515D">
              <w:rPr>
                <w:rStyle w:val="BookTitle"/>
                <w:rFonts w:eastAsiaTheme="minorEastAsia" w:cs="Arial"/>
                <w:i w:val="0"/>
                <w:smallCaps w:val="0"/>
                <w:spacing w:val="0"/>
                <w:lang w:eastAsia="en-AU"/>
              </w:rPr>
              <w:t>$116.5</w:t>
            </w:r>
          </w:p>
        </w:tc>
      </w:tr>
      <w:tr w:rsidR="0058515D" w14:paraId="0D21AC09" w14:textId="77777777" w:rsidTr="620A7B49">
        <w:tc>
          <w:tcPr>
            <w:tcW w:w="1545" w:type="dxa"/>
            <w:tcBorders>
              <w:top w:val="single" w:sz="4" w:space="0" w:color="auto"/>
              <w:left w:val="single" w:sz="4" w:space="0" w:color="auto"/>
              <w:bottom w:val="single" w:sz="4" w:space="0" w:color="auto"/>
              <w:right w:val="single" w:sz="4" w:space="0" w:color="auto"/>
            </w:tcBorders>
            <w:hideMark/>
          </w:tcPr>
          <w:p w14:paraId="37BB9CB5" w14:textId="487D3592" w:rsidR="0058515D" w:rsidRPr="0058515D" w:rsidRDefault="0058515D" w:rsidP="620A7B49">
            <w:pPr>
              <w:spacing w:after="120" w:line="276" w:lineRule="auto"/>
              <w:jc w:val="center"/>
              <w:rPr>
                <w:rStyle w:val="BookTitle"/>
                <w:rFonts w:eastAsiaTheme="minorEastAsia" w:cs="Arial"/>
                <w:b/>
                <w:bCs/>
                <w:i w:val="0"/>
                <w:smallCaps w:val="0"/>
                <w:spacing w:val="0"/>
                <w:lang w:eastAsia="en-AU"/>
              </w:rPr>
            </w:pPr>
            <w:r w:rsidRPr="620A7B49">
              <w:rPr>
                <w:rStyle w:val="BookTitle"/>
                <w:rFonts w:eastAsiaTheme="minorEastAsia" w:cs="Arial"/>
                <w:b/>
                <w:bCs/>
                <w:i w:val="0"/>
                <w:smallCaps w:val="0"/>
                <w:spacing w:val="0"/>
                <w:lang w:eastAsia="en-AU"/>
              </w:rPr>
              <w:t>2023-24</w:t>
            </w:r>
          </w:p>
        </w:tc>
        <w:tc>
          <w:tcPr>
            <w:tcW w:w="1890" w:type="dxa"/>
            <w:tcBorders>
              <w:top w:val="single" w:sz="4" w:space="0" w:color="auto"/>
              <w:left w:val="single" w:sz="4" w:space="0" w:color="auto"/>
              <w:bottom w:val="single" w:sz="4" w:space="0" w:color="auto"/>
              <w:right w:val="single" w:sz="4" w:space="0" w:color="auto"/>
            </w:tcBorders>
            <w:hideMark/>
          </w:tcPr>
          <w:p w14:paraId="337791D0" w14:textId="77777777" w:rsidR="0058515D" w:rsidRPr="0058515D" w:rsidRDefault="0058515D" w:rsidP="0058515D">
            <w:pPr>
              <w:spacing w:after="120" w:line="276" w:lineRule="auto"/>
              <w:jc w:val="center"/>
              <w:rPr>
                <w:rStyle w:val="BookTitle"/>
                <w:rFonts w:eastAsiaTheme="minorEastAsia" w:cs="Arial"/>
                <w:i w:val="0"/>
                <w:smallCaps w:val="0"/>
                <w:spacing w:val="0"/>
                <w:lang w:eastAsia="en-AU"/>
              </w:rPr>
            </w:pPr>
            <w:r w:rsidRPr="0058515D">
              <w:rPr>
                <w:rStyle w:val="BookTitle"/>
                <w:rFonts w:eastAsiaTheme="minorEastAsia" w:cs="Arial"/>
                <w:i w:val="0"/>
                <w:smallCaps w:val="0"/>
                <w:spacing w:val="0"/>
                <w:lang w:eastAsia="en-AU"/>
              </w:rPr>
              <w:t>$119.0</w:t>
            </w:r>
          </w:p>
        </w:tc>
      </w:tr>
      <w:tr w:rsidR="0058515D" w14:paraId="31C48E61" w14:textId="77777777" w:rsidTr="620A7B49">
        <w:tc>
          <w:tcPr>
            <w:tcW w:w="1545" w:type="dxa"/>
            <w:tcBorders>
              <w:top w:val="single" w:sz="4" w:space="0" w:color="auto"/>
              <w:left w:val="single" w:sz="4" w:space="0" w:color="auto"/>
              <w:bottom w:val="single" w:sz="4" w:space="0" w:color="auto"/>
              <w:right w:val="single" w:sz="4" w:space="0" w:color="auto"/>
            </w:tcBorders>
            <w:hideMark/>
          </w:tcPr>
          <w:p w14:paraId="5FD19615" w14:textId="77777777" w:rsidR="0058515D" w:rsidRPr="0058515D" w:rsidRDefault="0058515D" w:rsidP="0058515D">
            <w:pPr>
              <w:spacing w:after="120" w:line="276" w:lineRule="auto"/>
              <w:jc w:val="center"/>
              <w:rPr>
                <w:rStyle w:val="BookTitle"/>
                <w:rFonts w:eastAsiaTheme="minorEastAsia" w:cs="Arial"/>
                <w:b/>
                <w:bCs/>
                <w:i w:val="0"/>
                <w:smallCaps w:val="0"/>
                <w:spacing w:val="0"/>
                <w:lang w:eastAsia="en-AU"/>
              </w:rPr>
            </w:pPr>
            <w:r w:rsidRPr="0058515D">
              <w:rPr>
                <w:rStyle w:val="BookTitle"/>
                <w:rFonts w:eastAsiaTheme="minorEastAsia" w:cs="Arial"/>
                <w:b/>
                <w:bCs/>
                <w:i w:val="0"/>
                <w:smallCaps w:val="0"/>
                <w:spacing w:val="0"/>
                <w:lang w:eastAsia="en-AU"/>
              </w:rPr>
              <w:t>2024-25</w:t>
            </w:r>
          </w:p>
        </w:tc>
        <w:tc>
          <w:tcPr>
            <w:tcW w:w="1890" w:type="dxa"/>
            <w:tcBorders>
              <w:top w:val="single" w:sz="4" w:space="0" w:color="auto"/>
              <w:left w:val="single" w:sz="4" w:space="0" w:color="auto"/>
              <w:bottom w:val="single" w:sz="4" w:space="0" w:color="auto"/>
              <w:right w:val="single" w:sz="4" w:space="0" w:color="auto"/>
            </w:tcBorders>
            <w:hideMark/>
          </w:tcPr>
          <w:p w14:paraId="0677820B" w14:textId="77777777" w:rsidR="0058515D" w:rsidRPr="0058515D" w:rsidRDefault="0058515D" w:rsidP="0058515D">
            <w:pPr>
              <w:spacing w:after="120" w:line="276" w:lineRule="auto"/>
              <w:jc w:val="center"/>
              <w:rPr>
                <w:rStyle w:val="BookTitle"/>
                <w:rFonts w:eastAsiaTheme="minorEastAsia" w:cs="Arial"/>
                <w:i w:val="0"/>
                <w:smallCaps w:val="0"/>
                <w:spacing w:val="0"/>
                <w:lang w:eastAsia="en-AU"/>
              </w:rPr>
            </w:pPr>
            <w:r w:rsidRPr="0058515D">
              <w:rPr>
                <w:rStyle w:val="BookTitle"/>
                <w:rFonts w:eastAsiaTheme="minorEastAsia" w:cs="Arial"/>
                <w:i w:val="0"/>
                <w:smallCaps w:val="0"/>
                <w:spacing w:val="0"/>
                <w:lang w:eastAsia="en-AU"/>
              </w:rPr>
              <w:t>$123.8</w:t>
            </w:r>
          </w:p>
        </w:tc>
      </w:tr>
      <w:tr w:rsidR="0058515D" w14:paraId="3AB0572D" w14:textId="77777777" w:rsidTr="620A7B49">
        <w:tc>
          <w:tcPr>
            <w:tcW w:w="1545" w:type="dxa"/>
            <w:tcBorders>
              <w:top w:val="single" w:sz="4" w:space="0" w:color="auto"/>
              <w:left w:val="single" w:sz="4" w:space="0" w:color="auto"/>
              <w:bottom w:val="single" w:sz="4" w:space="0" w:color="auto"/>
              <w:right w:val="single" w:sz="4" w:space="0" w:color="auto"/>
            </w:tcBorders>
            <w:hideMark/>
          </w:tcPr>
          <w:p w14:paraId="5C96E36C" w14:textId="77777777" w:rsidR="0058515D" w:rsidRPr="0058515D" w:rsidRDefault="0058515D" w:rsidP="0058515D">
            <w:pPr>
              <w:spacing w:after="120" w:line="276" w:lineRule="auto"/>
              <w:jc w:val="center"/>
              <w:rPr>
                <w:rStyle w:val="BookTitle"/>
                <w:rFonts w:eastAsiaTheme="minorEastAsia" w:cs="Arial"/>
                <w:b/>
                <w:bCs/>
                <w:i w:val="0"/>
                <w:smallCaps w:val="0"/>
                <w:spacing w:val="0"/>
                <w:lang w:eastAsia="en-AU"/>
              </w:rPr>
            </w:pPr>
            <w:r w:rsidRPr="0058515D">
              <w:rPr>
                <w:rStyle w:val="BookTitle"/>
                <w:rFonts w:eastAsiaTheme="minorEastAsia" w:cs="Arial"/>
                <w:b/>
                <w:bCs/>
                <w:i w:val="0"/>
                <w:smallCaps w:val="0"/>
                <w:spacing w:val="0"/>
                <w:lang w:eastAsia="en-AU"/>
              </w:rPr>
              <w:t>2025-26</w:t>
            </w:r>
          </w:p>
        </w:tc>
        <w:tc>
          <w:tcPr>
            <w:tcW w:w="1890" w:type="dxa"/>
            <w:tcBorders>
              <w:top w:val="single" w:sz="4" w:space="0" w:color="auto"/>
              <w:left w:val="single" w:sz="4" w:space="0" w:color="auto"/>
              <w:bottom w:val="single" w:sz="4" w:space="0" w:color="auto"/>
              <w:right w:val="single" w:sz="4" w:space="0" w:color="auto"/>
            </w:tcBorders>
            <w:hideMark/>
          </w:tcPr>
          <w:p w14:paraId="239F8B51" w14:textId="77777777" w:rsidR="0058515D" w:rsidRPr="0058515D" w:rsidRDefault="0058515D" w:rsidP="0058515D">
            <w:pPr>
              <w:spacing w:after="120" w:line="276" w:lineRule="auto"/>
              <w:jc w:val="center"/>
              <w:rPr>
                <w:rStyle w:val="BookTitle"/>
                <w:rFonts w:eastAsiaTheme="minorEastAsia" w:cs="Arial"/>
                <w:i w:val="0"/>
                <w:smallCaps w:val="0"/>
                <w:spacing w:val="0"/>
                <w:lang w:eastAsia="en-AU"/>
              </w:rPr>
            </w:pPr>
            <w:r w:rsidRPr="0058515D">
              <w:rPr>
                <w:rStyle w:val="BookTitle"/>
                <w:rFonts w:eastAsiaTheme="minorEastAsia" w:cs="Arial"/>
                <w:i w:val="0"/>
                <w:smallCaps w:val="0"/>
                <w:spacing w:val="0"/>
                <w:lang w:eastAsia="en-AU"/>
              </w:rPr>
              <w:t>$128.7</w:t>
            </w:r>
          </w:p>
        </w:tc>
      </w:tr>
      <w:tr w:rsidR="0058515D" w14:paraId="1831B490" w14:textId="77777777" w:rsidTr="620A7B49">
        <w:tc>
          <w:tcPr>
            <w:tcW w:w="1545" w:type="dxa"/>
            <w:tcBorders>
              <w:top w:val="single" w:sz="4" w:space="0" w:color="auto"/>
              <w:left w:val="single" w:sz="4" w:space="0" w:color="auto"/>
              <w:bottom w:val="single" w:sz="4" w:space="0" w:color="auto"/>
              <w:right w:val="single" w:sz="4" w:space="0" w:color="auto"/>
            </w:tcBorders>
            <w:hideMark/>
          </w:tcPr>
          <w:p w14:paraId="1A0D2E65" w14:textId="77777777" w:rsidR="0058515D" w:rsidRPr="0058515D" w:rsidRDefault="0058515D" w:rsidP="0058515D">
            <w:pPr>
              <w:spacing w:after="120" w:line="276" w:lineRule="auto"/>
              <w:jc w:val="center"/>
              <w:rPr>
                <w:rStyle w:val="BookTitle"/>
                <w:rFonts w:eastAsiaTheme="minorEastAsia" w:cs="Arial"/>
                <w:b/>
                <w:bCs/>
                <w:i w:val="0"/>
                <w:smallCaps w:val="0"/>
                <w:spacing w:val="0"/>
                <w:lang w:eastAsia="en-AU"/>
              </w:rPr>
            </w:pPr>
            <w:r w:rsidRPr="0058515D">
              <w:rPr>
                <w:rStyle w:val="BookTitle"/>
                <w:rFonts w:eastAsiaTheme="minorEastAsia" w:cs="Arial"/>
                <w:b/>
                <w:bCs/>
                <w:i w:val="0"/>
                <w:smallCaps w:val="0"/>
                <w:spacing w:val="0"/>
                <w:lang w:eastAsia="en-AU"/>
              </w:rPr>
              <w:t>2026-27</w:t>
            </w:r>
          </w:p>
        </w:tc>
        <w:tc>
          <w:tcPr>
            <w:tcW w:w="1890" w:type="dxa"/>
            <w:tcBorders>
              <w:top w:val="single" w:sz="4" w:space="0" w:color="auto"/>
              <w:left w:val="single" w:sz="4" w:space="0" w:color="auto"/>
              <w:bottom w:val="single" w:sz="4" w:space="0" w:color="auto"/>
              <w:right w:val="single" w:sz="4" w:space="0" w:color="auto"/>
            </w:tcBorders>
            <w:hideMark/>
          </w:tcPr>
          <w:p w14:paraId="06B99264" w14:textId="77777777" w:rsidR="0058515D" w:rsidRPr="0058515D" w:rsidRDefault="0058515D" w:rsidP="0058515D">
            <w:pPr>
              <w:spacing w:after="120" w:line="276" w:lineRule="auto"/>
              <w:jc w:val="center"/>
              <w:rPr>
                <w:rStyle w:val="BookTitle"/>
                <w:rFonts w:eastAsiaTheme="minorEastAsia" w:cs="Arial"/>
                <w:i w:val="0"/>
                <w:smallCaps w:val="0"/>
                <w:spacing w:val="0"/>
                <w:lang w:eastAsia="en-AU"/>
              </w:rPr>
            </w:pPr>
            <w:r w:rsidRPr="0058515D">
              <w:rPr>
                <w:rStyle w:val="BookTitle"/>
                <w:rFonts w:eastAsiaTheme="minorEastAsia" w:cs="Arial"/>
                <w:i w:val="0"/>
                <w:smallCaps w:val="0"/>
                <w:spacing w:val="0"/>
                <w:lang w:eastAsia="en-AU"/>
              </w:rPr>
              <w:t>$133.8</w:t>
            </w:r>
          </w:p>
        </w:tc>
      </w:tr>
      <w:tr w:rsidR="0058515D" w14:paraId="0E3ADE6F" w14:textId="77777777" w:rsidTr="620A7B49">
        <w:tc>
          <w:tcPr>
            <w:tcW w:w="1545" w:type="dxa"/>
            <w:tcBorders>
              <w:top w:val="single" w:sz="4" w:space="0" w:color="auto"/>
              <w:left w:val="single" w:sz="4" w:space="0" w:color="auto"/>
              <w:bottom w:val="single" w:sz="4" w:space="0" w:color="auto"/>
              <w:right w:val="single" w:sz="4" w:space="0" w:color="auto"/>
            </w:tcBorders>
            <w:hideMark/>
          </w:tcPr>
          <w:p w14:paraId="45E8AE90" w14:textId="77777777" w:rsidR="0058515D" w:rsidRPr="0058515D" w:rsidRDefault="0058515D" w:rsidP="0058515D">
            <w:pPr>
              <w:spacing w:after="120" w:line="276" w:lineRule="auto"/>
              <w:jc w:val="center"/>
              <w:rPr>
                <w:rStyle w:val="BookTitle"/>
                <w:rFonts w:eastAsiaTheme="minorEastAsia" w:cs="Arial"/>
                <w:b/>
                <w:bCs/>
                <w:i w:val="0"/>
                <w:smallCaps w:val="0"/>
                <w:spacing w:val="0"/>
                <w:lang w:eastAsia="en-AU"/>
              </w:rPr>
            </w:pPr>
            <w:r w:rsidRPr="0058515D">
              <w:rPr>
                <w:rStyle w:val="BookTitle"/>
                <w:rFonts w:eastAsiaTheme="minorEastAsia" w:cs="Arial"/>
                <w:b/>
                <w:bCs/>
                <w:i w:val="0"/>
                <w:smallCaps w:val="0"/>
                <w:spacing w:val="0"/>
                <w:lang w:eastAsia="en-AU"/>
              </w:rPr>
              <w:t>2027-28</w:t>
            </w:r>
          </w:p>
        </w:tc>
        <w:tc>
          <w:tcPr>
            <w:tcW w:w="1890" w:type="dxa"/>
            <w:tcBorders>
              <w:top w:val="single" w:sz="4" w:space="0" w:color="auto"/>
              <w:left w:val="single" w:sz="4" w:space="0" w:color="auto"/>
              <w:bottom w:val="single" w:sz="4" w:space="0" w:color="auto"/>
              <w:right w:val="single" w:sz="4" w:space="0" w:color="auto"/>
            </w:tcBorders>
            <w:hideMark/>
          </w:tcPr>
          <w:p w14:paraId="0A7D9146" w14:textId="77777777" w:rsidR="0058515D" w:rsidRPr="0058515D" w:rsidRDefault="0058515D" w:rsidP="0058515D">
            <w:pPr>
              <w:spacing w:after="120" w:line="276" w:lineRule="auto"/>
              <w:jc w:val="center"/>
              <w:rPr>
                <w:rStyle w:val="BookTitle"/>
                <w:rFonts w:eastAsiaTheme="minorEastAsia" w:cs="Arial"/>
                <w:i w:val="0"/>
                <w:smallCaps w:val="0"/>
                <w:spacing w:val="0"/>
                <w:lang w:eastAsia="en-AU"/>
              </w:rPr>
            </w:pPr>
            <w:r w:rsidRPr="0058515D">
              <w:rPr>
                <w:rStyle w:val="BookTitle"/>
                <w:rFonts w:eastAsiaTheme="minorEastAsia" w:cs="Arial"/>
                <w:i w:val="0"/>
                <w:smallCaps w:val="0"/>
                <w:spacing w:val="0"/>
                <w:lang w:eastAsia="en-AU"/>
              </w:rPr>
              <w:t>$139.1</w:t>
            </w:r>
          </w:p>
        </w:tc>
      </w:tr>
    </w:tbl>
    <w:p w14:paraId="088A5074" w14:textId="77777777" w:rsidR="00EA695B" w:rsidRPr="00EA695B" w:rsidRDefault="00EA695B" w:rsidP="00CA3465">
      <w:pPr>
        <w:spacing w:after="120"/>
        <w:rPr>
          <w:rStyle w:val="BookTitle"/>
          <w:rFonts w:eastAsiaTheme="minorEastAsia" w:cs="Arial"/>
          <w:i w:val="0"/>
          <w:smallCaps w:val="0"/>
          <w:spacing w:val="0"/>
          <w:lang w:eastAsia="en-AU"/>
        </w:rPr>
      </w:pPr>
    </w:p>
    <w:p w14:paraId="489F70DD" w14:textId="5E5ACE32" w:rsidR="00BD77FC" w:rsidRPr="00B93ADF" w:rsidRDefault="00BD77FC" w:rsidP="00A1542A">
      <w:pPr>
        <w:pStyle w:val="ListParagraph"/>
        <w:numPr>
          <w:ilvl w:val="0"/>
          <w:numId w:val="10"/>
        </w:numPr>
        <w:tabs>
          <w:tab w:val="clear" w:pos="720"/>
        </w:tabs>
        <w:spacing w:after="120"/>
        <w:ind w:left="426" w:hanging="426"/>
        <w:rPr>
          <w:rStyle w:val="BookTitle"/>
          <w:rFonts w:eastAsiaTheme="minorEastAsia" w:cs="Arial"/>
          <w:i w:val="0"/>
          <w:iCs/>
          <w:smallCaps w:val="0"/>
          <w:spacing w:val="0"/>
          <w:lang w:eastAsia="en-AU"/>
        </w:rPr>
      </w:pPr>
      <w:r w:rsidRPr="00B93ADF">
        <w:rPr>
          <w:rStyle w:val="BookTitle"/>
          <w:rFonts w:eastAsiaTheme="minorEastAsia" w:cs="Arial"/>
          <w:i w:val="0"/>
          <w:smallCaps w:val="0"/>
          <w:spacing w:val="0"/>
          <w:lang w:eastAsia="en-AU"/>
        </w:rPr>
        <w:t xml:space="preserve">From 2028-29, </w:t>
      </w:r>
      <w:r>
        <w:rPr>
          <w:rStyle w:val="BookTitle"/>
          <w:rFonts w:eastAsiaTheme="minorEastAsia" w:cs="Arial"/>
          <w:i w:val="0"/>
          <w:smallCaps w:val="0"/>
          <w:spacing w:val="0"/>
          <w:lang w:eastAsia="en-AU"/>
        </w:rPr>
        <w:t>the Northern Territory</w:t>
      </w:r>
      <w:r w:rsidRPr="00B93ADF">
        <w:rPr>
          <w:rStyle w:val="BookTitle"/>
          <w:rFonts w:eastAsiaTheme="minorEastAsia" w:cs="Arial"/>
          <w:i w:val="0"/>
          <w:smallCaps w:val="0"/>
          <w:spacing w:val="0"/>
          <w:lang w:eastAsia="en-AU"/>
        </w:rPr>
        <w:t xml:space="preserve">’s NDIS contribution will escalate each year thereafter at the lower of: </w:t>
      </w:r>
    </w:p>
    <w:p w14:paraId="27B9B8E9" w14:textId="08CCA5C9" w:rsidR="00BD77FC" w:rsidRPr="00B93ADF" w:rsidRDefault="00BD77FC" w:rsidP="00A1542A">
      <w:pPr>
        <w:pStyle w:val="ListParagraph"/>
        <w:numPr>
          <w:ilvl w:val="1"/>
          <w:numId w:val="10"/>
        </w:numPr>
        <w:spacing w:after="120"/>
        <w:rPr>
          <w:rStyle w:val="BookTitle"/>
          <w:rFonts w:eastAsiaTheme="minorEastAsia" w:cs="Arial"/>
          <w:i w:val="0"/>
          <w:iCs/>
          <w:smallCaps w:val="0"/>
          <w:spacing w:val="0"/>
          <w:lang w:eastAsia="en-AU"/>
        </w:rPr>
      </w:pPr>
      <w:r w:rsidRPr="6736D68F">
        <w:rPr>
          <w:rStyle w:val="BookTitle"/>
          <w:rFonts w:eastAsiaTheme="minorEastAsia" w:cs="Arial"/>
          <w:i w:val="0"/>
          <w:smallCaps w:val="0"/>
          <w:lang w:eastAsia="en-AU"/>
        </w:rPr>
        <w:lastRenderedPageBreak/>
        <w:t xml:space="preserve">the annual actual Scheme growth rate as reported in </w:t>
      </w:r>
      <w:r>
        <w:rPr>
          <w:rStyle w:val="BookTitle"/>
          <w:rFonts w:eastAsiaTheme="minorEastAsia" w:cs="Arial"/>
          <w:i w:val="0"/>
          <w:smallCaps w:val="0"/>
          <w:lang w:eastAsia="en-AU"/>
        </w:rPr>
        <w:t xml:space="preserve">the </w:t>
      </w:r>
      <w:r w:rsidRPr="6736D68F">
        <w:rPr>
          <w:rStyle w:val="BookTitle"/>
          <w:rFonts w:eastAsiaTheme="minorEastAsia" w:cs="Arial"/>
          <w:i w:val="0"/>
          <w:smallCaps w:val="0"/>
          <w:lang w:eastAsia="en-AU"/>
        </w:rPr>
        <w:t xml:space="preserve">NDIA </w:t>
      </w:r>
      <w:r w:rsidR="00AF1D54">
        <w:rPr>
          <w:rStyle w:val="BookTitle"/>
          <w:rFonts w:eastAsiaTheme="minorEastAsia" w:cs="Arial"/>
          <w:i w:val="0"/>
          <w:smallCaps w:val="0"/>
          <w:lang w:eastAsia="en-AU"/>
        </w:rPr>
        <w:t>A</w:t>
      </w:r>
      <w:r w:rsidRPr="6736D68F">
        <w:rPr>
          <w:rStyle w:val="BookTitle"/>
          <w:rFonts w:eastAsiaTheme="minorEastAsia" w:cs="Arial"/>
          <w:i w:val="0"/>
          <w:smallCaps w:val="0"/>
          <w:lang w:eastAsia="en-AU"/>
        </w:rPr>
        <w:t xml:space="preserve">nnual </w:t>
      </w:r>
      <w:r w:rsidR="00AF1D54">
        <w:rPr>
          <w:rStyle w:val="BookTitle"/>
          <w:rFonts w:eastAsiaTheme="minorEastAsia" w:cs="Arial"/>
          <w:i w:val="0"/>
          <w:smallCaps w:val="0"/>
          <w:lang w:eastAsia="en-AU"/>
        </w:rPr>
        <w:t>R</w:t>
      </w:r>
      <w:r w:rsidRPr="6736D68F">
        <w:rPr>
          <w:rStyle w:val="BookTitle"/>
          <w:rFonts w:eastAsiaTheme="minorEastAsia" w:cs="Arial"/>
          <w:i w:val="0"/>
          <w:smallCaps w:val="0"/>
          <w:lang w:eastAsia="en-AU"/>
        </w:rPr>
        <w:t xml:space="preserve">eport; or </w:t>
      </w:r>
    </w:p>
    <w:p w14:paraId="1AF78855" w14:textId="77777777" w:rsidR="00BD77FC" w:rsidRDefault="00BD77FC" w:rsidP="00A1542A">
      <w:pPr>
        <w:pStyle w:val="ListParagraph"/>
        <w:numPr>
          <w:ilvl w:val="1"/>
          <w:numId w:val="10"/>
        </w:numPr>
        <w:spacing w:after="120"/>
        <w:rPr>
          <w:rStyle w:val="BookTitle"/>
          <w:rFonts w:eastAsiaTheme="minorEastAsia" w:cs="Arial"/>
          <w:i w:val="0"/>
          <w:iCs/>
          <w:smallCaps w:val="0"/>
          <w:spacing w:val="0"/>
          <w:lang w:eastAsia="en-AU"/>
        </w:rPr>
      </w:pPr>
      <w:r w:rsidRPr="00B93ADF">
        <w:rPr>
          <w:rStyle w:val="BookTitle"/>
          <w:rFonts w:eastAsiaTheme="minorEastAsia" w:cs="Arial"/>
          <w:i w:val="0"/>
          <w:smallCaps w:val="0"/>
          <w:spacing w:val="0"/>
          <w:lang w:eastAsia="en-AU"/>
        </w:rPr>
        <w:t xml:space="preserve">8.0 per cent. </w:t>
      </w:r>
    </w:p>
    <w:p w14:paraId="2535D582" w14:textId="77777777" w:rsidR="00BD77FC" w:rsidRPr="00B93ADF" w:rsidRDefault="00BD77FC" w:rsidP="00BD77FC">
      <w:pPr>
        <w:pStyle w:val="ListParagraph"/>
        <w:spacing w:after="120"/>
        <w:ind w:left="1080"/>
        <w:rPr>
          <w:rStyle w:val="BookTitle"/>
          <w:rFonts w:eastAsiaTheme="minorEastAsia" w:cs="Arial"/>
          <w:i w:val="0"/>
          <w:iCs/>
          <w:smallCaps w:val="0"/>
          <w:spacing w:val="0"/>
          <w:lang w:eastAsia="en-AU"/>
        </w:rPr>
      </w:pPr>
    </w:p>
    <w:p w14:paraId="437DCD70" w14:textId="6EEEF5AD" w:rsidR="0089357B" w:rsidRDefault="0089357B" w:rsidP="00A1542A">
      <w:pPr>
        <w:pStyle w:val="ListParagraph"/>
        <w:numPr>
          <w:ilvl w:val="0"/>
          <w:numId w:val="10"/>
        </w:numPr>
        <w:spacing w:after="0"/>
        <w:ind w:left="357" w:hanging="357"/>
        <w:contextualSpacing w:val="0"/>
        <w:rPr>
          <w:rStyle w:val="BookTitle"/>
          <w:rFonts w:eastAsiaTheme="minorEastAsia" w:cs="Arial"/>
          <w:i w:val="0"/>
          <w:iCs/>
          <w:smallCaps w:val="0"/>
          <w:spacing w:val="0"/>
          <w:lang w:eastAsia="en-AU"/>
        </w:rPr>
      </w:pPr>
      <w:r w:rsidRPr="0089357B">
        <w:rPr>
          <w:rStyle w:val="BookTitle"/>
          <w:rFonts w:eastAsiaTheme="minorEastAsia" w:cs="Arial"/>
          <w:i w:val="0"/>
          <w:iCs/>
          <w:smallCaps w:val="0"/>
          <w:spacing w:val="0"/>
          <w:lang w:eastAsia="en-AU"/>
        </w:rPr>
        <w:t xml:space="preserve">In the </w:t>
      </w:r>
      <w:r w:rsidR="00B64901">
        <w:rPr>
          <w:rStyle w:val="BookTitle"/>
          <w:rFonts w:eastAsiaTheme="minorEastAsia" w:cs="Arial"/>
          <w:i w:val="0"/>
          <w:iCs/>
          <w:smallCaps w:val="0"/>
          <w:spacing w:val="0"/>
          <w:lang w:eastAsia="en-AU"/>
        </w:rPr>
        <w:t>2030-31</w:t>
      </w:r>
      <w:r w:rsidRPr="0089357B">
        <w:rPr>
          <w:rStyle w:val="BookTitle"/>
          <w:rFonts w:eastAsiaTheme="minorEastAsia" w:cs="Arial"/>
          <w:i w:val="0"/>
          <w:iCs/>
          <w:smallCaps w:val="0"/>
          <w:spacing w:val="0"/>
          <w:lang w:eastAsia="en-AU"/>
        </w:rPr>
        <w:t xml:space="preserve"> financial year, First Ministers will review and determine any change to the escalation rate for state and territory contributions </w:t>
      </w:r>
      <w:r w:rsidR="00B64901">
        <w:rPr>
          <w:rStyle w:val="BookTitle"/>
          <w:rFonts w:eastAsiaTheme="minorEastAsia" w:cs="Arial"/>
          <w:i w:val="0"/>
          <w:iCs/>
          <w:smallCaps w:val="0"/>
          <w:spacing w:val="0"/>
          <w:lang w:eastAsia="en-AU"/>
        </w:rPr>
        <w:t xml:space="preserve">to apply </w:t>
      </w:r>
      <w:r w:rsidRPr="0089357B">
        <w:rPr>
          <w:rStyle w:val="BookTitle"/>
          <w:rFonts w:eastAsiaTheme="minorEastAsia" w:cs="Arial"/>
          <w:i w:val="0"/>
          <w:iCs/>
          <w:smallCaps w:val="0"/>
          <w:spacing w:val="0"/>
          <w:lang w:eastAsia="en-AU"/>
        </w:rPr>
        <w:t xml:space="preserve">from 1 July </w:t>
      </w:r>
      <w:r w:rsidR="00B64901" w:rsidRPr="0089357B">
        <w:rPr>
          <w:rStyle w:val="BookTitle"/>
          <w:rFonts w:eastAsiaTheme="minorEastAsia" w:cs="Arial"/>
          <w:i w:val="0"/>
          <w:iCs/>
          <w:smallCaps w:val="0"/>
          <w:spacing w:val="0"/>
          <w:lang w:eastAsia="en-AU"/>
        </w:rPr>
        <w:t>203</w:t>
      </w:r>
      <w:r w:rsidR="00B64901">
        <w:rPr>
          <w:rStyle w:val="BookTitle"/>
          <w:rFonts w:eastAsiaTheme="minorEastAsia" w:cs="Arial"/>
          <w:i w:val="0"/>
          <w:iCs/>
          <w:smallCaps w:val="0"/>
          <w:spacing w:val="0"/>
          <w:lang w:eastAsia="en-AU"/>
        </w:rPr>
        <w:t>1</w:t>
      </w:r>
      <w:r w:rsidRPr="0089357B">
        <w:rPr>
          <w:rStyle w:val="BookTitle"/>
          <w:rFonts w:eastAsiaTheme="minorEastAsia" w:cs="Arial"/>
          <w:i w:val="0"/>
          <w:iCs/>
          <w:smallCaps w:val="0"/>
          <w:spacing w:val="0"/>
          <w:lang w:eastAsia="en-AU"/>
        </w:rPr>
        <w:t xml:space="preserve">. Should First Ministers not agree to a revised enduring escalation rate, </w:t>
      </w:r>
      <w:r>
        <w:rPr>
          <w:rStyle w:val="BookTitle"/>
          <w:rFonts w:eastAsiaTheme="minorEastAsia" w:cs="Arial"/>
          <w:i w:val="0"/>
          <w:iCs/>
          <w:smallCaps w:val="0"/>
          <w:spacing w:val="0"/>
          <w:lang w:eastAsia="en-AU"/>
        </w:rPr>
        <w:t>Northern Territory</w:t>
      </w:r>
      <w:r w:rsidRPr="0089357B">
        <w:rPr>
          <w:rStyle w:val="BookTitle"/>
          <w:rFonts w:eastAsiaTheme="minorEastAsia" w:cs="Arial"/>
          <w:i w:val="0"/>
          <w:iCs/>
          <w:smallCaps w:val="0"/>
          <w:spacing w:val="0"/>
          <w:lang w:eastAsia="en-AU"/>
        </w:rPr>
        <w:t>’s contribution will, unless otherwise agreed, continue as provided in clause 6 of this Schedule.</w:t>
      </w:r>
    </w:p>
    <w:p w14:paraId="5251DCE5" w14:textId="77777777" w:rsidR="0089357B" w:rsidRPr="0089357B" w:rsidRDefault="0089357B" w:rsidP="0089357B">
      <w:pPr>
        <w:pStyle w:val="ListParagraph"/>
        <w:spacing w:after="0"/>
        <w:ind w:left="357"/>
        <w:contextualSpacing w:val="0"/>
        <w:rPr>
          <w:rStyle w:val="BookTitle"/>
          <w:rFonts w:eastAsiaTheme="minorEastAsia" w:cs="Arial"/>
          <w:i w:val="0"/>
          <w:iCs/>
          <w:smallCaps w:val="0"/>
          <w:spacing w:val="0"/>
          <w:lang w:eastAsia="en-AU"/>
        </w:rPr>
      </w:pPr>
    </w:p>
    <w:p w14:paraId="1D4CB1A6" w14:textId="24A0AF9D" w:rsidR="00BD77FC" w:rsidRPr="002A3D5E" w:rsidRDefault="00BD77FC" w:rsidP="00A1542A">
      <w:pPr>
        <w:pStyle w:val="ListParagraph"/>
        <w:numPr>
          <w:ilvl w:val="0"/>
          <w:numId w:val="10"/>
        </w:numPr>
        <w:spacing w:after="0"/>
        <w:ind w:left="357" w:hanging="357"/>
        <w:contextualSpacing w:val="0"/>
        <w:rPr>
          <w:rStyle w:val="BookTitle"/>
          <w:rFonts w:eastAsiaTheme="minorEastAsia" w:cs="Arial"/>
          <w:i w:val="0"/>
          <w:iCs/>
          <w:smallCaps w:val="0"/>
          <w:spacing w:val="0"/>
          <w:lang w:eastAsia="en-AU"/>
        </w:rPr>
      </w:pPr>
      <w:r w:rsidRPr="5177DE70">
        <w:rPr>
          <w:rStyle w:val="BookTitle"/>
          <w:rFonts w:eastAsiaTheme="minorEastAsia" w:cs="Arial"/>
          <w:i w:val="0"/>
          <w:smallCaps w:val="0"/>
          <w:lang w:eastAsia="en-AU"/>
        </w:rPr>
        <w:t>Actual Scheme cost growth is defined as the national increase in total NDIS participant support expenses and will be calculated annually by the NDIA as published in the NDIA Annual Report.</w:t>
      </w:r>
    </w:p>
    <w:p w14:paraId="2247E37B" w14:textId="77777777" w:rsidR="00BD77FC" w:rsidRDefault="00BD77FC" w:rsidP="00BD77FC">
      <w:pPr>
        <w:pStyle w:val="ListParagraph"/>
        <w:spacing w:after="0"/>
        <w:ind w:left="357"/>
        <w:contextualSpacing w:val="0"/>
        <w:rPr>
          <w:rStyle w:val="BookTitle"/>
          <w:rFonts w:eastAsiaTheme="minorEastAsia" w:cs="Arial"/>
          <w:i w:val="0"/>
          <w:iCs/>
          <w:smallCaps w:val="0"/>
          <w:spacing w:val="0"/>
          <w:lang w:eastAsia="en-AU"/>
        </w:rPr>
      </w:pPr>
    </w:p>
    <w:p w14:paraId="3AEEA5AC" w14:textId="4B65B47E" w:rsidR="00BD77FC" w:rsidRDefault="00BD77FC" w:rsidP="00A1542A">
      <w:pPr>
        <w:pStyle w:val="ListParagraph"/>
        <w:numPr>
          <w:ilvl w:val="0"/>
          <w:numId w:val="10"/>
        </w:numPr>
        <w:spacing w:after="0"/>
        <w:ind w:left="357" w:hanging="357"/>
        <w:contextualSpacing w:val="0"/>
        <w:rPr>
          <w:rFonts w:eastAsiaTheme="minorEastAsia" w:cs="Arial"/>
          <w:lang w:eastAsia="en-AU"/>
        </w:rPr>
      </w:pPr>
      <w:r w:rsidRPr="00D71F59">
        <w:rPr>
          <w:rFonts w:eastAsiaTheme="minorEastAsia" w:cs="Arial"/>
          <w:lang w:eastAsia="en-AU"/>
        </w:rPr>
        <w:t>Beginning in 2028-29</w:t>
      </w:r>
      <w:r>
        <w:rPr>
          <w:rFonts w:eastAsiaTheme="minorEastAsia" w:cs="Arial"/>
          <w:lang w:eastAsia="en-AU"/>
        </w:rPr>
        <w:t>, the Northern Territory</w:t>
      </w:r>
      <w:r w:rsidR="0089357B" w:rsidRPr="00A560FD">
        <w:rPr>
          <w:rFonts w:eastAsiaTheme="minorEastAsia" w:cs="Arial"/>
          <w:lang w:eastAsia="en-AU"/>
        </w:rPr>
        <w:t>’s</w:t>
      </w:r>
      <w:r w:rsidR="0089357B" w:rsidRPr="00AF1D54">
        <w:rPr>
          <w:rFonts w:eastAsiaTheme="minorEastAsia" w:cs="Arial"/>
          <w:lang w:eastAsia="en-AU"/>
        </w:rPr>
        <w:t> annual NDIS contribution will be calculated by applying an escalation rate to Northern Territory’s funding contribution in the previous year. This escalation rate will be equal to the projected Scheme growth rate for the current financial year, capped at 8</w:t>
      </w:r>
      <w:r w:rsidR="00F36757" w:rsidRPr="00AF1D54">
        <w:rPr>
          <w:rFonts w:eastAsiaTheme="minorEastAsia" w:cs="Arial"/>
          <w:lang w:eastAsia="en-AU"/>
        </w:rPr>
        <w:t xml:space="preserve"> per cent</w:t>
      </w:r>
      <w:r w:rsidR="0089357B" w:rsidRPr="00AF1D54">
        <w:rPr>
          <w:rFonts w:eastAsiaTheme="minorEastAsia" w:cs="Arial"/>
          <w:lang w:eastAsia="en-AU"/>
        </w:rPr>
        <w:t>, as set out in the Annual Financial Sustainability Report (AFSR) released prior to the commencement of the financial year. The AFSR is published by the NDIA, as required under section 180B of the NDIS Act, using data to 30 June each year. </w:t>
      </w:r>
      <w:r w:rsidR="00F308CD">
        <w:rPr>
          <w:rFonts w:eastAsiaTheme="minorEastAsia" w:cs="Arial"/>
          <w:lang w:eastAsia="en-AU"/>
        </w:rPr>
        <w:br/>
      </w:r>
    </w:p>
    <w:p w14:paraId="44C426CE" w14:textId="3B57F998" w:rsidR="00BD77FC" w:rsidRDefault="00BD77FC" w:rsidP="00A1542A">
      <w:pPr>
        <w:pStyle w:val="ListParagraph"/>
        <w:numPr>
          <w:ilvl w:val="0"/>
          <w:numId w:val="10"/>
        </w:numPr>
        <w:spacing w:after="0"/>
        <w:ind w:left="357" w:hanging="357"/>
        <w:contextualSpacing w:val="0"/>
        <w:rPr>
          <w:rFonts w:eastAsiaTheme="minorEastAsia" w:cs="Arial"/>
          <w:lang w:eastAsia="en-AU"/>
        </w:rPr>
      </w:pPr>
      <w:r w:rsidRPr="00D71F59">
        <w:rPr>
          <w:rFonts w:eastAsiaTheme="minorEastAsia" w:cs="Arial"/>
          <w:lang w:eastAsia="en-AU"/>
        </w:rPr>
        <w:t>In the subsequent financial year, the</w:t>
      </w:r>
      <w:r w:rsidRPr="007F7A1C">
        <w:rPr>
          <w:rFonts w:eastAsiaTheme="minorEastAsia" w:cs="Arial"/>
          <w:lang w:eastAsia="en-AU"/>
        </w:rPr>
        <w:t xml:space="preserve"> </w:t>
      </w:r>
      <w:r w:rsidR="0089357B" w:rsidRPr="00AF1D54">
        <w:rPr>
          <w:rFonts w:eastAsiaTheme="minorEastAsia" w:cs="Arial"/>
          <w:lang w:eastAsia="en-AU"/>
        </w:rPr>
        <w:t>actual annual Scheme growth rate will be reported in the NDIA’s Annual Report. </w:t>
      </w:r>
    </w:p>
    <w:p w14:paraId="34119344" w14:textId="77777777" w:rsidR="00BD77FC" w:rsidRPr="002A3D5E" w:rsidRDefault="00BD77FC" w:rsidP="00BD77FC">
      <w:pPr>
        <w:spacing w:after="0"/>
        <w:rPr>
          <w:rFonts w:eastAsiaTheme="minorEastAsia" w:cs="Arial"/>
          <w:lang w:eastAsia="en-AU"/>
        </w:rPr>
      </w:pPr>
    </w:p>
    <w:p w14:paraId="214B56CC" w14:textId="3B8894B6" w:rsidR="00BD77FC" w:rsidRDefault="00676B23" w:rsidP="00A1542A">
      <w:pPr>
        <w:pStyle w:val="ListParagraph"/>
        <w:numPr>
          <w:ilvl w:val="0"/>
          <w:numId w:val="10"/>
        </w:numPr>
        <w:spacing w:after="0"/>
        <w:ind w:left="357" w:hanging="357"/>
        <w:contextualSpacing w:val="0"/>
        <w:rPr>
          <w:rFonts w:eastAsiaTheme="minorEastAsia" w:cs="Arial"/>
          <w:lang w:eastAsia="en-AU"/>
        </w:rPr>
      </w:pPr>
      <w:r>
        <w:rPr>
          <w:rFonts w:eastAsiaTheme="minorEastAsia" w:cs="Arial"/>
          <w:lang w:eastAsia="en-AU"/>
        </w:rPr>
        <w:t xml:space="preserve">The NDIA </w:t>
      </w:r>
      <w:r w:rsidR="005B15C2">
        <w:rPr>
          <w:rFonts w:eastAsiaTheme="minorEastAsia" w:cs="Arial"/>
          <w:lang w:eastAsia="en-AU"/>
        </w:rPr>
        <w:t xml:space="preserve">will reconcile </w:t>
      </w:r>
      <w:r w:rsidR="00B40714">
        <w:rPr>
          <w:rFonts w:eastAsiaTheme="minorEastAsia" w:cs="Arial"/>
          <w:lang w:eastAsia="en-AU"/>
        </w:rPr>
        <w:t xml:space="preserve">the </w:t>
      </w:r>
      <w:r w:rsidR="00BD77FC" w:rsidRPr="00D71F59">
        <w:rPr>
          <w:rFonts w:eastAsiaTheme="minorEastAsia" w:cs="Arial"/>
          <w:lang w:eastAsia="en-AU"/>
        </w:rPr>
        <w:t>annual actual Scheme growth</w:t>
      </w:r>
      <w:r w:rsidR="00747E96">
        <w:rPr>
          <w:rFonts w:eastAsiaTheme="minorEastAsia" w:cs="Arial"/>
          <w:lang w:eastAsia="en-AU"/>
        </w:rPr>
        <w:t xml:space="preserve"> rate adjusted amount</w:t>
      </w:r>
      <w:r w:rsidR="005A5067">
        <w:rPr>
          <w:rFonts w:eastAsiaTheme="minorEastAsia" w:cs="Arial"/>
          <w:lang w:eastAsia="en-AU"/>
        </w:rPr>
        <w:t xml:space="preserve">, capped at </w:t>
      </w:r>
      <w:r w:rsidR="00BD77FC" w:rsidRPr="00D71F59">
        <w:rPr>
          <w:rFonts w:eastAsiaTheme="minorEastAsia" w:cs="Arial"/>
          <w:lang w:eastAsia="en-AU"/>
        </w:rPr>
        <w:t>8 per</w:t>
      </w:r>
      <w:r w:rsidR="00BD77FC" w:rsidRPr="00B93ADF">
        <w:rPr>
          <w:rFonts w:eastAsiaTheme="minorEastAsia" w:cs="Arial"/>
          <w:lang w:eastAsia="en-AU"/>
        </w:rPr>
        <w:t xml:space="preserve"> </w:t>
      </w:r>
      <w:r w:rsidR="00BD77FC" w:rsidRPr="00D71F59">
        <w:rPr>
          <w:rFonts w:eastAsiaTheme="minorEastAsia" w:cs="Arial"/>
          <w:lang w:eastAsia="en-AU"/>
        </w:rPr>
        <w:t xml:space="preserve">cent, against payments previously made and provide the reconciliation statement to </w:t>
      </w:r>
      <w:r w:rsidR="00F02D62">
        <w:rPr>
          <w:rFonts w:eastAsiaTheme="minorEastAsia" w:cs="Arial"/>
          <w:lang w:eastAsia="en-AU"/>
        </w:rPr>
        <w:t>the Nort</w:t>
      </w:r>
      <w:r w:rsidR="00917A58">
        <w:rPr>
          <w:rFonts w:eastAsiaTheme="minorEastAsia" w:cs="Arial"/>
          <w:lang w:eastAsia="en-AU"/>
        </w:rPr>
        <w:t>hern Territory</w:t>
      </w:r>
      <w:r w:rsidR="00BD77FC" w:rsidRPr="00D71F59">
        <w:rPr>
          <w:rFonts w:eastAsiaTheme="minorEastAsia" w:cs="Arial"/>
          <w:lang w:eastAsia="en-AU"/>
        </w:rPr>
        <w:t xml:space="preserve"> within twenty-eight (28) days of the release of the relevant NDIA Annual Report.</w:t>
      </w:r>
      <w:r w:rsidR="00BD77FC" w:rsidRPr="00B93ADF">
        <w:rPr>
          <w:rFonts w:eastAsiaTheme="minorEastAsia" w:cs="Arial"/>
          <w:lang w:eastAsia="en-AU"/>
        </w:rPr>
        <w:t xml:space="preserve"> </w:t>
      </w:r>
      <w:r w:rsidR="00BD77FC" w:rsidRPr="00D71F59">
        <w:rPr>
          <w:rFonts w:eastAsiaTheme="minorEastAsia" w:cs="Arial"/>
          <w:lang w:eastAsia="en-AU"/>
        </w:rPr>
        <w:t>The adjustment amount from the reconciliation statement will be reflected in the Quarter 3 invoice.</w:t>
      </w:r>
      <w:r w:rsidR="00BD77FC" w:rsidRPr="00B93ADF">
        <w:rPr>
          <w:rFonts w:eastAsiaTheme="minorEastAsia" w:cs="Arial"/>
          <w:lang w:eastAsia="en-AU"/>
        </w:rPr>
        <w:t> </w:t>
      </w:r>
    </w:p>
    <w:p w14:paraId="624D8156" w14:textId="77777777" w:rsidR="00BD77FC" w:rsidRPr="00AE12E2" w:rsidRDefault="00BD77FC" w:rsidP="00BD77FC">
      <w:pPr>
        <w:spacing w:after="0"/>
        <w:rPr>
          <w:rFonts w:eastAsiaTheme="minorEastAsia" w:cs="Arial"/>
          <w:lang w:eastAsia="en-AU"/>
        </w:rPr>
      </w:pPr>
    </w:p>
    <w:p w14:paraId="6A2E9772" w14:textId="0F66D28C" w:rsidR="00BD77FC" w:rsidRPr="007D0001" w:rsidRDefault="00BD77FC" w:rsidP="007D0001">
      <w:pPr>
        <w:pStyle w:val="ListParagraph"/>
        <w:numPr>
          <w:ilvl w:val="0"/>
          <w:numId w:val="10"/>
        </w:numPr>
        <w:spacing w:after="0"/>
        <w:ind w:left="357" w:hanging="357"/>
        <w:contextualSpacing w:val="0"/>
        <w:rPr>
          <w:rFonts w:cs="Arial"/>
        </w:rPr>
      </w:pPr>
      <w:r w:rsidRPr="27B4AD1C">
        <w:rPr>
          <w:rFonts w:eastAsiaTheme="minorEastAsia" w:cs="Arial"/>
          <w:lang w:eastAsia="en-AU"/>
        </w:rPr>
        <w:t xml:space="preserve">In the event of a dispute regarding the adjustment amount, </w:t>
      </w:r>
      <w:r w:rsidR="00692454" w:rsidRPr="27B4AD1C">
        <w:rPr>
          <w:rFonts w:eastAsiaTheme="minorEastAsia" w:cs="Arial"/>
          <w:lang w:eastAsia="en-AU"/>
        </w:rPr>
        <w:t>the Northern Territory</w:t>
      </w:r>
      <w:r w:rsidRPr="27B4AD1C">
        <w:rPr>
          <w:rFonts w:eastAsiaTheme="minorEastAsia" w:cs="Arial"/>
          <w:lang w:eastAsia="en-AU"/>
        </w:rPr>
        <w:t xml:space="preserve"> must provide a written response to the NDIA within fourteen (14) days of receiving the reconciliation statement. The NDIA will refer the matter to the Department of Health, Disability and Ageing for resolution. </w:t>
      </w:r>
      <w:r w:rsidR="00692454" w:rsidRPr="27B4AD1C">
        <w:rPr>
          <w:rFonts w:eastAsiaTheme="minorEastAsia" w:cs="Arial"/>
          <w:lang w:eastAsia="en-AU"/>
        </w:rPr>
        <w:t>The Northern Territory</w:t>
      </w:r>
      <w:r w:rsidRPr="27B4AD1C">
        <w:rPr>
          <w:rFonts w:eastAsiaTheme="minorEastAsia" w:cs="Arial"/>
          <w:lang w:eastAsia="en-AU"/>
        </w:rPr>
        <w:t xml:space="preserve"> must continue to pay all invoices in full while any dispute is being resolved. </w:t>
      </w:r>
    </w:p>
    <w:p w14:paraId="7C9CD30A" w14:textId="77777777" w:rsidR="00BD77FC" w:rsidRDefault="00BD77FC" w:rsidP="003310F3">
      <w:pPr>
        <w:pStyle w:val="ListParagraph"/>
        <w:spacing w:after="120"/>
        <w:ind w:left="360"/>
        <w:rPr>
          <w:rStyle w:val="BookTitle"/>
          <w:rFonts w:cs="Arial"/>
          <w:i w:val="0"/>
          <w:smallCaps w:val="0"/>
          <w:spacing w:val="0"/>
        </w:rPr>
      </w:pPr>
    </w:p>
    <w:p w14:paraId="30AF2EE8" w14:textId="01891727" w:rsidR="00DB643C" w:rsidRPr="008445CF" w:rsidRDefault="0058515D" w:rsidP="00AF1D54">
      <w:pPr>
        <w:pStyle w:val="ListParagraph"/>
        <w:numPr>
          <w:ilvl w:val="0"/>
          <w:numId w:val="10"/>
        </w:numPr>
        <w:tabs>
          <w:tab w:val="clear" w:pos="720"/>
          <w:tab w:val="num" w:pos="142"/>
          <w:tab w:val="left" w:pos="426"/>
        </w:tabs>
        <w:spacing w:after="120"/>
        <w:ind w:left="0" w:firstLine="0"/>
        <w:rPr>
          <w:rStyle w:val="BookTitle"/>
          <w:rFonts w:cs="Arial"/>
          <w:i w:val="0"/>
          <w:smallCaps w:val="0"/>
          <w:spacing w:val="0"/>
        </w:rPr>
      </w:pPr>
      <w:r w:rsidRPr="0058515D">
        <w:rPr>
          <w:rStyle w:val="BookTitle"/>
          <w:rFonts w:cs="Arial"/>
          <w:i w:val="0"/>
          <w:smallCaps w:val="0"/>
          <w:spacing w:val="0"/>
        </w:rPr>
        <w:t>The Northern Territory’s contribution will pay for participant supports, including:</w:t>
      </w:r>
    </w:p>
    <w:p w14:paraId="490ABEC8" w14:textId="35AFFBCE" w:rsidR="00DB643C" w:rsidRDefault="0058515D" w:rsidP="00DB643C">
      <w:pPr>
        <w:pStyle w:val="ListParagraph"/>
        <w:numPr>
          <w:ilvl w:val="1"/>
          <w:numId w:val="10"/>
        </w:numPr>
        <w:spacing w:after="120"/>
        <w:rPr>
          <w:rStyle w:val="BookTitle"/>
          <w:rFonts w:cs="Arial"/>
          <w:i w:val="0"/>
          <w:smallCaps w:val="0"/>
          <w:spacing w:val="0"/>
        </w:rPr>
      </w:pPr>
      <w:r w:rsidRPr="00DB643C">
        <w:rPr>
          <w:rStyle w:val="BookTitle"/>
          <w:rFonts w:cs="Arial"/>
          <w:i w:val="0"/>
          <w:smallCaps w:val="0"/>
          <w:spacing w:val="0"/>
        </w:rPr>
        <w:t>individualised support packages for Scheme participants; and</w:t>
      </w:r>
    </w:p>
    <w:p w14:paraId="07BB44C1" w14:textId="77777777" w:rsidR="007D0001" w:rsidRDefault="0058515D" w:rsidP="007D0001">
      <w:pPr>
        <w:pStyle w:val="ListParagraph"/>
        <w:numPr>
          <w:ilvl w:val="1"/>
          <w:numId w:val="10"/>
        </w:numPr>
        <w:spacing w:after="120"/>
        <w:rPr>
          <w:rStyle w:val="BookTitle"/>
          <w:rFonts w:cs="Arial"/>
          <w:i w:val="0"/>
          <w:smallCaps w:val="0"/>
          <w:spacing w:val="0"/>
        </w:rPr>
      </w:pPr>
      <w:r w:rsidRPr="00DB643C">
        <w:rPr>
          <w:rStyle w:val="BookTitle"/>
          <w:rFonts w:cs="Arial"/>
          <w:i w:val="0"/>
          <w:smallCaps w:val="0"/>
          <w:spacing w:val="0"/>
        </w:rPr>
        <w:t>Information, Linkages and Capacity Building and other general supports as described by section 13(2) of the NDIS Act.</w:t>
      </w:r>
    </w:p>
    <w:p w14:paraId="28B6364B" w14:textId="77777777" w:rsidR="007D0001" w:rsidRDefault="007D0001" w:rsidP="007D0001">
      <w:pPr>
        <w:pStyle w:val="ListParagraph"/>
        <w:spacing w:after="120"/>
        <w:ind w:left="1440"/>
        <w:rPr>
          <w:rStyle w:val="BookTitle"/>
          <w:rFonts w:cs="Arial"/>
          <w:i w:val="0"/>
          <w:smallCaps w:val="0"/>
          <w:spacing w:val="0"/>
        </w:rPr>
      </w:pPr>
    </w:p>
    <w:p w14:paraId="6FF2997D" w14:textId="004F92B1" w:rsidR="0058515D" w:rsidRPr="007D0001" w:rsidRDefault="0058515D" w:rsidP="007D0001">
      <w:pPr>
        <w:pStyle w:val="ListParagraph"/>
        <w:numPr>
          <w:ilvl w:val="0"/>
          <w:numId w:val="10"/>
        </w:numPr>
        <w:tabs>
          <w:tab w:val="clear" w:pos="720"/>
        </w:tabs>
        <w:spacing w:after="120"/>
        <w:ind w:left="426" w:hanging="426"/>
        <w:rPr>
          <w:rFonts w:eastAsiaTheme="minorEastAsia"/>
          <w:lang w:eastAsia="en-AU"/>
        </w:rPr>
      </w:pPr>
      <w:r w:rsidRPr="007D0001">
        <w:rPr>
          <w:rFonts w:eastAsiaTheme="minorEastAsia"/>
          <w:lang w:eastAsia="en-AU"/>
        </w:rPr>
        <w:t xml:space="preserve">The Northern Territory’s cash contributions will be made in advance, within the first two working days of each quarter, following receipt of an invoice from the NDIA. </w:t>
      </w:r>
    </w:p>
    <w:p w14:paraId="48F73231" w14:textId="77777777" w:rsidR="0058515D" w:rsidRPr="0058515D" w:rsidRDefault="0058515D" w:rsidP="0058515D">
      <w:pPr>
        <w:pStyle w:val="ListParagraph"/>
        <w:spacing w:after="120"/>
        <w:ind w:left="360"/>
        <w:rPr>
          <w:rStyle w:val="BookTitle"/>
          <w:rFonts w:cs="Arial"/>
          <w:i w:val="0"/>
          <w:smallCaps w:val="0"/>
          <w:spacing w:val="0"/>
        </w:rPr>
      </w:pPr>
    </w:p>
    <w:p w14:paraId="7AA2AE3B" w14:textId="1D114398" w:rsidR="0058515D" w:rsidRPr="008445CF" w:rsidRDefault="0058515D" w:rsidP="00E22B8E">
      <w:pPr>
        <w:pStyle w:val="ListParagraph"/>
        <w:numPr>
          <w:ilvl w:val="0"/>
          <w:numId w:val="10"/>
        </w:numPr>
        <w:tabs>
          <w:tab w:val="clear" w:pos="720"/>
          <w:tab w:val="num" w:pos="426"/>
        </w:tabs>
        <w:spacing w:after="0"/>
        <w:ind w:left="426" w:hanging="426"/>
        <w:rPr>
          <w:rStyle w:val="BookTitle"/>
          <w:rFonts w:cs="Arial"/>
          <w:i w:val="0"/>
          <w:smallCaps w:val="0"/>
          <w:spacing w:val="0"/>
        </w:rPr>
      </w:pPr>
      <w:r w:rsidRPr="0058515D">
        <w:rPr>
          <w:rStyle w:val="BookTitle"/>
          <w:rFonts w:cs="Arial"/>
          <w:i w:val="0"/>
          <w:smallCaps w:val="0"/>
          <w:spacing w:val="0"/>
        </w:rPr>
        <w:t xml:space="preserve">The Northern Territory’s cash contributions will be adjusted to take into account end of transition arrangements and in-kind funding contributions, as outlined in Schedule B. </w:t>
      </w:r>
    </w:p>
    <w:p w14:paraId="0DCEA31B" w14:textId="77777777" w:rsidR="00D32DE7" w:rsidRPr="000C317C" w:rsidRDefault="00D32DE7" w:rsidP="001972B6">
      <w:pPr>
        <w:pStyle w:val="BoldBlueh2"/>
        <w:rPr>
          <w:rStyle w:val="BookTitle"/>
          <w:rFonts w:cs="Arial"/>
          <w:i w:val="0"/>
          <w:smallCaps w:val="0"/>
          <w:spacing w:val="0"/>
        </w:rPr>
      </w:pPr>
      <w:r w:rsidRPr="000C317C">
        <w:lastRenderedPageBreak/>
        <w:t>Com</w:t>
      </w:r>
      <w:r>
        <w:t>mon</w:t>
      </w:r>
      <w:r w:rsidRPr="000C317C">
        <w:t>wealth</w:t>
      </w:r>
      <w:r w:rsidRPr="000C317C">
        <w:rPr>
          <w:rStyle w:val="BookTitle"/>
          <w:rFonts w:cs="Arial"/>
          <w:i w:val="0"/>
          <w:smallCaps w:val="0"/>
          <w:spacing w:val="0"/>
        </w:rPr>
        <w:t xml:space="preserve"> contributions</w:t>
      </w:r>
    </w:p>
    <w:p w14:paraId="5929FF59" w14:textId="3050FA8E" w:rsidR="0058515D" w:rsidRPr="0058515D" w:rsidRDefault="0058515D" w:rsidP="00BB3278">
      <w:pPr>
        <w:pStyle w:val="ListParagraph"/>
        <w:numPr>
          <w:ilvl w:val="0"/>
          <w:numId w:val="10"/>
        </w:numPr>
        <w:tabs>
          <w:tab w:val="clear" w:pos="720"/>
          <w:tab w:val="num" w:pos="426"/>
        </w:tabs>
        <w:spacing w:after="120"/>
        <w:ind w:left="426" w:hanging="426"/>
        <w:rPr>
          <w:rStyle w:val="BookTitle"/>
          <w:rFonts w:eastAsiaTheme="majorEastAsia" w:cs="Arial"/>
          <w:b/>
          <w:bCs/>
          <w:i w:val="0"/>
          <w:smallCaps w:val="0"/>
          <w:color w:val="345A8A" w:themeColor="accent1" w:themeShade="B5"/>
          <w:spacing w:val="0"/>
          <w:sz w:val="28"/>
          <w:szCs w:val="32"/>
          <w:lang w:val="en-US"/>
        </w:rPr>
      </w:pPr>
      <w:r w:rsidRPr="0058515D">
        <w:rPr>
          <w:rStyle w:val="BookTitle"/>
          <w:rFonts w:cs="Arial"/>
          <w:i w:val="0"/>
          <w:smallCaps w:val="0"/>
          <w:spacing w:val="0"/>
        </w:rPr>
        <w:t xml:space="preserve">The Commonwealth will continue to project the future cost of the NDIS, informed by each independent review of NDIS costs commencing from </w:t>
      </w:r>
      <w:r w:rsidR="00395142">
        <w:rPr>
          <w:rStyle w:val="BookTitle"/>
          <w:rFonts w:cs="Arial"/>
          <w:i w:val="0"/>
          <w:smallCaps w:val="0"/>
          <w:spacing w:val="0"/>
        </w:rPr>
        <w:t>2028</w:t>
      </w:r>
      <w:r w:rsidRPr="0058515D">
        <w:rPr>
          <w:rStyle w:val="BookTitle"/>
          <w:rFonts w:cs="Arial"/>
          <w:i w:val="0"/>
          <w:smallCaps w:val="0"/>
          <w:spacing w:val="0"/>
        </w:rPr>
        <w:t>.</w:t>
      </w:r>
    </w:p>
    <w:p w14:paraId="3B35EAD9" w14:textId="77777777" w:rsidR="0058515D" w:rsidRPr="0058515D" w:rsidRDefault="0058515D" w:rsidP="00BB3278">
      <w:pPr>
        <w:pStyle w:val="ListParagraph"/>
        <w:tabs>
          <w:tab w:val="num" w:pos="426"/>
        </w:tabs>
        <w:spacing w:after="120"/>
        <w:ind w:left="426" w:hanging="426"/>
        <w:rPr>
          <w:rStyle w:val="BookTitle"/>
          <w:rFonts w:cs="Arial"/>
          <w:i w:val="0"/>
          <w:smallCaps w:val="0"/>
          <w:spacing w:val="0"/>
        </w:rPr>
      </w:pPr>
    </w:p>
    <w:p w14:paraId="1E7F67CB" w14:textId="77777777" w:rsidR="0058515D" w:rsidRPr="0058515D" w:rsidRDefault="0058515D" w:rsidP="00BB3278">
      <w:pPr>
        <w:pStyle w:val="ListParagraph"/>
        <w:numPr>
          <w:ilvl w:val="0"/>
          <w:numId w:val="10"/>
        </w:numPr>
        <w:tabs>
          <w:tab w:val="clear" w:pos="720"/>
          <w:tab w:val="num" w:pos="426"/>
        </w:tabs>
        <w:spacing w:after="120"/>
        <w:ind w:left="426" w:hanging="426"/>
        <w:rPr>
          <w:rFonts w:eastAsiaTheme="majorEastAsia"/>
        </w:rPr>
      </w:pPr>
      <w:r w:rsidRPr="0058515D">
        <w:rPr>
          <w:rStyle w:val="BookTitle"/>
          <w:rFonts w:cs="Arial"/>
          <w:i w:val="0"/>
          <w:smallCaps w:val="0"/>
          <w:spacing w:val="0"/>
        </w:rPr>
        <w:t>The Commonwealth will be responsible for the balance of all NDIS costs, taking</w:t>
      </w:r>
      <w:r w:rsidRPr="0058515D">
        <w:rPr>
          <w:rStyle w:val="BookTitle"/>
          <w:rFonts w:cs="Arial"/>
          <w:spacing w:val="0"/>
        </w:rPr>
        <w:t xml:space="preserve"> </w:t>
      </w:r>
      <w:r w:rsidRPr="0058515D">
        <w:t>into account the financial contributions from the Northern Territory, and will fully provision for all Commonwealth financial contributions.</w:t>
      </w:r>
    </w:p>
    <w:p w14:paraId="18BD8BDF" w14:textId="77777777" w:rsidR="0058515D" w:rsidRPr="0058515D" w:rsidRDefault="0058515D" w:rsidP="00BB3278">
      <w:pPr>
        <w:pStyle w:val="ListParagraph"/>
        <w:tabs>
          <w:tab w:val="num" w:pos="426"/>
        </w:tabs>
        <w:spacing w:after="120"/>
        <w:ind w:left="426" w:hanging="426"/>
        <w:rPr>
          <w:rStyle w:val="BookTitle"/>
          <w:rFonts w:cs="Arial"/>
          <w:spacing w:val="0"/>
        </w:rPr>
      </w:pPr>
    </w:p>
    <w:p w14:paraId="3AABBB89" w14:textId="77777777" w:rsidR="0058515D" w:rsidRPr="0058515D" w:rsidRDefault="0058515D" w:rsidP="00BB3278">
      <w:pPr>
        <w:pStyle w:val="ListParagraph"/>
        <w:numPr>
          <w:ilvl w:val="0"/>
          <w:numId w:val="10"/>
        </w:numPr>
        <w:tabs>
          <w:tab w:val="clear" w:pos="720"/>
          <w:tab w:val="num" w:pos="426"/>
        </w:tabs>
        <w:spacing w:after="120"/>
        <w:ind w:left="426" w:hanging="426"/>
        <w:rPr>
          <w:rStyle w:val="BookTitle"/>
          <w:rFonts w:cs="Arial"/>
          <w:spacing w:val="0"/>
        </w:rPr>
      </w:pPr>
      <w:r w:rsidRPr="0058515D">
        <w:rPr>
          <w:rStyle w:val="BookTitle"/>
          <w:rFonts w:cs="Arial"/>
          <w:i w:val="0"/>
          <w:smallCaps w:val="0"/>
          <w:spacing w:val="0"/>
        </w:rPr>
        <w:t xml:space="preserve">The Commonwealth’s cash contributions will be made in advance, within the first two working days of each quarter, following receipt of an invoice from the NDIA. </w:t>
      </w:r>
    </w:p>
    <w:p w14:paraId="3A54D6E3" w14:textId="77777777" w:rsidR="00674FC5" w:rsidRPr="000C317C" w:rsidRDefault="00674FC5" w:rsidP="001972B6">
      <w:pPr>
        <w:pStyle w:val="BoldBlueh2"/>
        <w:rPr>
          <w:rStyle w:val="BookTitle"/>
          <w:rFonts w:cs="Arial"/>
          <w:i w:val="0"/>
          <w:smallCaps w:val="0"/>
          <w:spacing w:val="0"/>
        </w:rPr>
      </w:pPr>
      <w:r w:rsidRPr="000C317C">
        <w:rPr>
          <w:rStyle w:val="BookTitle"/>
          <w:rFonts w:cs="Arial"/>
          <w:i w:val="0"/>
          <w:smallCaps w:val="0"/>
          <w:spacing w:val="0"/>
        </w:rPr>
        <w:t>Re</w:t>
      </w:r>
      <w:r w:rsidR="002E4619" w:rsidRPr="000C317C">
        <w:rPr>
          <w:rStyle w:val="BookTitle"/>
          <w:rFonts w:cs="Arial"/>
          <w:i w:val="0"/>
          <w:smallCaps w:val="0"/>
          <w:spacing w:val="0"/>
        </w:rPr>
        <w:t>al</w:t>
      </w:r>
      <w:r w:rsidR="00834F2C" w:rsidRPr="000C317C">
        <w:rPr>
          <w:rStyle w:val="BookTitle"/>
          <w:rFonts w:cs="Arial"/>
          <w:i w:val="0"/>
          <w:smallCaps w:val="0"/>
          <w:spacing w:val="0"/>
        </w:rPr>
        <w:t>location</w:t>
      </w:r>
      <w:r w:rsidRPr="000C317C">
        <w:rPr>
          <w:rStyle w:val="BookTitle"/>
          <w:rFonts w:cs="Arial"/>
          <w:i w:val="0"/>
          <w:smallCaps w:val="0"/>
          <w:spacing w:val="0"/>
        </w:rPr>
        <w:t xml:space="preserve"> of </w:t>
      </w:r>
      <w:r w:rsidR="00163B63">
        <w:rPr>
          <w:rStyle w:val="BookTitle"/>
          <w:rFonts w:cs="Arial"/>
          <w:i w:val="0"/>
          <w:smallCaps w:val="0"/>
          <w:spacing w:val="0"/>
        </w:rPr>
        <w:t xml:space="preserve">the </w:t>
      </w:r>
      <w:r w:rsidR="00814CC8">
        <w:rPr>
          <w:rStyle w:val="BookTitle"/>
          <w:rFonts w:cs="Arial"/>
          <w:i w:val="0"/>
          <w:smallCaps w:val="0"/>
          <w:spacing w:val="0"/>
        </w:rPr>
        <w:t>Northern Territory</w:t>
      </w:r>
      <w:r w:rsidR="00163B63">
        <w:rPr>
          <w:rStyle w:val="BookTitle"/>
          <w:rFonts w:cs="Arial"/>
          <w:i w:val="0"/>
          <w:smallCaps w:val="0"/>
          <w:spacing w:val="0"/>
        </w:rPr>
        <w:t>’s</w:t>
      </w:r>
      <w:r w:rsidR="002966AE" w:rsidRPr="000C317C">
        <w:rPr>
          <w:rStyle w:val="BookTitle"/>
          <w:rFonts w:cs="Arial"/>
          <w:i w:val="0"/>
          <w:smallCaps w:val="0"/>
          <w:spacing w:val="0"/>
        </w:rPr>
        <w:t xml:space="preserve"> </w:t>
      </w:r>
      <w:r w:rsidRPr="000C317C">
        <w:rPr>
          <w:rStyle w:val="BookTitle"/>
          <w:rFonts w:cs="Arial"/>
          <w:i w:val="0"/>
          <w:smallCaps w:val="0"/>
          <w:spacing w:val="0"/>
        </w:rPr>
        <w:t xml:space="preserve">contributions </w:t>
      </w:r>
    </w:p>
    <w:p w14:paraId="4487EE2E" w14:textId="45DFEAA6" w:rsidR="0058515D" w:rsidRPr="0058515D" w:rsidRDefault="0058515D" w:rsidP="005D50CD">
      <w:pPr>
        <w:pStyle w:val="ListParagraph"/>
        <w:numPr>
          <w:ilvl w:val="0"/>
          <w:numId w:val="10"/>
        </w:numPr>
        <w:tabs>
          <w:tab w:val="clear" w:pos="720"/>
          <w:tab w:val="num" w:pos="426"/>
        </w:tabs>
        <w:spacing w:after="120"/>
        <w:ind w:left="426" w:hanging="426"/>
        <w:rPr>
          <w:rStyle w:val="BookTitle"/>
          <w:rFonts w:eastAsiaTheme="majorEastAsia" w:cs="Arial"/>
          <w:b/>
          <w:bCs/>
          <w:i w:val="0"/>
          <w:smallCaps w:val="0"/>
          <w:color w:val="345A8A" w:themeColor="accent1" w:themeShade="B5"/>
          <w:spacing w:val="0"/>
          <w:sz w:val="28"/>
          <w:szCs w:val="32"/>
          <w:lang w:val="en-US"/>
        </w:rPr>
      </w:pPr>
      <w:r w:rsidRPr="0058515D">
        <w:rPr>
          <w:rStyle w:val="BookTitle"/>
          <w:rFonts w:cs="Arial"/>
          <w:i w:val="0"/>
          <w:smallCaps w:val="0"/>
          <w:spacing w:val="0"/>
        </w:rPr>
        <w:t xml:space="preserve">A net neutral reallocation of all state and territory contributions will occur from </w:t>
      </w:r>
      <w:r w:rsidRPr="0058515D">
        <w:rPr>
          <w:rStyle w:val="BookTitle"/>
          <w:rFonts w:cs="Arial"/>
          <w:spacing w:val="0"/>
        </w:rPr>
        <w:br/>
      </w:r>
      <w:r w:rsidRPr="0058515D">
        <w:rPr>
          <w:rStyle w:val="BookTitle"/>
          <w:rFonts w:cs="Arial"/>
          <w:i w:val="0"/>
          <w:smallCaps w:val="0"/>
          <w:spacing w:val="0"/>
        </w:rPr>
        <w:t xml:space="preserve">1 July </w:t>
      </w:r>
      <w:r w:rsidR="00395142">
        <w:rPr>
          <w:rStyle w:val="BookTitle"/>
          <w:rFonts w:cs="Arial"/>
          <w:i w:val="0"/>
          <w:smallCaps w:val="0"/>
          <w:spacing w:val="0"/>
        </w:rPr>
        <w:t>2028</w:t>
      </w:r>
      <w:r w:rsidRPr="0058515D">
        <w:rPr>
          <w:rStyle w:val="BookTitle"/>
          <w:rFonts w:cs="Arial"/>
          <w:i w:val="0"/>
          <w:smallCaps w:val="0"/>
          <w:spacing w:val="0"/>
        </w:rPr>
        <w:t xml:space="preserve"> and every five years thereafter, in line with each </w:t>
      </w:r>
      <w:proofErr w:type="gramStart"/>
      <w:r w:rsidRPr="0058515D">
        <w:rPr>
          <w:rStyle w:val="BookTitle"/>
          <w:rFonts w:cs="Arial"/>
          <w:i w:val="0"/>
          <w:smallCaps w:val="0"/>
          <w:spacing w:val="0"/>
        </w:rPr>
        <w:t>state’s</w:t>
      </w:r>
      <w:proofErr w:type="gramEnd"/>
      <w:r w:rsidRPr="0058515D">
        <w:rPr>
          <w:rStyle w:val="BookTitle"/>
          <w:rFonts w:cs="Arial"/>
          <w:i w:val="0"/>
          <w:smallCaps w:val="0"/>
          <w:spacing w:val="0"/>
        </w:rPr>
        <w:t xml:space="preserve"> and territory’s share of the total national population as per the most recent Census data at the time. </w:t>
      </w:r>
      <w:r w:rsidRPr="0058515D">
        <w:rPr>
          <w:rStyle w:val="BookTitle"/>
          <w:rFonts w:cs="Arial"/>
          <w:spacing w:val="0"/>
        </w:rPr>
        <w:br/>
      </w:r>
      <w:r w:rsidRPr="0058515D">
        <w:rPr>
          <w:rStyle w:val="BookTitle"/>
          <w:rFonts w:cs="Arial"/>
          <w:i w:val="0"/>
          <w:smallCaps w:val="0"/>
          <w:spacing w:val="0"/>
        </w:rPr>
        <w:t xml:space="preserve">This Schedule will be amended in </w:t>
      </w:r>
      <w:r w:rsidR="00395142">
        <w:rPr>
          <w:rStyle w:val="BookTitle"/>
          <w:rFonts w:cs="Arial"/>
          <w:i w:val="0"/>
          <w:smallCaps w:val="0"/>
          <w:spacing w:val="0"/>
        </w:rPr>
        <w:t>2028</w:t>
      </w:r>
      <w:r w:rsidRPr="0058515D">
        <w:rPr>
          <w:rStyle w:val="BookTitle"/>
          <w:rFonts w:cs="Arial"/>
          <w:i w:val="0"/>
          <w:smallCaps w:val="0"/>
          <w:spacing w:val="0"/>
        </w:rPr>
        <w:t xml:space="preserve"> and every five years thereafter to reflect the reallocation.</w:t>
      </w:r>
    </w:p>
    <w:p w14:paraId="2DC92710" w14:textId="77777777" w:rsidR="0058515D" w:rsidRPr="0058515D" w:rsidRDefault="0058515D" w:rsidP="005D50CD">
      <w:pPr>
        <w:pStyle w:val="ListParagraph"/>
        <w:tabs>
          <w:tab w:val="num" w:pos="426"/>
        </w:tabs>
        <w:spacing w:after="120"/>
        <w:ind w:left="426" w:hanging="426"/>
        <w:rPr>
          <w:rStyle w:val="BookTitle"/>
          <w:rFonts w:cs="Arial"/>
          <w:i w:val="0"/>
          <w:smallCaps w:val="0"/>
          <w:spacing w:val="0"/>
        </w:rPr>
      </w:pPr>
    </w:p>
    <w:p w14:paraId="18EC6E2D" w14:textId="77777777" w:rsidR="0058515D" w:rsidRPr="0058515D" w:rsidRDefault="0058515D" w:rsidP="005D50CD">
      <w:pPr>
        <w:pStyle w:val="ListParagraph"/>
        <w:numPr>
          <w:ilvl w:val="0"/>
          <w:numId w:val="10"/>
        </w:numPr>
        <w:tabs>
          <w:tab w:val="clear" w:pos="720"/>
          <w:tab w:val="num" w:pos="426"/>
        </w:tabs>
        <w:spacing w:after="120"/>
        <w:ind w:left="426" w:hanging="426"/>
        <w:rPr>
          <w:rStyle w:val="BookTitle"/>
          <w:rFonts w:cs="Arial"/>
          <w:i w:val="0"/>
          <w:smallCaps w:val="0"/>
          <w:spacing w:val="0"/>
        </w:rPr>
      </w:pPr>
      <w:r w:rsidRPr="0058515D">
        <w:rPr>
          <w:rStyle w:val="BookTitle"/>
          <w:rFonts w:cs="Arial"/>
          <w:i w:val="0"/>
          <w:smallCaps w:val="0"/>
          <w:spacing w:val="0"/>
        </w:rPr>
        <w:t xml:space="preserve">State population shares will be taken from the Australian Bureau of Statistics measure </w:t>
      </w:r>
      <w:r w:rsidRPr="00194EA4">
        <w:rPr>
          <w:rStyle w:val="BookTitle"/>
          <w:rFonts w:cs="Arial"/>
          <w:iCs/>
          <w:smallCaps w:val="0"/>
          <w:spacing w:val="0"/>
        </w:rPr>
        <w:t>3101.0 – Australian Demographic Statistics</w:t>
      </w:r>
      <w:r w:rsidRPr="0058515D">
        <w:rPr>
          <w:rStyle w:val="BookTitle"/>
          <w:rFonts w:cs="Arial"/>
          <w:i w:val="0"/>
          <w:smallCaps w:val="0"/>
          <w:spacing w:val="0"/>
        </w:rPr>
        <w:t>.</w:t>
      </w:r>
    </w:p>
    <w:p w14:paraId="414B7443" w14:textId="77777777" w:rsidR="0058515D" w:rsidRPr="0058515D" w:rsidRDefault="0058515D" w:rsidP="005D50CD">
      <w:pPr>
        <w:pStyle w:val="ListParagraph"/>
        <w:tabs>
          <w:tab w:val="num" w:pos="426"/>
        </w:tabs>
        <w:ind w:left="426" w:hanging="426"/>
        <w:rPr>
          <w:rStyle w:val="BookTitle"/>
          <w:rFonts w:cs="Arial"/>
          <w:i w:val="0"/>
          <w:smallCaps w:val="0"/>
          <w:spacing w:val="0"/>
        </w:rPr>
      </w:pPr>
    </w:p>
    <w:p w14:paraId="06B805DC" w14:textId="606F2B93" w:rsidR="0058515D" w:rsidRPr="0058515D" w:rsidRDefault="0058515D" w:rsidP="005D50CD">
      <w:pPr>
        <w:pStyle w:val="ListParagraph"/>
        <w:numPr>
          <w:ilvl w:val="0"/>
          <w:numId w:val="10"/>
        </w:numPr>
        <w:tabs>
          <w:tab w:val="clear" w:pos="720"/>
          <w:tab w:val="num" w:pos="426"/>
        </w:tabs>
        <w:spacing w:after="120"/>
        <w:ind w:left="426" w:hanging="426"/>
        <w:rPr>
          <w:rStyle w:val="BookTitle"/>
          <w:rFonts w:cs="Arial"/>
          <w:i w:val="0"/>
          <w:smallCaps w:val="0"/>
          <w:spacing w:val="0"/>
        </w:rPr>
      </w:pPr>
      <w:r w:rsidRPr="0058515D">
        <w:rPr>
          <w:rStyle w:val="BookTitle"/>
          <w:rFonts w:cs="Arial"/>
          <w:i w:val="0"/>
          <w:smallCaps w:val="0"/>
          <w:spacing w:val="0"/>
        </w:rPr>
        <w:t xml:space="preserve">State population shares will be taken from the December data from the year that each Census was undertaken (i.e. the first data used will be December </w:t>
      </w:r>
      <w:r w:rsidR="00E2185B">
        <w:rPr>
          <w:rStyle w:val="BookTitle"/>
          <w:rFonts w:cs="Arial"/>
          <w:i w:val="0"/>
          <w:smallCaps w:val="0"/>
          <w:spacing w:val="0"/>
        </w:rPr>
        <w:t>2026</w:t>
      </w:r>
      <w:r w:rsidRPr="0058515D">
        <w:rPr>
          <w:rStyle w:val="BookTitle"/>
          <w:rFonts w:cs="Arial"/>
          <w:i w:val="0"/>
          <w:smallCaps w:val="0"/>
          <w:spacing w:val="0"/>
        </w:rPr>
        <w:t xml:space="preserve"> Census data).</w:t>
      </w:r>
    </w:p>
    <w:p w14:paraId="5CC58264" w14:textId="77777777" w:rsidR="0058515D" w:rsidRPr="0058515D" w:rsidRDefault="0058515D" w:rsidP="005D50CD">
      <w:pPr>
        <w:pStyle w:val="ListParagraph"/>
        <w:tabs>
          <w:tab w:val="num" w:pos="426"/>
        </w:tabs>
        <w:spacing w:after="120"/>
        <w:ind w:left="426" w:hanging="426"/>
        <w:rPr>
          <w:rStyle w:val="BookTitle"/>
          <w:rFonts w:cs="Arial"/>
          <w:i w:val="0"/>
          <w:smallCaps w:val="0"/>
          <w:spacing w:val="0"/>
        </w:rPr>
      </w:pPr>
    </w:p>
    <w:p w14:paraId="20281C62" w14:textId="47626120" w:rsidR="0058515D" w:rsidRPr="0058515D" w:rsidRDefault="0058515D" w:rsidP="005D50CD">
      <w:pPr>
        <w:pStyle w:val="ListParagraph"/>
        <w:numPr>
          <w:ilvl w:val="0"/>
          <w:numId w:val="10"/>
        </w:numPr>
        <w:tabs>
          <w:tab w:val="clear" w:pos="720"/>
          <w:tab w:val="num" w:pos="426"/>
        </w:tabs>
        <w:spacing w:after="120"/>
        <w:ind w:left="426" w:hanging="426"/>
        <w:rPr>
          <w:rStyle w:val="BookTitle"/>
          <w:rFonts w:cs="Arial"/>
          <w:i w:val="0"/>
          <w:smallCaps w:val="0"/>
          <w:spacing w:val="0"/>
        </w:rPr>
      </w:pPr>
      <w:r w:rsidRPr="0058515D">
        <w:rPr>
          <w:rStyle w:val="BookTitle"/>
          <w:rFonts w:cs="Arial"/>
          <w:i w:val="0"/>
          <w:smallCaps w:val="0"/>
          <w:spacing w:val="0"/>
        </w:rPr>
        <w:t xml:space="preserve">When a reallocation occurs, the total quantum of baseline state and territory financial contributions to the NDIS in a financial year will be considered as a single figure. </w:t>
      </w:r>
      <w:r w:rsidR="00064156">
        <w:rPr>
          <w:rStyle w:val="BookTitle"/>
          <w:rFonts w:cs="Arial"/>
          <w:i w:val="0"/>
          <w:smallCaps w:val="0"/>
          <w:spacing w:val="0"/>
        </w:rPr>
        <w:t xml:space="preserve">This </w:t>
      </w:r>
      <w:r>
        <w:rPr>
          <w:rStyle w:val="BookTitle"/>
          <w:rFonts w:cs="Arial"/>
          <w:i w:val="0"/>
          <w:smallCaps w:val="0"/>
          <w:spacing w:val="0"/>
        </w:rPr>
        <w:t>figure</w:t>
      </w:r>
      <w:r w:rsidRPr="0058515D">
        <w:rPr>
          <w:rStyle w:val="BookTitle"/>
          <w:rFonts w:cs="Arial"/>
          <w:i w:val="0"/>
          <w:smallCaps w:val="0"/>
          <w:spacing w:val="0"/>
        </w:rPr>
        <w:t xml:space="preserve"> will then be divided based upon the updated share of national population residing in each state and territory.  </w:t>
      </w:r>
    </w:p>
    <w:p w14:paraId="3DD59E37" w14:textId="77777777" w:rsidR="0058515D" w:rsidRPr="0058515D" w:rsidRDefault="0058515D" w:rsidP="005D50CD">
      <w:pPr>
        <w:pStyle w:val="ListParagraph"/>
        <w:tabs>
          <w:tab w:val="num" w:pos="426"/>
        </w:tabs>
        <w:spacing w:after="120"/>
        <w:ind w:left="426" w:hanging="426"/>
        <w:rPr>
          <w:rStyle w:val="BookTitle"/>
          <w:rFonts w:cs="Arial"/>
          <w:i w:val="0"/>
          <w:smallCaps w:val="0"/>
          <w:spacing w:val="0"/>
        </w:rPr>
      </w:pPr>
    </w:p>
    <w:p w14:paraId="472369D0" w14:textId="77777777" w:rsidR="0058515D" w:rsidRPr="0058515D" w:rsidRDefault="0058515D" w:rsidP="005D50CD">
      <w:pPr>
        <w:pStyle w:val="ListParagraph"/>
        <w:numPr>
          <w:ilvl w:val="0"/>
          <w:numId w:val="10"/>
        </w:numPr>
        <w:tabs>
          <w:tab w:val="clear" w:pos="720"/>
          <w:tab w:val="num" w:pos="426"/>
        </w:tabs>
        <w:spacing w:after="120"/>
        <w:ind w:left="426" w:hanging="426"/>
        <w:rPr>
          <w:rStyle w:val="BookTitle"/>
          <w:rFonts w:cs="Arial"/>
          <w:i w:val="0"/>
          <w:smallCaps w:val="0"/>
          <w:spacing w:val="0"/>
        </w:rPr>
      </w:pPr>
      <w:r w:rsidRPr="0058515D">
        <w:rPr>
          <w:rStyle w:val="BookTitle"/>
          <w:rFonts w:cs="Arial"/>
          <w:i w:val="0"/>
          <w:smallCaps w:val="0"/>
          <w:spacing w:val="0"/>
        </w:rPr>
        <w:t xml:space="preserve">This reallocation will result in increased contributions from states and territories whose share of the national population has grown, and reduced contributions from states and territories whose share of the national population has fallen, at the time of reallocation.  </w:t>
      </w:r>
    </w:p>
    <w:p w14:paraId="19247969" w14:textId="77777777" w:rsidR="00D92D2A" w:rsidRPr="007D6567" w:rsidRDefault="00674FC5" w:rsidP="001972B6">
      <w:pPr>
        <w:pStyle w:val="BoldBlueh2"/>
        <w:rPr>
          <w:rStyle w:val="BookTitle"/>
          <w:rFonts w:cs="Arial"/>
          <w:i w:val="0"/>
          <w:smallCaps w:val="0"/>
          <w:spacing w:val="0"/>
        </w:rPr>
      </w:pPr>
      <w:r w:rsidRPr="000C317C">
        <w:rPr>
          <w:rStyle w:val="BookTitle"/>
          <w:rFonts w:cs="Arial"/>
          <w:i w:val="0"/>
          <w:smallCaps w:val="0"/>
          <w:spacing w:val="0"/>
        </w:rPr>
        <w:t>The National Injury Insurance Scheme (NIIS)</w:t>
      </w:r>
    </w:p>
    <w:p w14:paraId="6DF2C0AE" w14:textId="77777777" w:rsidR="00E62FA6" w:rsidRDefault="0058515D" w:rsidP="00E62FA6">
      <w:pPr>
        <w:pStyle w:val="ListParagraph"/>
        <w:numPr>
          <w:ilvl w:val="0"/>
          <w:numId w:val="10"/>
        </w:numPr>
        <w:tabs>
          <w:tab w:val="clear" w:pos="720"/>
          <w:tab w:val="num" w:pos="426"/>
        </w:tabs>
        <w:ind w:left="426" w:hanging="426"/>
      </w:pPr>
      <w:r w:rsidRPr="0058515D">
        <w:t>The minimum benchmarks are outlined in the COAG Decision Regulation Impact Statements – Standing Council on Federal Financial Relations for motor vehicle or workplace accidents.</w:t>
      </w:r>
    </w:p>
    <w:p w14:paraId="7128F28F" w14:textId="77777777" w:rsidR="00E62FA6" w:rsidRDefault="00E62FA6" w:rsidP="00E62FA6">
      <w:pPr>
        <w:pStyle w:val="ListParagraph"/>
        <w:ind w:left="426"/>
      </w:pPr>
    </w:p>
    <w:p w14:paraId="7D9EC8C1" w14:textId="77777777" w:rsidR="00E62FA6" w:rsidRDefault="0058515D" w:rsidP="00E62FA6">
      <w:pPr>
        <w:pStyle w:val="ListParagraph"/>
        <w:numPr>
          <w:ilvl w:val="0"/>
          <w:numId w:val="10"/>
        </w:numPr>
        <w:tabs>
          <w:tab w:val="clear" w:pos="720"/>
          <w:tab w:val="num" w:pos="426"/>
        </w:tabs>
        <w:ind w:left="426" w:hanging="426"/>
      </w:pPr>
      <w:r w:rsidRPr="0058515D">
        <w:t>The Northern Territory will make additional contributions to the NDIS if the Northern Territory’s motor vehicle or workplace insurance schemes are below nationally agreed minimum benchmarks, or any revised minimum benchmarks subsequently amended by the Standing Council on Federal Financial Relations. The Commonwealth will agree with states and territories a process to verify that minimum benchmarks continue to be met.</w:t>
      </w:r>
    </w:p>
    <w:p w14:paraId="4F889BE2" w14:textId="77777777" w:rsidR="00E62FA6" w:rsidRDefault="00E62FA6" w:rsidP="00E62FA6">
      <w:pPr>
        <w:pStyle w:val="ListParagraph"/>
      </w:pPr>
    </w:p>
    <w:p w14:paraId="2B8A82D1" w14:textId="652F02B5" w:rsidR="00E62FA6" w:rsidRDefault="0058515D" w:rsidP="00E62FA6">
      <w:pPr>
        <w:pStyle w:val="ListParagraph"/>
        <w:numPr>
          <w:ilvl w:val="0"/>
          <w:numId w:val="10"/>
        </w:numPr>
        <w:tabs>
          <w:tab w:val="clear" w:pos="720"/>
          <w:tab w:val="num" w:pos="426"/>
        </w:tabs>
        <w:ind w:left="426" w:hanging="426"/>
      </w:pPr>
      <w:r w:rsidRPr="0058515D">
        <w:t xml:space="preserve">The amount of any additional contributions from the Northern Territory under Clause </w:t>
      </w:r>
      <w:r w:rsidR="00207E0F">
        <w:t>2</w:t>
      </w:r>
      <w:r w:rsidR="0052026C">
        <w:t>4</w:t>
      </w:r>
      <w:r w:rsidRPr="0058515D">
        <w:t xml:space="preserve"> will be the cost of the NDIS plan, and agreed administration costs, provided to a person in the NDIS. </w:t>
      </w:r>
    </w:p>
    <w:p w14:paraId="7BC964CA" w14:textId="77777777" w:rsidR="00E62FA6" w:rsidRDefault="00E62FA6" w:rsidP="00E62FA6">
      <w:pPr>
        <w:pStyle w:val="ListParagraph"/>
      </w:pPr>
    </w:p>
    <w:p w14:paraId="0ACF5B51" w14:textId="77777777" w:rsidR="00E62FA6" w:rsidRPr="00E62FA6" w:rsidRDefault="0058515D" w:rsidP="00E62FA6">
      <w:pPr>
        <w:pStyle w:val="ListParagraph"/>
        <w:numPr>
          <w:ilvl w:val="0"/>
          <w:numId w:val="10"/>
        </w:numPr>
        <w:tabs>
          <w:tab w:val="clear" w:pos="720"/>
          <w:tab w:val="num" w:pos="426"/>
        </w:tabs>
        <w:ind w:left="426" w:hanging="426"/>
      </w:pPr>
      <w:r w:rsidRPr="0058515D">
        <w:t>The Commonwealth and the Northern Territory will continue to assess the feasibility of a NIIS for catastrophic general accidents in good faith, through the Standing Council on Federal Financial Relations</w:t>
      </w:r>
      <w:r w:rsidRPr="00E62FA6">
        <w:rPr>
          <w:iCs/>
          <w:smallCaps/>
        </w:rPr>
        <w:t>.</w:t>
      </w:r>
    </w:p>
    <w:p w14:paraId="4FEEF6E9" w14:textId="77777777" w:rsidR="00E62FA6" w:rsidRDefault="00E62FA6" w:rsidP="00E62FA6">
      <w:pPr>
        <w:pStyle w:val="ListParagraph"/>
      </w:pPr>
    </w:p>
    <w:p w14:paraId="3FDA71A0" w14:textId="5787CF2A" w:rsidR="0058515D" w:rsidRPr="00E62FA6" w:rsidRDefault="0058515D" w:rsidP="00E62FA6">
      <w:pPr>
        <w:pStyle w:val="ListParagraph"/>
        <w:numPr>
          <w:ilvl w:val="0"/>
          <w:numId w:val="10"/>
        </w:numPr>
        <w:tabs>
          <w:tab w:val="clear" w:pos="720"/>
          <w:tab w:val="num" w:pos="426"/>
        </w:tabs>
        <w:ind w:left="426" w:hanging="426"/>
        <w:rPr>
          <w:rStyle w:val="BookTitle"/>
          <w:i w:val="0"/>
          <w:smallCaps w:val="0"/>
          <w:spacing w:val="0"/>
        </w:rPr>
      </w:pPr>
      <w:r>
        <w:t xml:space="preserve">The Commonwealth and the Northern Territory may continue negotiations, through the Standing Council on Federal Financial Relations, on coverage for no fault catastrophic medical treatment accidents, following a decision by </w:t>
      </w:r>
      <w:r w:rsidR="00E2185B">
        <w:t>First Ministers</w:t>
      </w:r>
      <w:r w:rsidR="50193C92">
        <w:t>’</w:t>
      </w:r>
      <w:r w:rsidR="00E2185B">
        <w:t xml:space="preserve"> Council</w:t>
      </w:r>
      <w:r>
        <w:t xml:space="preserve"> in 2017 to not proceed with the medical injury stream of the NIIS at this time.</w:t>
      </w:r>
    </w:p>
    <w:p w14:paraId="0C793062" w14:textId="77777777" w:rsidR="00C76630" w:rsidRPr="00990B90" w:rsidRDefault="00C76630" w:rsidP="00E62FA6">
      <w:pPr>
        <w:sectPr w:rsidR="00C76630" w:rsidRPr="00990B90">
          <w:pgSz w:w="11906" w:h="16838"/>
          <w:pgMar w:top="1440" w:right="1440" w:bottom="1440" w:left="1440" w:header="708" w:footer="708" w:gutter="0"/>
          <w:cols w:space="708"/>
          <w:docGrid w:linePitch="360"/>
        </w:sectPr>
      </w:pPr>
    </w:p>
    <w:p w14:paraId="032FFAFE" w14:textId="77777777" w:rsidR="00990896" w:rsidRPr="00990896" w:rsidRDefault="00990896" w:rsidP="00990896">
      <w:pPr>
        <w:widowControl w:val="0"/>
        <w:tabs>
          <w:tab w:val="left" w:pos="483"/>
        </w:tabs>
        <w:autoSpaceDE w:val="0"/>
        <w:autoSpaceDN w:val="0"/>
        <w:spacing w:before="240" w:after="0" w:line="240" w:lineRule="auto"/>
        <w:rPr>
          <w:rFonts w:eastAsia="Arial" w:cs="Arial"/>
          <w:w w:val="105"/>
          <w:lang w:val="en-US"/>
        </w:rPr>
      </w:pPr>
      <w:r w:rsidRPr="00990896">
        <w:rPr>
          <w:rFonts w:eastAsia="Arial" w:cs="Arial"/>
          <w:w w:val="105"/>
          <w:lang w:val="en-US"/>
        </w:rPr>
        <w:lastRenderedPageBreak/>
        <w:t xml:space="preserve">The Parties have confirmed their commitment to this Agreement as follows: </w:t>
      </w:r>
      <w:r w:rsidRPr="00990896">
        <w:rPr>
          <w:rFonts w:eastAsia="Arial" w:cs="Arial"/>
          <w:w w:val="105"/>
          <w:lang w:val="en-US"/>
        </w:rPr>
        <w:br/>
      </w:r>
    </w:p>
    <w:p w14:paraId="6D4AAB0F" w14:textId="4E53B3F0" w:rsidR="005F2681" w:rsidRDefault="00D848C7" w:rsidP="00FC6F64">
      <w:pPr>
        <w:spacing w:after="0"/>
        <w:rPr>
          <w:rFonts w:cs="Arial"/>
        </w:rPr>
      </w:pPr>
      <w:r>
        <w:rPr>
          <w:noProof/>
        </w:rPr>
        <w:drawing>
          <wp:inline distT="0" distB="0" distL="0" distR="0" wp14:anchorId="7C2ACE5C" wp14:editId="1ACE65A6">
            <wp:extent cx="4648200" cy="2286000"/>
            <wp:effectExtent l="0" t="0" r="0" b="0"/>
            <wp:docPr id="1844833590" name="Picture 1" descr="Signed for and on behalf of the Commonwealth of Australia by the Honourable Anthony Albanese MP, Prime Minister of the Commonwealth of Australia - 27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833590" name="Picture 1" descr="Signed for and on behalf of the Commonwealth of Australia by the Honourable Anthony Albanese MP, Prime Minister of the Commonwealth of Australia - 27 February 2026."/>
                    <pic:cNvPicPr/>
                  </pic:nvPicPr>
                  <pic:blipFill>
                    <a:blip r:embed="rId18"/>
                    <a:stretch>
                      <a:fillRect/>
                    </a:stretch>
                  </pic:blipFill>
                  <pic:spPr>
                    <a:xfrm>
                      <a:off x="0" y="0"/>
                      <a:ext cx="4648200" cy="2286000"/>
                    </a:xfrm>
                    <a:prstGeom prst="rect">
                      <a:avLst/>
                    </a:prstGeom>
                  </pic:spPr>
                </pic:pic>
              </a:graphicData>
            </a:graphic>
          </wp:inline>
        </w:drawing>
      </w:r>
    </w:p>
    <w:p w14:paraId="1F0673BC" w14:textId="34A31081" w:rsidR="00D848C7" w:rsidRPr="00FC6F64" w:rsidRDefault="00074C95" w:rsidP="00FC6F64">
      <w:pPr>
        <w:spacing w:after="0"/>
        <w:rPr>
          <w:rFonts w:cs="Arial"/>
        </w:rPr>
      </w:pPr>
      <w:r>
        <w:rPr>
          <w:noProof/>
        </w:rPr>
        <w:drawing>
          <wp:inline distT="0" distB="0" distL="0" distR="0" wp14:anchorId="6EBCE36D" wp14:editId="4CFD3012">
            <wp:extent cx="5048250" cy="2190750"/>
            <wp:effectExtent l="0" t="0" r="0" b="0"/>
            <wp:docPr id="1629385180" name="Picture 1" descr="Signed for and on behalf of the Northern Territory by the Honourable Lia Finocchiaro MLA, Chief Minister of the Northern Territory - 2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85180" name="Picture 1" descr="Signed for and on behalf of the Northern Territory by the Honourable Lia Finocchiaro MLA, Chief Minister of the Northern Territory - 2 February 2026."/>
                    <pic:cNvPicPr/>
                  </pic:nvPicPr>
                  <pic:blipFill>
                    <a:blip r:embed="rId19"/>
                    <a:stretch>
                      <a:fillRect/>
                    </a:stretch>
                  </pic:blipFill>
                  <pic:spPr>
                    <a:xfrm>
                      <a:off x="0" y="0"/>
                      <a:ext cx="5048250" cy="2190750"/>
                    </a:xfrm>
                    <a:prstGeom prst="rect">
                      <a:avLst/>
                    </a:prstGeom>
                  </pic:spPr>
                </pic:pic>
              </a:graphicData>
            </a:graphic>
          </wp:inline>
        </w:drawing>
      </w:r>
    </w:p>
    <w:sectPr w:rsidR="00D848C7" w:rsidRPr="00FC6F64" w:rsidSect="00B77B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45370" w14:textId="77777777" w:rsidR="00141B87" w:rsidRDefault="00141B87">
      <w:pPr>
        <w:spacing w:after="0" w:line="240" w:lineRule="auto"/>
      </w:pPr>
      <w:r>
        <w:separator/>
      </w:r>
    </w:p>
  </w:endnote>
  <w:endnote w:type="continuationSeparator" w:id="0">
    <w:p w14:paraId="7D7949A3" w14:textId="77777777" w:rsidR="00141B87" w:rsidRDefault="00141B87">
      <w:pPr>
        <w:spacing w:after="0" w:line="240" w:lineRule="auto"/>
      </w:pPr>
      <w:r>
        <w:continuationSeparator/>
      </w:r>
    </w:p>
  </w:endnote>
  <w:endnote w:type="continuationNotice" w:id="1">
    <w:p w14:paraId="0B36ADBB" w14:textId="77777777" w:rsidR="00141B87" w:rsidRDefault="00141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E733" w14:textId="2456E467" w:rsidR="00FD4F8E" w:rsidRDefault="00480E1B">
    <w:pPr>
      <w:pStyle w:val="Footer"/>
    </w:pPr>
    <w:r>
      <w:rPr>
        <w:noProof/>
      </w:rPr>
      <mc:AlternateContent>
        <mc:Choice Requires="wps">
          <w:drawing>
            <wp:anchor distT="0" distB="0" distL="0" distR="0" simplePos="0" relativeHeight="251658244" behindDoc="0" locked="0" layoutInCell="1" allowOverlap="1" wp14:anchorId="3484FDCA" wp14:editId="684C1662">
              <wp:simplePos x="635" y="635"/>
              <wp:positionH relativeFrom="page">
                <wp:align>center</wp:align>
              </wp:positionH>
              <wp:positionV relativeFrom="page">
                <wp:align>bottom</wp:align>
              </wp:positionV>
              <wp:extent cx="622300" cy="404495"/>
              <wp:effectExtent l="0" t="0" r="6350" b="0"/>
              <wp:wrapNone/>
              <wp:docPr id="2423032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BAA859F" w14:textId="27D4C8CE" w:rsidR="00480E1B" w:rsidRPr="00480E1B" w:rsidRDefault="00480E1B" w:rsidP="00480E1B">
                          <w:pPr>
                            <w:spacing w:after="0"/>
                            <w:rPr>
                              <w:rFonts w:ascii="Aptos" w:eastAsia="Aptos" w:hAnsi="Aptos" w:cs="Aptos"/>
                              <w:noProof/>
                              <w:color w:val="FF0000"/>
                              <w:sz w:val="24"/>
                              <w:szCs w:val="24"/>
                            </w:rPr>
                          </w:pPr>
                          <w:r w:rsidRPr="00480E1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84FDCA"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0BAA859F" w14:textId="27D4C8CE" w:rsidR="00480E1B" w:rsidRPr="00480E1B" w:rsidRDefault="00480E1B" w:rsidP="00480E1B">
                    <w:pPr>
                      <w:spacing w:after="0"/>
                      <w:rPr>
                        <w:rFonts w:ascii="Aptos" w:eastAsia="Aptos" w:hAnsi="Aptos" w:cs="Aptos"/>
                        <w:noProof/>
                        <w:color w:val="FF0000"/>
                        <w:sz w:val="24"/>
                        <w:szCs w:val="24"/>
                      </w:rPr>
                    </w:pPr>
                    <w:r w:rsidRPr="00480E1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714D" w14:textId="06CE5070" w:rsidR="00A74F0A" w:rsidRDefault="00480E1B">
    <w:pPr>
      <w:pStyle w:val="Footer"/>
    </w:pPr>
    <w:r>
      <w:rPr>
        <w:noProof/>
      </w:rPr>
      <mc:AlternateContent>
        <mc:Choice Requires="wps">
          <w:drawing>
            <wp:anchor distT="0" distB="0" distL="0" distR="0" simplePos="0" relativeHeight="251658245" behindDoc="0" locked="0" layoutInCell="1" allowOverlap="1" wp14:anchorId="33F09887" wp14:editId="79C47FA0">
              <wp:simplePos x="635" y="635"/>
              <wp:positionH relativeFrom="page">
                <wp:align>center</wp:align>
              </wp:positionH>
              <wp:positionV relativeFrom="page">
                <wp:align>bottom</wp:align>
              </wp:positionV>
              <wp:extent cx="622300" cy="404495"/>
              <wp:effectExtent l="0" t="0" r="6350" b="0"/>
              <wp:wrapNone/>
              <wp:docPr id="170769045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DE5DBD0" w14:textId="0BF92BF1" w:rsidR="00480E1B" w:rsidRPr="00480E1B" w:rsidRDefault="00480E1B" w:rsidP="00480E1B">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F09887"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2DE5DBD0" w14:textId="0BF92BF1" w:rsidR="00480E1B" w:rsidRPr="00480E1B" w:rsidRDefault="00480E1B" w:rsidP="00480E1B">
                    <w:pPr>
                      <w:spacing w:after="0"/>
                      <w:rPr>
                        <w:rFonts w:ascii="Aptos" w:eastAsia="Aptos" w:hAnsi="Aptos" w:cs="Aptos"/>
                        <w:noProof/>
                        <w:color w:val="FF0000"/>
                        <w:sz w:val="24"/>
                        <w:szCs w:val="24"/>
                      </w:rPr>
                    </w:pPr>
                  </w:p>
                </w:txbxContent>
              </v:textbox>
              <w10:wrap anchorx="page" anchory="page"/>
            </v:shape>
          </w:pict>
        </mc:Fallback>
      </mc:AlternateContent>
    </w:r>
  </w:p>
  <w:p w14:paraId="53D36CD7" w14:textId="4795DA65" w:rsidR="00A74F0A" w:rsidRDefault="00A74F0A">
    <w:pPr>
      <w:pStyle w:val="Footer"/>
      <w:jc w:val="center"/>
    </w:pPr>
    <w:r>
      <w:t xml:space="preserve">Page </w:t>
    </w:r>
    <w:r>
      <w:rPr>
        <w:b/>
        <w:bCs/>
      </w:rPr>
      <w:fldChar w:fldCharType="begin"/>
    </w:r>
    <w:r>
      <w:rPr>
        <w:b/>
        <w:bCs/>
      </w:rPr>
      <w:instrText xml:space="preserve"> PAGE </w:instrText>
    </w:r>
    <w:r>
      <w:rPr>
        <w:b/>
        <w:bCs/>
      </w:rPr>
      <w:fldChar w:fldCharType="separate"/>
    </w:r>
    <w:r w:rsidR="008139E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139E2">
      <w:rPr>
        <w:b/>
        <w:bCs/>
        <w:noProof/>
      </w:rPr>
      <w:t>23</w:t>
    </w:r>
    <w:r>
      <w:rPr>
        <w:b/>
        <w:bCs/>
      </w:rPr>
      <w:fldChar w:fldCharType="end"/>
    </w:r>
  </w:p>
  <w:p w14:paraId="71035416" w14:textId="77777777" w:rsidR="00A74F0A" w:rsidRDefault="00A74F0A" w:rsidP="00747D2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1AC2" w14:textId="66F124FB" w:rsidR="00FD4F8E" w:rsidRDefault="00480E1B">
    <w:pPr>
      <w:pStyle w:val="Footer"/>
    </w:pPr>
    <w:r>
      <w:rPr>
        <w:noProof/>
      </w:rPr>
      <mc:AlternateContent>
        <mc:Choice Requires="wps">
          <w:drawing>
            <wp:anchor distT="0" distB="0" distL="0" distR="0" simplePos="0" relativeHeight="251658243" behindDoc="0" locked="0" layoutInCell="1" allowOverlap="1" wp14:anchorId="4C24AEFD" wp14:editId="4190D5F4">
              <wp:simplePos x="635" y="635"/>
              <wp:positionH relativeFrom="page">
                <wp:align>center</wp:align>
              </wp:positionH>
              <wp:positionV relativeFrom="page">
                <wp:align>bottom</wp:align>
              </wp:positionV>
              <wp:extent cx="622300" cy="404495"/>
              <wp:effectExtent l="0" t="0" r="6350" b="0"/>
              <wp:wrapNone/>
              <wp:docPr id="9159081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4A9AE1B" w14:textId="6C89040B" w:rsidR="00480E1B" w:rsidRPr="00480E1B" w:rsidRDefault="00480E1B" w:rsidP="00480E1B">
                          <w:pPr>
                            <w:spacing w:after="0"/>
                            <w:rPr>
                              <w:rFonts w:ascii="Aptos" w:eastAsia="Aptos" w:hAnsi="Aptos" w:cs="Aptos"/>
                              <w:noProof/>
                              <w:color w:val="FF0000"/>
                              <w:sz w:val="24"/>
                              <w:szCs w:val="24"/>
                            </w:rPr>
                          </w:pPr>
                          <w:r w:rsidRPr="00480E1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4AEFD"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34A9AE1B" w14:textId="6C89040B" w:rsidR="00480E1B" w:rsidRPr="00480E1B" w:rsidRDefault="00480E1B" w:rsidP="00480E1B">
                    <w:pPr>
                      <w:spacing w:after="0"/>
                      <w:rPr>
                        <w:rFonts w:ascii="Aptos" w:eastAsia="Aptos" w:hAnsi="Aptos" w:cs="Aptos"/>
                        <w:noProof/>
                        <w:color w:val="FF0000"/>
                        <w:sz w:val="24"/>
                        <w:szCs w:val="24"/>
                      </w:rPr>
                    </w:pPr>
                    <w:r w:rsidRPr="00480E1B">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1EA3" w14:textId="77777777" w:rsidR="00141B87" w:rsidRDefault="00141B87">
      <w:pPr>
        <w:spacing w:after="0" w:line="240" w:lineRule="auto"/>
      </w:pPr>
      <w:r>
        <w:separator/>
      </w:r>
    </w:p>
  </w:footnote>
  <w:footnote w:type="continuationSeparator" w:id="0">
    <w:p w14:paraId="09FB7369" w14:textId="77777777" w:rsidR="00141B87" w:rsidRDefault="00141B87">
      <w:pPr>
        <w:spacing w:after="0" w:line="240" w:lineRule="auto"/>
      </w:pPr>
      <w:r>
        <w:continuationSeparator/>
      </w:r>
    </w:p>
  </w:footnote>
  <w:footnote w:type="continuationNotice" w:id="1">
    <w:p w14:paraId="74332456" w14:textId="77777777" w:rsidR="00141B87" w:rsidRDefault="00141B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8EAC" w14:textId="707EFED4" w:rsidR="00FD4F8E" w:rsidRDefault="00480E1B">
    <w:pPr>
      <w:pStyle w:val="Header"/>
    </w:pPr>
    <w:r>
      <w:rPr>
        <w:noProof/>
      </w:rPr>
      <mc:AlternateContent>
        <mc:Choice Requires="wps">
          <w:drawing>
            <wp:anchor distT="0" distB="0" distL="0" distR="0" simplePos="0" relativeHeight="251658241" behindDoc="0" locked="0" layoutInCell="1" allowOverlap="1" wp14:anchorId="07B579E6" wp14:editId="73FF4BF9">
              <wp:simplePos x="635" y="635"/>
              <wp:positionH relativeFrom="page">
                <wp:align>center</wp:align>
              </wp:positionH>
              <wp:positionV relativeFrom="page">
                <wp:align>top</wp:align>
              </wp:positionV>
              <wp:extent cx="622300" cy="404495"/>
              <wp:effectExtent l="0" t="0" r="6350" b="14605"/>
              <wp:wrapNone/>
              <wp:docPr id="10401454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AD3BF89" w14:textId="3867BCE4" w:rsidR="00480E1B" w:rsidRPr="00480E1B" w:rsidRDefault="00480E1B" w:rsidP="00480E1B">
                          <w:pPr>
                            <w:spacing w:after="0"/>
                            <w:rPr>
                              <w:rFonts w:ascii="Aptos" w:eastAsia="Aptos" w:hAnsi="Aptos" w:cs="Aptos"/>
                              <w:noProof/>
                              <w:color w:val="FF0000"/>
                              <w:sz w:val="24"/>
                              <w:szCs w:val="24"/>
                            </w:rPr>
                          </w:pPr>
                          <w:r w:rsidRPr="00480E1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B579E6"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4AD3BF89" w14:textId="3867BCE4" w:rsidR="00480E1B" w:rsidRPr="00480E1B" w:rsidRDefault="00480E1B" w:rsidP="00480E1B">
                    <w:pPr>
                      <w:spacing w:after="0"/>
                      <w:rPr>
                        <w:rFonts w:ascii="Aptos" w:eastAsia="Aptos" w:hAnsi="Aptos" w:cs="Aptos"/>
                        <w:noProof/>
                        <w:color w:val="FF0000"/>
                        <w:sz w:val="24"/>
                        <w:szCs w:val="24"/>
                      </w:rPr>
                    </w:pPr>
                    <w:r w:rsidRPr="00480E1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63BB" w14:textId="53031149" w:rsidR="00A74F0A" w:rsidRPr="001A69E7" w:rsidRDefault="00480E1B" w:rsidP="00987992">
    <w:pPr>
      <w:pStyle w:val="Header"/>
      <w:jc w:val="center"/>
      <w:rPr>
        <w:b/>
        <w:color w:val="FF0000"/>
        <w:sz w:val="28"/>
      </w:rPr>
    </w:pPr>
    <w:r>
      <w:rPr>
        <w:noProof/>
      </w:rPr>
      <mc:AlternateContent>
        <mc:Choice Requires="wps">
          <w:drawing>
            <wp:anchor distT="0" distB="0" distL="0" distR="0" simplePos="0" relativeHeight="251658242" behindDoc="0" locked="0" layoutInCell="1" allowOverlap="1" wp14:anchorId="01F71010" wp14:editId="5F794656">
              <wp:simplePos x="635" y="635"/>
              <wp:positionH relativeFrom="page">
                <wp:align>center</wp:align>
              </wp:positionH>
              <wp:positionV relativeFrom="page">
                <wp:align>top</wp:align>
              </wp:positionV>
              <wp:extent cx="622300" cy="404495"/>
              <wp:effectExtent l="0" t="0" r="6350" b="14605"/>
              <wp:wrapNone/>
              <wp:docPr id="13104475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12675C4" w14:textId="6053DAAE" w:rsidR="00480E1B" w:rsidRPr="00480E1B" w:rsidRDefault="00480E1B" w:rsidP="00480E1B">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71010"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112675C4" w14:textId="6053DAAE" w:rsidR="00480E1B" w:rsidRPr="00480E1B" w:rsidRDefault="00480E1B" w:rsidP="00480E1B">
                    <w:pPr>
                      <w:spacing w:after="0"/>
                      <w:rPr>
                        <w:rFonts w:ascii="Aptos" w:eastAsia="Aptos" w:hAnsi="Aptos" w:cs="Aptos"/>
                        <w:noProof/>
                        <w:color w:val="FF0000"/>
                        <w:sz w:val="24"/>
                        <w:szCs w:val="24"/>
                      </w:rPr>
                    </w:pPr>
                  </w:p>
                </w:txbxContent>
              </v:textbox>
              <w10:wrap anchorx="page" anchory="page"/>
            </v:shape>
          </w:pict>
        </mc:Fallback>
      </mc:AlternateContent>
    </w:r>
  </w:p>
  <w:p w14:paraId="196BD0A2" w14:textId="77777777" w:rsidR="00A74F0A" w:rsidRDefault="00A74F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6074" w14:textId="468B7E74" w:rsidR="00FD4F8E" w:rsidRDefault="00480E1B">
    <w:pPr>
      <w:pStyle w:val="Header"/>
    </w:pPr>
    <w:r>
      <w:rPr>
        <w:noProof/>
      </w:rPr>
      <mc:AlternateContent>
        <mc:Choice Requires="wps">
          <w:drawing>
            <wp:anchor distT="0" distB="0" distL="0" distR="0" simplePos="0" relativeHeight="251658240" behindDoc="0" locked="0" layoutInCell="1" allowOverlap="1" wp14:anchorId="43E1CAD0" wp14:editId="68FD76CF">
              <wp:simplePos x="635" y="635"/>
              <wp:positionH relativeFrom="page">
                <wp:align>center</wp:align>
              </wp:positionH>
              <wp:positionV relativeFrom="page">
                <wp:align>top</wp:align>
              </wp:positionV>
              <wp:extent cx="622300" cy="404495"/>
              <wp:effectExtent l="0" t="0" r="6350" b="14605"/>
              <wp:wrapNone/>
              <wp:docPr id="1635125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5E5DBBD" w14:textId="4E2BBAF9" w:rsidR="00480E1B" w:rsidRPr="00480E1B" w:rsidRDefault="00480E1B" w:rsidP="00480E1B">
                          <w:pPr>
                            <w:spacing w:after="0"/>
                            <w:rPr>
                              <w:rFonts w:ascii="Aptos" w:eastAsia="Aptos" w:hAnsi="Aptos" w:cs="Aptos"/>
                              <w:noProof/>
                              <w:color w:val="FF0000"/>
                              <w:sz w:val="24"/>
                              <w:szCs w:val="24"/>
                            </w:rPr>
                          </w:pPr>
                          <w:r w:rsidRPr="00480E1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E1CAD0"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35E5DBBD" w14:textId="4E2BBAF9" w:rsidR="00480E1B" w:rsidRPr="00480E1B" w:rsidRDefault="00480E1B" w:rsidP="00480E1B">
                    <w:pPr>
                      <w:spacing w:after="0"/>
                      <w:rPr>
                        <w:rFonts w:ascii="Aptos" w:eastAsia="Aptos" w:hAnsi="Aptos" w:cs="Aptos"/>
                        <w:noProof/>
                        <w:color w:val="FF0000"/>
                        <w:sz w:val="24"/>
                        <w:szCs w:val="24"/>
                      </w:rPr>
                    </w:pPr>
                    <w:r w:rsidRPr="00480E1B">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A3750"/>
    <w:multiLevelType w:val="hybridMultilevel"/>
    <w:tmpl w:val="9064E110"/>
    <w:lvl w:ilvl="0" w:tplc="BE3824FC">
      <w:start w:val="1"/>
      <w:numFmt w:val="decimal"/>
      <w:lvlText w:val="%1."/>
      <w:lvlJc w:val="left"/>
      <w:pPr>
        <w:ind w:left="360" w:hanging="360"/>
      </w:pPr>
      <w:rPr>
        <w:rFonts w:hint="default"/>
        <w:b w:val="0"/>
        <w:i w:val="0"/>
        <w:sz w:val="22"/>
        <w:szCs w:val="22"/>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 w15:restartNumberingAfterBreak="0">
    <w:nsid w:val="2999133E"/>
    <w:multiLevelType w:val="hybridMultilevel"/>
    <w:tmpl w:val="C07875AC"/>
    <w:lvl w:ilvl="0" w:tplc="0C090019">
      <w:start w:val="1"/>
      <w:numFmt w:val="lowerLetter"/>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30572859"/>
    <w:multiLevelType w:val="hybridMultilevel"/>
    <w:tmpl w:val="BCC45544"/>
    <w:lvl w:ilvl="0" w:tplc="31723552">
      <w:start w:val="1"/>
      <w:numFmt w:val="decimal"/>
      <w:lvlText w:val="%1."/>
      <w:lvlJc w:val="left"/>
      <w:pPr>
        <w:ind w:left="360" w:hanging="360"/>
      </w:pPr>
      <w:rPr>
        <w:rFonts w:cs="Times New Roman" w:hint="default"/>
        <w:b w:val="0"/>
        <w:i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 w15:restartNumberingAfterBreak="0">
    <w:nsid w:val="470253AA"/>
    <w:multiLevelType w:val="multilevel"/>
    <w:tmpl w:val="B4F25264"/>
    <w:lvl w:ilvl="0">
      <w:start w:val="1"/>
      <w:numFmt w:val="decimal"/>
      <w:lvlText w:val="%1."/>
      <w:lvlJc w:val="left"/>
      <w:pPr>
        <w:tabs>
          <w:tab w:val="num" w:pos="720"/>
        </w:tabs>
        <w:ind w:left="720" w:hanging="360"/>
      </w:pPr>
      <w:rPr>
        <w:b w:val="0"/>
        <w:bCs/>
        <w:i w:val="0"/>
        <w:iCs/>
        <w:color w:val="auto"/>
        <w:sz w:val="22"/>
        <w:szCs w:val="22"/>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C72B75"/>
    <w:multiLevelType w:val="multilevel"/>
    <w:tmpl w:val="4C42F4F2"/>
    <w:lvl w:ilvl="0">
      <w:start w:val="17"/>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69A1035F"/>
    <w:multiLevelType w:val="hybridMultilevel"/>
    <w:tmpl w:val="3F920E86"/>
    <w:lvl w:ilvl="0" w:tplc="0C09000F">
      <w:start w:val="1"/>
      <w:numFmt w:val="decimal"/>
      <w:lvlText w:val="%1."/>
      <w:lvlJc w:val="left"/>
      <w:pPr>
        <w:ind w:left="360" w:hanging="360"/>
      </w:pPr>
      <w:rPr>
        <w:rFonts w:cs="Times New Roman" w:hint="default"/>
        <w:b w:val="0"/>
        <w:i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 w15:restartNumberingAfterBreak="0">
    <w:nsid w:val="76D939D4"/>
    <w:multiLevelType w:val="hybridMultilevel"/>
    <w:tmpl w:val="9280B2F8"/>
    <w:lvl w:ilvl="0" w:tplc="4664F3B8">
      <w:start w:val="15"/>
      <w:numFmt w:val="decimal"/>
      <w:lvlText w:val="%1."/>
      <w:lvlJc w:val="left"/>
      <w:pPr>
        <w:ind w:left="360" w:hanging="360"/>
      </w:pPr>
      <w:rPr>
        <w:rFonts w:cs="Times New Roman"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A9E60FF"/>
    <w:multiLevelType w:val="multilevel"/>
    <w:tmpl w:val="E32A836E"/>
    <w:lvl w:ilvl="0">
      <w:start w:val="11"/>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315688737">
    <w:abstractNumId w:val="2"/>
  </w:num>
  <w:num w:numId="2" w16cid:durableId="2046327308">
    <w:abstractNumId w:val="0"/>
  </w:num>
  <w:num w:numId="3" w16cid:durableId="978730185">
    <w:abstractNumId w:val="5"/>
  </w:num>
  <w:num w:numId="4" w16cid:durableId="1425102776">
    <w:abstractNumId w:val="1"/>
  </w:num>
  <w:num w:numId="5" w16cid:durableId="818807256">
    <w:abstractNumId w:val="0"/>
  </w:num>
  <w:num w:numId="6" w16cid:durableId="842009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449562">
    <w:abstractNumId w:val="7"/>
  </w:num>
  <w:num w:numId="8" w16cid:durableId="858280894">
    <w:abstractNumId w:val="6"/>
  </w:num>
  <w:num w:numId="9" w16cid:durableId="1086417478">
    <w:abstractNumId w:val="4"/>
  </w:num>
  <w:num w:numId="10" w16cid:durableId="29013497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E8"/>
    <w:rsid w:val="000001A3"/>
    <w:rsid w:val="00000226"/>
    <w:rsid w:val="0000196F"/>
    <w:rsid w:val="00004E32"/>
    <w:rsid w:val="0000634D"/>
    <w:rsid w:val="00007A0A"/>
    <w:rsid w:val="000104A3"/>
    <w:rsid w:val="00011690"/>
    <w:rsid w:val="0001187B"/>
    <w:rsid w:val="00012EC1"/>
    <w:rsid w:val="000148C1"/>
    <w:rsid w:val="00015D1D"/>
    <w:rsid w:val="000228DE"/>
    <w:rsid w:val="00025466"/>
    <w:rsid w:val="00025BED"/>
    <w:rsid w:val="00027DD6"/>
    <w:rsid w:val="00030B05"/>
    <w:rsid w:val="000323B4"/>
    <w:rsid w:val="0003295E"/>
    <w:rsid w:val="00032FBA"/>
    <w:rsid w:val="000349DC"/>
    <w:rsid w:val="0003596E"/>
    <w:rsid w:val="00035C1C"/>
    <w:rsid w:val="00036A1D"/>
    <w:rsid w:val="0003727F"/>
    <w:rsid w:val="000372E1"/>
    <w:rsid w:val="00037C85"/>
    <w:rsid w:val="00037DAB"/>
    <w:rsid w:val="000400A2"/>
    <w:rsid w:val="00041521"/>
    <w:rsid w:val="0004201D"/>
    <w:rsid w:val="0004280F"/>
    <w:rsid w:val="000430EC"/>
    <w:rsid w:val="0004320A"/>
    <w:rsid w:val="000442C1"/>
    <w:rsid w:val="000448B0"/>
    <w:rsid w:val="00044CB0"/>
    <w:rsid w:val="00045AC5"/>
    <w:rsid w:val="000467B1"/>
    <w:rsid w:val="00046FE1"/>
    <w:rsid w:val="0004711A"/>
    <w:rsid w:val="00047444"/>
    <w:rsid w:val="0005083C"/>
    <w:rsid w:val="00051454"/>
    <w:rsid w:val="000519A7"/>
    <w:rsid w:val="00052102"/>
    <w:rsid w:val="00052FF2"/>
    <w:rsid w:val="00053EEA"/>
    <w:rsid w:val="00054314"/>
    <w:rsid w:val="000545F1"/>
    <w:rsid w:val="00055DEE"/>
    <w:rsid w:val="00060453"/>
    <w:rsid w:val="00061A33"/>
    <w:rsid w:val="000624F1"/>
    <w:rsid w:val="00063062"/>
    <w:rsid w:val="00064156"/>
    <w:rsid w:val="0006582D"/>
    <w:rsid w:val="00066700"/>
    <w:rsid w:val="00066E2C"/>
    <w:rsid w:val="00066EFF"/>
    <w:rsid w:val="0007070E"/>
    <w:rsid w:val="00070C9F"/>
    <w:rsid w:val="00070DD3"/>
    <w:rsid w:val="00073651"/>
    <w:rsid w:val="000736D8"/>
    <w:rsid w:val="00074C95"/>
    <w:rsid w:val="00075C89"/>
    <w:rsid w:val="0008022D"/>
    <w:rsid w:val="00080667"/>
    <w:rsid w:val="00081C11"/>
    <w:rsid w:val="00082F7F"/>
    <w:rsid w:val="00087CB1"/>
    <w:rsid w:val="00091684"/>
    <w:rsid w:val="00093B17"/>
    <w:rsid w:val="00093D1B"/>
    <w:rsid w:val="000A1516"/>
    <w:rsid w:val="000A1EC1"/>
    <w:rsid w:val="000A30C1"/>
    <w:rsid w:val="000A6626"/>
    <w:rsid w:val="000A73FE"/>
    <w:rsid w:val="000A7633"/>
    <w:rsid w:val="000A763B"/>
    <w:rsid w:val="000A771F"/>
    <w:rsid w:val="000B2F8E"/>
    <w:rsid w:val="000B3617"/>
    <w:rsid w:val="000B4462"/>
    <w:rsid w:val="000B45DB"/>
    <w:rsid w:val="000B4D84"/>
    <w:rsid w:val="000B5FBB"/>
    <w:rsid w:val="000B71B6"/>
    <w:rsid w:val="000B783E"/>
    <w:rsid w:val="000C0137"/>
    <w:rsid w:val="000C0CDD"/>
    <w:rsid w:val="000C317C"/>
    <w:rsid w:val="000C4C49"/>
    <w:rsid w:val="000D06D7"/>
    <w:rsid w:val="000D2382"/>
    <w:rsid w:val="000D31BA"/>
    <w:rsid w:val="000D3430"/>
    <w:rsid w:val="000D3D28"/>
    <w:rsid w:val="000D68BC"/>
    <w:rsid w:val="000E0018"/>
    <w:rsid w:val="000E03D7"/>
    <w:rsid w:val="000E0FD1"/>
    <w:rsid w:val="000E197A"/>
    <w:rsid w:val="000E3253"/>
    <w:rsid w:val="000E5DEA"/>
    <w:rsid w:val="000E6B7A"/>
    <w:rsid w:val="000F155A"/>
    <w:rsid w:val="000F2FD7"/>
    <w:rsid w:val="000F3FD2"/>
    <w:rsid w:val="00100CAE"/>
    <w:rsid w:val="00100FE5"/>
    <w:rsid w:val="00101BFD"/>
    <w:rsid w:val="00101F3A"/>
    <w:rsid w:val="00105BAB"/>
    <w:rsid w:val="00106EA5"/>
    <w:rsid w:val="00107D84"/>
    <w:rsid w:val="00110213"/>
    <w:rsid w:val="001102B7"/>
    <w:rsid w:val="001111BA"/>
    <w:rsid w:val="00111599"/>
    <w:rsid w:val="00111A02"/>
    <w:rsid w:val="0011228D"/>
    <w:rsid w:val="001143CB"/>
    <w:rsid w:val="00116577"/>
    <w:rsid w:val="00116A50"/>
    <w:rsid w:val="00120322"/>
    <w:rsid w:val="00120CCA"/>
    <w:rsid w:val="00121821"/>
    <w:rsid w:val="00124817"/>
    <w:rsid w:val="00125110"/>
    <w:rsid w:val="00126974"/>
    <w:rsid w:val="00127527"/>
    <w:rsid w:val="00130D68"/>
    <w:rsid w:val="0013118C"/>
    <w:rsid w:val="001316AD"/>
    <w:rsid w:val="00132D62"/>
    <w:rsid w:val="00133131"/>
    <w:rsid w:val="00134F7E"/>
    <w:rsid w:val="00137609"/>
    <w:rsid w:val="0013779E"/>
    <w:rsid w:val="00137B9D"/>
    <w:rsid w:val="0014156E"/>
    <w:rsid w:val="00141B87"/>
    <w:rsid w:val="00141C51"/>
    <w:rsid w:val="00143AAD"/>
    <w:rsid w:val="00145260"/>
    <w:rsid w:val="0014608A"/>
    <w:rsid w:val="00147398"/>
    <w:rsid w:val="00147932"/>
    <w:rsid w:val="00147C8E"/>
    <w:rsid w:val="001507B5"/>
    <w:rsid w:val="0015235A"/>
    <w:rsid w:val="00152B60"/>
    <w:rsid w:val="0015550A"/>
    <w:rsid w:val="00161195"/>
    <w:rsid w:val="001611BF"/>
    <w:rsid w:val="00161675"/>
    <w:rsid w:val="00161AB8"/>
    <w:rsid w:val="001621B6"/>
    <w:rsid w:val="001632AC"/>
    <w:rsid w:val="00163B63"/>
    <w:rsid w:val="0016441B"/>
    <w:rsid w:val="00165107"/>
    <w:rsid w:val="00165A22"/>
    <w:rsid w:val="00166E6C"/>
    <w:rsid w:val="00166FD9"/>
    <w:rsid w:val="00167FD7"/>
    <w:rsid w:val="0017059B"/>
    <w:rsid w:val="00171BEC"/>
    <w:rsid w:val="00171C3A"/>
    <w:rsid w:val="00174573"/>
    <w:rsid w:val="001754FB"/>
    <w:rsid w:val="001761FD"/>
    <w:rsid w:val="00176895"/>
    <w:rsid w:val="0018169C"/>
    <w:rsid w:val="001817A1"/>
    <w:rsid w:val="00184426"/>
    <w:rsid w:val="001861FC"/>
    <w:rsid w:val="00186EED"/>
    <w:rsid w:val="00190667"/>
    <w:rsid w:val="001906D1"/>
    <w:rsid w:val="001906F2"/>
    <w:rsid w:val="00190FC0"/>
    <w:rsid w:val="001917A5"/>
    <w:rsid w:val="00192883"/>
    <w:rsid w:val="00192E01"/>
    <w:rsid w:val="00193FE2"/>
    <w:rsid w:val="00194EA4"/>
    <w:rsid w:val="001972B6"/>
    <w:rsid w:val="001A0AC1"/>
    <w:rsid w:val="001A1754"/>
    <w:rsid w:val="001A2A45"/>
    <w:rsid w:val="001A3813"/>
    <w:rsid w:val="001A5BEC"/>
    <w:rsid w:val="001A69E7"/>
    <w:rsid w:val="001A6DAF"/>
    <w:rsid w:val="001B04E9"/>
    <w:rsid w:val="001B0CD7"/>
    <w:rsid w:val="001B18EC"/>
    <w:rsid w:val="001B1D2C"/>
    <w:rsid w:val="001B1D9F"/>
    <w:rsid w:val="001B2502"/>
    <w:rsid w:val="001B2D18"/>
    <w:rsid w:val="001B2DC9"/>
    <w:rsid w:val="001B63AE"/>
    <w:rsid w:val="001C0BC1"/>
    <w:rsid w:val="001C2517"/>
    <w:rsid w:val="001C2755"/>
    <w:rsid w:val="001C28EA"/>
    <w:rsid w:val="001C45BA"/>
    <w:rsid w:val="001C4FED"/>
    <w:rsid w:val="001C678F"/>
    <w:rsid w:val="001C6AC3"/>
    <w:rsid w:val="001D00AE"/>
    <w:rsid w:val="001D21D4"/>
    <w:rsid w:val="001D335B"/>
    <w:rsid w:val="001D3A77"/>
    <w:rsid w:val="001D3FB1"/>
    <w:rsid w:val="001D49F3"/>
    <w:rsid w:val="001D53BC"/>
    <w:rsid w:val="001D5906"/>
    <w:rsid w:val="001E0212"/>
    <w:rsid w:val="001E084F"/>
    <w:rsid w:val="001E1774"/>
    <w:rsid w:val="001E21D3"/>
    <w:rsid w:val="001E2240"/>
    <w:rsid w:val="001E40E7"/>
    <w:rsid w:val="001E41A5"/>
    <w:rsid w:val="001E630D"/>
    <w:rsid w:val="001E6868"/>
    <w:rsid w:val="001E75BF"/>
    <w:rsid w:val="001F0D27"/>
    <w:rsid w:val="001F41C7"/>
    <w:rsid w:val="001F48E0"/>
    <w:rsid w:val="001F4E35"/>
    <w:rsid w:val="001F76DC"/>
    <w:rsid w:val="00201068"/>
    <w:rsid w:val="00202723"/>
    <w:rsid w:val="00203F4C"/>
    <w:rsid w:val="002046AC"/>
    <w:rsid w:val="0020532B"/>
    <w:rsid w:val="00205514"/>
    <w:rsid w:val="0020672F"/>
    <w:rsid w:val="00207AAD"/>
    <w:rsid w:val="00207E0F"/>
    <w:rsid w:val="002107FC"/>
    <w:rsid w:val="00210964"/>
    <w:rsid w:val="00211000"/>
    <w:rsid w:val="00211D69"/>
    <w:rsid w:val="00213960"/>
    <w:rsid w:val="00213CE0"/>
    <w:rsid w:val="00214377"/>
    <w:rsid w:val="00214A02"/>
    <w:rsid w:val="00217367"/>
    <w:rsid w:val="00220894"/>
    <w:rsid w:val="00221A5B"/>
    <w:rsid w:val="002222DA"/>
    <w:rsid w:val="00222797"/>
    <w:rsid w:val="002239B6"/>
    <w:rsid w:val="00223DD4"/>
    <w:rsid w:val="0022413D"/>
    <w:rsid w:val="0022466A"/>
    <w:rsid w:val="00225B9E"/>
    <w:rsid w:val="002342A9"/>
    <w:rsid w:val="00234F73"/>
    <w:rsid w:val="002368B4"/>
    <w:rsid w:val="0023714D"/>
    <w:rsid w:val="00240F1D"/>
    <w:rsid w:val="00241D83"/>
    <w:rsid w:val="002430D6"/>
    <w:rsid w:val="00243B0B"/>
    <w:rsid w:val="002456B5"/>
    <w:rsid w:val="0024635E"/>
    <w:rsid w:val="00247B3F"/>
    <w:rsid w:val="002519B8"/>
    <w:rsid w:val="00251C27"/>
    <w:rsid w:val="00254F9E"/>
    <w:rsid w:val="00256FBB"/>
    <w:rsid w:val="00257A04"/>
    <w:rsid w:val="00260859"/>
    <w:rsid w:val="00261F6E"/>
    <w:rsid w:val="00261F99"/>
    <w:rsid w:val="002641A2"/>
    <w:rsid w:val="0027009F"/>
    <w:rsid w:val="00271069"/>
    <w:rsid w:val="00273F9F"/>
    <w:rsid w:val="002741F2"/>
    <w:rsid w:val="00274CAD"/>
    <w:rsid w:val="00276155"/>
    <w:rsid w:val="00280BDE"/>
    <w:rsid w:val="00282B3F"/>
    <w:rsid w:val="00283932"/>
    <w:rsid w:val="00285663"/>
    <w:rsid w:val="002862BE"/>
    <w:rsid w:val="00292D43"/>
    <w:rsid w:val="00293167"/>
    <w:rsid w:val="002942E6"/>
    <w:rsid w:val="00295F08"/>
    <w:rsid w:val="00295F24"/>
    <w:rsid w:val="0029609F"/>
    <w:rsid w:val="002966AE"/>
    <w:rsid w:val="002974AC"/>
    <w:rsid w:val="00297801"/>
    <w:rsid w:val="002A09BE"/>
    <w:rsid w:val="002A167E"/>
    <w:rsid w:val="002A19C4"/>
    <w:rsid w:val="002A2E9E"/>
    <w:rsid w:val="002A4026"/>
    <w:rsid w:val="002A45C9"/>
    <w:rsid w:val="002A6BB0"/>
    <w:rsid w:val="002B222D"/>
    <w:rsid w:val="002B30D2"/>
    <w:rsid w:val="002B329F"/>
    <w:rsid w:val="002B3BD4"/>
    <w:rsid w:val="002B5361"/>
    <w:rsid w:val="002C116C"/>
    <w:rsid w:val="002C4B01"/>
    <w:rsid w:val="002C5B10"/>
    <w:rsid w:val="002C6017"/>
    <w:rsid w:val="002C65A6"/>
    <w:rsid w:val="002C6AAC"/>
    <w:rsid w:val="002C7C11"/>
    <w:rsid w:val="002D0CDF"/>
    <w:rsid w:val="002D0E28"/>
    <w:rsid w:val="002D10E4"/>
    <w:rsid w:val="002D2F90"/>
    <w:rsid w:val="002D44ED"/>
    <w:rsid w:val="002D48BD"/>
    <w:rsid w:val="002D511C"/>
    <w:rsid w:val="002D52E5"/>
    <w:rsid w:val="002D56C8"/>
    <w:rsid w:val="002D62E1"/>
    <w:rsid w:val="002E18DF"/>
    <w:rsid w:val="002E4619"/>
    <w:rsid w:val="002F0169"/>
    <w:rsid w:val="002F093C"/>
    <w:rsid w:val="002F0B7F"/>
    <w:rsid w:val="002F104C"/>
    <w:rsid w:val="002F13CB"/>
    <w:rsid w:val="002F4107"/>
    <w:rsid w:val="002F4DA2"/>
    <w:rsid w:val="002F553D"/>
    <w:rsid w:val="002F7F93"/>
    <w:rsid w:val="0030444B"/>
    <w:rsid w:val="00304707"/>
    <w:rsid w:val="003051AA"/>
    <w:rsid w:val="00306918"/>
    <w:rsid w:val="0031067E"/>
    <w:rsid w:val="00310DE9"/>
    <w:rsid w:val="003110F9"/>
    <w:rsid w:val="00312B5C"/>
    <w:rsid w:val="003145D0"/>
    <w:rsid w:val="00315137"/>
    <w:rsid w:val="0031551B"/>
    <w:rsid w:val="0031717F"/>
    <w:rsid w:val="0032144C"/>
    <w:rsid w:val="00321761"/>
    <w:rsid w:val="003223BF"/>
    <w:rsid w:val="00325E1E"/>
    <w:rsid w:val="0032672E"/>
    <w:rsid w:val="003304AC"/>
    <w:rsid w:val="00330624"/>
    <w:rsid w:val="003310F3"/>
    <w:rsid w:val="00331F66"/>
    <w:rsid w:val="003332E5"/>
    <w:rsid w:val="003336A0"/>
    <w:rsid w:val="00333794"/>
    <w:rsid w:val="003405F9"/>
    <w:rsid w:val="00340951"/>
    <w:rsid w:val="00340EAC"/>
    <w:rsid w:val="00345DA4"/>
    <w:rsid w:val="0035014D"/>
    <w:rsid w:val="00350F5A"/>
    <w:rsid w:val="00350F9E"/>
    <w:rsid w:val="00351EA6"/>
    <w:rsid w:val="0035238E"/>
    <w:rsid w:val="00354965"/>
    <w:rsid w:val="003552E3"/>
    <w:rsid w:val="00357298"/>
    <w:rsid w:val="0036199C"/>
    <w:rsid w:val="00361E76"/>
    <w:rsid w:val="00363FF5"/>
    <w:rsid w:val="0036455E"/>
    <w:rsid w:val="0036505A"/>
    <w:rsid w:val="00366913"/>
    <w:rsid w:val="00367345"/>
    <w:rsid w:val="00370EEA"/>
    <w:rsid w:val="00371E3C"/>
    <w:rsid w:val="003725E9"/>
    <w:rsid w:val="00374F25"/>
    <w:rsid w:val="00374FB4"/>
    <w:rsid w:val="00375007"/>
    <w:rsid w:val="0037506D"/>
    <w:rsid w:val="003752D5"/>
    <w:rsid w:val="003769F2"/>
    <w:rsid w:val="00376B23"/>
    <w:rsid w:val="0038199D"/>
    <w:rsid w:val="00381B6B"/>
    <w:rsid w:val="003823A8"/>
    <w:rsid w:val="00383F7E"/>
    <w:rsid w:val="003844D1"/>
    <w:rsid w:val="00386A8E"/>
    <w:rsid w:val="003878EA"/>
    <w:rsid w:val="00387F9A"/>
    <w:rsid w:val="003914CB"/>
    <w:rsid w:val="00391861"/>
    <w:rsid w:val="00391F51"/>
    <w:rsid w:val="00392504"/>
    <w:rsid w:val="00393A7C"/>
    <w:rsid w:val="00394C45"/>
    <w:rsid w:val="00395142"/>
    <w:rsid w:val="00395CA3"/>
    <w:rsid w:val="003962A8"/>
    <w:rsid w:val="003966F4"/>
    <w:rsid w:val="00397136"/>
    <w:rsid w:val="00397868"/>
    <w:rsid w:val="003A2C43"/>
    <w:rsid w:val="003A622F"/>
    <w:rsid w:val="003B0E6A"/>
    <w:rsid w:val="003B2AF4"/>
    <w:rsid w:val="003B2BB8"/>
    <w:rsid w:val="003B366E"/>
    <w:rsid w:val="003B5577"/>
    <w:rsid w:val="003B5E90"/>
    <w:rsid w:val="003B6B2D"/>
    <w:rsid w:val="003B6E39"/>
    <w:rsid w:val="003C0148"/>
    <w:rsid w:val="003C0FF5"/>
    <w:rsid w:val="003C1F54"/>
    <w:rsid w:val="003C305E"/>
    <w:rsid w:val="003C52CE"/>
    <w:rsid w:val="003C564C"/>
    <w:rsid w:val="003C6CD5"/>
    <w:rsid w:val="003D2E64"/>
    <w:rsid w:val="003D2E78"/>
    <w:rsid w:val="003D34FF"/>
    <w:rsid w:val="003D361C"/>
    <w:rsid w:val="003D39FA"/>
    <w:rsid w:val="003D427A"/>
    <w:rsid w:val="003D4634"/>
    <w:rsid w:val="003D5038"/>
    <w:rsid w:val="003E0F76"/>
    <w:rsid w:val="003E2027"/>
    <w:rsid w:val="003E2E14"/>
    <w:rsid w:val="003E3D99"/>
    <w:rsid w:val="003E496B"/>
    <w:rsid w:val="003E606B"/>
    <w:rsid w:val="003E6B73"/>
    <w:rsid w:val="003E6BB8"/>
    <w:rsid w:val="003E6E1B"/>
    <w:rsid w:val="003E6ECE"/>
    <w:rsid w:val="003F1296"/>
    <w:rsid w:val="003F18C0"/>
    <w:rsid w:val="003F25FE"/>
    <w:rsid w:val="003F3C3E"/>
    <w:rsid w:val="0040132D"/>
    <w:rsid w:val="0040177A"/>
    <w:rsid w:val="004055FE"/>
    <w:rsid w:val="00407B36"/>
    <w:rsid w:val="00411405"/>
    <w:rsid w:val="00413854"/>
    <w:rsid w:val="00414306"/>
    <w:rsid w:val="00414F18"/>
    <w:rsid w:val="004164A3"/>
    <w:rsid w:val="00416EFA"/>
    <w:rsid w:val="00422181"/>
    <w:rsid w:val="00423DA3"/>
    <w:rsid w:val="004245E1"/>
    <w:rsid w:val="00424E57"/>
    <w:rsid w:val="00425503"/>
    <w:rsid w:val="0042575F"/>
    <w:rsid w:val="004303EE"/>
    <w:rsid w:val="0043177F"/>
    <w:rsid w:val="0043244F"/>
    <w:rsid w:val="004324A9"/>
    <w:rsid w:val="004325A8"/>
    <w:rsid w:val="00433978"/>
    <w:rsid w:val="004353DA"/>
    <w:rsid w:val="004355D4"/>
    <w:rsid w:val="00435E92"/>
    <w:rsid w:val="004368F9"/>
    <w:rsid w:val="00437551"/>
    <w:rsid w:val="00437AB2"/>
    <w:rsid w:val="0044115C"/>
    <w:rsid w:val="0044368F"/>
    <w:rsid w:val="00444050"/>
    <w:rsid w:val="00445E04"/>
    <w:rsid w:val="00446D52"/>
    <w:rsid w:val="00447A28"/>
    <w:rsid w:val="004513EF"/>
    <w:rsid w:val="0045151F"/>
    <w:rsid w:val="004541DF"/>
    <w:rsid w:val="0045433C"/>
    <w:rsid w:val="0045452A"/>
    <w:rsid w:val="00455029"/>
    <w:rsid w:val="00457B87"/>
    <w:rsid w:val="00460745"/>
    <w:rsid w:val="0046200A"/>
    <w:rsid w:val="004628A8"/>
    <w:rsid w:val="00462AD1"/>
    <w:rsid w:val="00463879"/>
    <w:rsid w:val="0046771B"/>
    <w:rsid w:val="00470254"/>
    <w:rsid w:val="00470995"/>
    <w:rsid w:val="004717E0"/>
    <w:rsid w:val="00472771"/>
    <w:rsid w:val="00472AE8"/>
    <w:rsid w:val="004732E6"/>
    <w:rsid w:val="004736C4"/>
    <w:rsid w:val="00474490"/>
    <w:rsid w:val="00474D2A"/>
    <w:rsid w:val="00477A4E"/>
    <w:rsid w:val="00480E1B"/>
    <w:rsid w:val="004824C3"/>
    <w:rsid w:val="00482A5C"/>
    <w:rsid w:val="00482ADE"/>
    <w:rsid w:val="0048349B"/>
    <w:rsid w:val="00483E1B"/>
    <w:rsid w:val="00484A42"/>
    <w:rsid w:val="00485D71"/>
    <w:rsid w:val="00486A1B"/>
    <w:rsid w:val="00492194"/>
    <w:rsid w:val="0049224F"/>
    <w:rsid w:val="00492EC1"/>
    <w:rsid w:val="00495838"/>
    <w:rsid w:val="004966D2"/>
    <w:rsid w:val="00496B63"/>
    <w:rsid w:val="004A050F"/>
    <w:rsid w:val="004A204E"/>
    <w:rsid w:val="004A3A3B"/>
    <w:rsid w:val="004A4118"/>
    <w:rsid w:val="004A7B82"/>
    <w:rsid w:val="004B4150"/>
    <w:rsid w:val="004B54CA"/>
    <w:rsid w:val="004B5A60"/>
    <w:rsid w:val="004B687B"/>
    <w:rsid w:val="004C37E3"/>
    <w:rsid w:val="004C3ED6"/>
    <w:rsid w:val="004C47EE"/>
    <w:rsid w:val="004C74CA"/>
    <w:rsid w:val="004D0D99"/>
    <w:rsid w:val="004D1C05"/>
    <w:rsid w:val="004D2768"/>
    <w:rsid w:val="004D3148"/>
    <w:rsid w:val="004D3606"/>
    <w:rsid w:val="004D5D00"/>
    <w:rsid w:val="004D6FDE"/>
    <w:rsid w:val="004D7E72"/>
    <w:rsid w:val="004D7F83"/>
    <w:rsid w:val="004E0A12"/>
    <w:rsid w:val="004E1678"/>
    <w:rsid w:val="004E180D"/>
    <w:rsid w:val="004E21EB"/>
    <w:rsid w:val="004E5C21"/>
    <w:rsid w:val="004E5CBF"/>
    <w:rsid w:val="004E5D91"/>
    <w:rsid w:val="004F19BA"/>
    <w:rsid w:val="004F25B5"/>
    <w:rsid w:val="004F337A"/>
    <w:rsid w:val="004F3DF7"/>
    <w:rsid w:val="004F49E9"/>
    <w:rsid w:val="004F4F10"/>
    <w:rsid w:val="004F515D"/>
    <w:rsid w:val="004F5A2F"/>
    <w:rsid w:val="0050025E"/>
    <w:rsid w:val="00500A0E"/>
    <w:rsid w:val="00501567"/>
    <w:rsid w:val="005018B3"/>
    <w:rsid w:val="00503EE9"/>
    <w:rsid w:val="005042B5"/>
    <w:rsid w:val="0050772E"/>
    <w:rsid w:val="005200A4"/>
    <w:rsid w:val="0052026C"/>
    <w:rsid w:val="005207CC"/>
    <w:rsid w:val="005211DC"/>
    <w:rsid w:val="00522ACF"/>
    <w:rsid w:val="00523C94"/>
    <w:rsid w:val="005243E1"/>
    <w:rsid w:val="0052592C"/>
    <w:rsid w:val="0053030B"/>
    <w:rsid w:val="00530739"/>
    <w:rsid w:val="005318D4"/>
    <w:rsid w:val="00531ECE"/>
    <w:rsid w:val="005336A8"/>
    <w:rsid w:val="00536395"/>
    <w:rsid w:val="00537929"/>
    <w:rsid w:val="00540080"/>
    <w:rsid w:val="00541B7B"/>
    <w:rsid w:val="00542E71"/>
    <w:rsid w:val="00544213"/>
    <w:rsid w:val="00544F05"/>
    <w:rsid w:val="00547C9C"/>
    <w:rsid w:val="00547D1E"/>
    <w:rsid w:val="00550BD4"/>
    <w:rsid w:val="00551D85"/>
    <w:rsid w:val="00553A42"/>
    <w:rsid w:val="00553BCF"/>
    <w:rsid w:val="00554F09"/>
    <w:rsid w:val="005560AD"/>
    <w:rsid w:val="005577EE"/>
    <w:rsid w:val="00560795"/>
    <w:rsid w:val="0056277E"/>
    <w:rsid w:val="00567606"/>
    <w:rsid w:val="005679C4"/>
    <w:rsid w:val="00567AD0"/>
    <w:rsid w:val="005710B7"/>
    <w:rsid w:val="005725D8"/>
    <w:rsid w:val="00572DB2"/>
    <w:rsid w:val="00574585"/>
    <w:rsid w:val="00574D04"/>
    <w:rsid w:val="00576364"/>
    <w:rsid w:val="00576D4F"/>
    <w:rsid w:val="00581724"/>
    <w:rsid w:val="00583EF3"/>
    <w:rsid w:val="005850B6"/>
    <w:rsid w:val="0058515D"/>
    <w:rsid w:val="00587026"/>
    <w:rsid w:val="005933FA"/>
    <w:rsid w:val="00593843"/>
    <w:rsid w:val="00593AF0"/>
    <w:rsid w:val="00593DD2"/>
    <w:rsid w:val="00594573"/>
    <w:rsid w:val="005966A4"/>
    <w:rsid w:val="00597293"/>
    <w:rsid w:val="00597DDF"/>
    <w:rsid w:val="005A3388"/>
    <w:rsid w:val="005A3A6F"/>
    <w:rsid w:val="005A4372"/>
    <w:rsid w:val="005A5067"/>
    <w:rsid w:val="005A74A8"/>
    <w:rsid w:val="005A7568"/>
    <w:rsid w:val="005B08E8"/>
    <w:rsid w:val="005B15C2"/>
    <w:rsid w:val="005B2BAE"/>
    <w:rsid w:val="005B3601"/>
    <w:rsid w:val="005B6ADB"/>
    <w:rsid w:val="005C1D64"/>
    <w:rsid w:val="005C295C"/>
    <w:rsid w:val="005C2FCC"/>
    <w:rsid w:val="005C34D3"/>
    <w:rsid w:val="005C3AA9"/>
    <w:rsid w:val="005C3B1B"/>
    <w:rsid w:val="005C415E"/>
    <w:rsid w:val="005C4B35"/>
    <w:rsid w:val="005C58FF"/>
    <w:rsid w:val="005C5A20"/>
    <w:rsid w:val="005C7735"/>
    <w:rsid w:val="005C7974"/>
    <w:rsid w:val="005D14A5"/>
    <w:rsid w:val="005D37CD"/>
    <w:rsid w:val="005D3E9E"/>
    <w:rsid w:val="005D5060"/>
    <w:rsid w:val="005D50CD"/>
    <w:rsid w:val="005D7699"/>
    <w:rsid w:val="005D7C3E"/>
    <w:rsid w:val="005E355D"/>
    <w:rsid w:val="005E35BB"/>
    <w:rsid w:val="005F17E6"/>
    <w:rsid w:val="005F1C7A"/>
    <w:rsid w:val="005F2681"/>
    <w:rsid w:val="005F27B0"/>
    <w:rsid w:val="005F5218"/>
    <w:rsid w:val="005F6BA2"/>
    <w:rsid w:val="005F7C4E"/>
    <w:rsid w:val="005F7D14"/>
    <w:rsid w:val="006001FB"/>
    <w:rsid w:val="006007E2"/>
    <w:rsid w:val="00600C72"/>
    <w:rsid w:val="006017F1"/>
    <w:rsid w:val="006020EF"/>
    <w:rsid w:val="00604547"/>
    <w:rsid w:val="00604A9B"/>
    <w:rsid w:val="00604D7E"/>
    <w:rsid w:val="00605AE4"/>
    <w:rsid w:val="006072DA"/>
    <w:rsid w:val="00610EEA"/>
    <w:rsid w:val="00617017"/>
    <w:rsid w:val="00617987"/>
    <w:rsid w:val="00621E07"/>
    <w:rsid w:val="00623CF5"/>
    <w:rsid w:val="00624338"/>
    <w:rsid w:val="0062466A"/>
    <w:rsid w:val="00624E74"/>
    <w:rsid w:val="00625A9E"/>
    <w:rsid w:val="00626A85"/>
    <w:rsid w:val="00635556"/>
    <w:rsid w:val="00635BA0"/>
    <w:rsid w:val="00636354"/>
    <w:rsid w:val="006376C8"/>
    <w:rsid w:val="00637A4D"/>
    <w:rsid w:val="00637F78"/>
    <w:rsid w:val="00640D65"/>
    <w:rsid w:val="006433E0"/>
    <w:rsid w:val="00643CC4"/>
    <w:rsid w:val="0064449C"/>
    <w:rsid w:val="00644EB7"/>
    <w:rsid w:val="00645465"/>
    <w:rsid w:val="00645A14"/>
    <w:rsid w:val="006462E2"/>
    <w:rsid w:val="00647D80"/>
    <w:rsid w:val="00650C5D"/>
    <w:rsid w:val="00651369"/>
    <w:rsid w:val="006529BB"/>
    <w:rsid w:val="00652AD6"/>
    <w:rsid w:val="00653316"/>
    <w:rsid w:val="006541C7"/>
    <w:rsid w:val="0065454B"/>
    <w:rsid w:val="00654770"/>
    <w:rsid w:val="006569CF"/>
    <w:rsid w:val="0065756E"/>
    <w:rsid w:val="00657B1A"/>
    <w:rsid w:val="00661341"/>
    <w:rsid w:val="006619DF"/>
    <w:rsid w:val="006640B3"/>
    <w:rsid w:val="006646C0"/>
    <w:rsid w:val="00665152"/>
    <w:rsid w:val="006709E5"/>
    <w:rsid w:val="00672349"/>
    <w:rsid w:val="00674347"/>
    <w:rsid w:val="00674A5D"/>
    <w:rsid w:val="00674FC5"/>
    <w:rsid w:val="00675847"/>
    <w:rsid w:val="00676B23"/>
    <w:rsid w:val="006812FE"/>
    <w:rsid w:val="00681517"/>
    <w:rsid w:val="006818C3"/>
    <w:rsid w:val="00682093"/>
    <w:rsid w:val="00682395"/>
    <w:rsid w:val="00685D49"/>
    <w:rsid w:val="006861E0"/>
    <w:rsid w:val="00686631"/>
    <w:rsid w:val="0068689B"/>
    <w:rsid w:val="00692454"/>
    <w:rsid w:val="00694308"/>
    <w:rsid w:val="00694788"/>
    <w:rsid w:val="00694957"/>
    <w:rsid w:val="00694F73"/>
    <w:rsid w:val="0069536B"/>
    <w:rsid w:val="006A0D9A"/>
    <w:rsid w:val="006A2F9E"/>
    <w:rsid w:val="006A451C"/>
    <w:rsid w:val="006A4CE7"/>
    <w:rsid w:val="006A5212"/>
    <w:rsid w:val="006A57D8"/>
    <w:rsid w:val="006A635E"/>
    <w:rsid w:val="006A7070"/>
    <w:rsid w:val="006A777E"/>
    <w:rsid w:val="006A7ACF"/>
    <w:rsid w:val="006B0D23"/>
    <w:rsid w:val="006B20AA"/>
    <w:rsid w:val="006B628B"/>
    <w:rsid w:val="006B66EE"/>
    <w:rsid w:val="006B6ED5"/>
    <w:rsid w:val="006B77C3"/>
    <w:rsid w:val="006B7AEA"/>
    <w:rsid w:val="006C1B25"/>
    <w:rsid w:val="006C30AA"/>
    <w:rsid w:val="006C3926"/>
    <w:rsid w:val="006C492F"/>
    <w:rsid w:val="006C5E55"/>
    <w:rsid w:val="006C75C6"/>
    <w:rsid w:val="006C78CE"/>
    <w:rsid w:val="006D0DC8"/>
    <w:rsid w:val="006D149F"/>
    <w:rsid w:val="006D15DA"/>
    <w:rsid w:val="006D1747"/>
    <w:rsid w:val="006D2F6E"/>
    <w:rsid w:val="006D4681"/>
    <w:rsid w:val="006D4C1C"/>
    <w:rsid w:val="006D4C90"/>
    <w:rsid w:val="006D4CFA"/>
    <w:rsid w:val="006D5173"/>
    <w:rsid w:val="006D5343"/>
    <w:rsid w:val="006E30C6"/>
    <w:rsid w:val="006E398D"/>
    <w:rsid w:val="006E6E4B"/>
    <w:rsid w:val="006F041C"/>
    <w:rsid w:val="006F0E9E"/>
    <w:rsid w:val="006F20FD"/>
    <w:rsid w:val="006F2820"/>
    <w:rsid w:val="006F31CC"/>
    <w:rsid w:val="006F4095"/>
    <w:rsid w:val="006F5F62"/>
    <w:rsid w:val="006F7CAF"/>
    <w:rsid w:val="006F7D86"/>
    <w:rsid w:val="00700CE2"/>
    <w:rsid w:val="007028F5"/>
    <w:rsid w:val="00704850"/>
    <w:rsid w:val="00705560"/>
    <w:rsid w:val="00705B62"/>
    <w:rsid w:val="007065CA"/>
    <w:rsid w:val="00707D7C"/>
    <w:rsid w:val="00707E4B"/>
    <w:rsid w:val="00711A03"/>
    <w:rsid w:val="00711D52"/>
    <w:rsid w:val="007132F8"/>
    <w:rsid w:val="00716121"/>
    <w:rsid w:val="00716679"/>
    <w:rsid w:val="00717176"/>
    <w:rsid w:val="007175C7"/>
    <w:rsid w:val="0071771E"/>
    <w:rsid w:val="00721506"/>
    <w:rsid w:val="007219C2"/>
    <w:rsid w:val="007239F3"/>
    <w:rsid w:val="00723BFC"/>
    <w:rsid w:val="007264F9"/>
    <w:rsid w:val="00726D0B"/>
    <w:rsid w:val="0072797E"/>
    <w:rsid w:val="00727E19"/>
    <w:rsid w:val="00730A2F"/>
    <w:rsid w:val="00731AAE"/>
    <w:rsid w:val="00736B80"/>
    <w:rsid w:val="007401EA"/>
    <w:rsid w:val="00740557"/>
    <w:rsid w:val="007429D9"/>
    <w:rsid w:val="00745C6D"/>
    <w:rsid w:val="007471A8"/>
    <w:rsid w:val="00747D27"/>
    <w:rsid w:val="00747E96"/>
    <w:rsid w:val="00750ECB"/>
    <w:rsid w:val="00752CC0"/>
    <w:rsid w:val="00752D68"/>
    <w:rsid w:val="007536EA"/>
    <w:rsid w:val="00757F02"/>
    <w:rsid w:val="00760049"/>
    <w:rsid w:val="00761071"/>
    <w:rsid w:val="00761B57"/>
    <w:rsid w:val="00762A51"/>
    <w:rsid w:val="00764406"/>
    <w:rsid w:val="00766765"/>
    <w:rsid w:val="00766BB3"/>
    <w:rsid w:val="007671A6"/>
    <w:rsid w:val="00772B08"/>
    <w:rsid w:val="007737BD"/>
    <w:rsid w:val="007771E5"/>
    <w:rsid w:val="00777346"/>
    <w:rsid w:val="00777A65"/>
    <w:rsid w:val="00781631"/>
    <w:rsid w:val="00782D1F"/>
    <w:rsid w:val="00782D59"/>
    <w:rsid w:val="00784BAD"/>
    <w:rsid w:val="00785261"/>
    <w:rsid w:val="00786F8D"/>
    <w:rsid w:val="00787E7E"/>
    <w:rsid w:val="00791026"/>
    <w:rsid w:val="007937AF"/>
    <w:rsid w:val="00795DA2"/>
    <w:rsid w:val="007A080B"/>
    <w:rsid w:val="007A1407"/>
    <w:rsid w:val="007A1D29"/>
    <w:rsid w:val="007A2F1B"/>
    <w:rsid w:val="007A36C1"/>
    <w:rsid w:val="007A4F6B"/>
    <w:rsid w:val="007A5411"/>
    <w:rsid w:val="007A7546"/>
    <w:rsid w:val="007B0256"/>
    <w:rsid w:val="007B0788"/>
    <w:rsid w:val="007B0E42"/>
    <w:rsid w:val="007B27E6"/>
    <w:rsid w:val="007B3B3D"/>
    <w:rsid w:val="007B5265"/>
    <w:rsid w:val="007B617C"/>
    <w:rsid w:val="007B6383"/>
    <w:rsid w:val="007B73FB"/>
    <w:rsid w:val="007C1530"/>
    <w:rsid w:val="007C1EBA"/>
    <w:rsid w:val="007C253B"/>
    <w:rsid w:val="007C3A81"/>
    <w:rsid w:val="007D0001"/>
    <w:rsid w:val="007D021D"/>
    <w:rsid w:val="007D0540"/>
    <w:rsid w:val="007D073F"/>
    <w:rsid w:val="007D21EC"/>
    <w:rsid w:val="007D27AD"/>
    <w:rsid w:val="007D6567"/>
    <w:rsid w:val="007E122F"/>
    <w:rsid w:val="007E20FD"/>
    <w:rsid w:val="007E3220"/>
    <w:rsid w:val="007E3AE2"/>
    <w:rsid w:val="007E5817"/>
    <w:rsid w:val="007E651F"/>
    <w:rsid w:val="007E6622"/>
    <w:rsid w:val="007F02D5"/>
    <w:rsid w:val="007F0597"/>
    <w:rsid w:val="007F2084"/>
    <w:rsid w:val="007F4871"/>
    <w:rsid w:val="007F68B0"/>
    <w:rsid w:val="007F7A1C"/>
    <w:rsid w:val="00800221"/>
    <w:rsid w:val="00800FDA"/>
    <w:rsid w:val="00801EB0"/>
    <w:rsid w:val="00802923"/>
    <w:rsid w:val="00802CD0"/>
    <w:rsid w:val="008067CF"/>
    <w:rsid w:val="00806ED4"/>
    <w:rsid w:val="0080704E"/>
    <w:rsid w:val="008070E3"/>
    <w:rsid w:val="00807EB8"/>
    <w:rsid w:val="00810DF5"/>
    <w:rsid w:val="00811B20"/>
    <w:rsid w:val="00812B5B"/>
    <w:rsid w:val="008139E2"/>
    <w:rsid w:val="00814CC8"/>
    <w:rsid w:val="008150FA"/>
    <w:rsid w:val="00815B76"/>
    <w:rsid w:val="00815E8E"/>
    <w:rsid w:val="00816A33"/>
    <w:rsid w:val="00816B24"/>
    <w:rsid w:val="0082063F"/>
    <w:rsid w:val="00820A9A"/>
    <w:rsid w:val="00823A4E"/>
    <w:rsid w:val="00826975"/>
    <w:rsid w:val="00826CEB"/>
    <w:rsid w:val="00827A50"/>
    <w:rsid w:val="008313FC"/>
    <w:rsid w:val="00831ACB"/>
    <w:rsid w:val="00831D8C"/>
    <w:rsid w:val="00831F04"/>
    <w:rsid w:val="00832460"/>
    <w:rsid w:val="008324E2"/>
    <w:rsid w:val="00833CCF"/>
    <w:rsid w:val="00833FA9"/>
    <w:rsid w:val="00834F2C"/>
    <w:rsid w:val="008351D4"/>
    <w:rsid w:val="008355B5"/>
    <w:rsid w:val="00840D2A"/>
    <w:rsid w:val="00842B03"/>
    <w:rsid w:val="00844318"/>
    <w:rsid w:val="008445CF"/>
    <w:rsid w:val="00844AAD"/>
    <w:rsid w:val="00847A0A"/>
    <w:rsid w:val="00852118"/>
    <w:rsid w:val="008537F7"/>
    <w:rsid w:val="0085470F"/>
    <w:rsid w:val="008551DA"/>
    <w:rsid w:val="00857568"/>
    <w:rsid w:val="0086025D"/>
    <w:rsid w:val="00860FC1"/>
    <w:rsid w:val="00862CD1"/>
    <w:rsid w:val="00863DD0"/>
    <w:rsid w:val="008642B5"/>
    <w:rsid w:val="00865CD3"/>
    <w:rsid w:val="00867E08"/>
    <w:rsid w:val="00870FAB"/>
    <w:rsid w:val="0087200B"/>
    <w:rsid w:val="00872DD1"/>
    <w:rsid w:val="00873150"/>
    <w:rsid w:val="00873F8F"/>
    <w:rsid w:val="008755CA"/>
    <w:rsid w:val="008758B6"/>
    <w:rsid w:val="00875A4D"/>
    <w:rsid w:val="00876911"/>
    <w:rsid w:val="00882456"/>
    <w:rsid w:val="008852F6"/>
    <w:rsid w:val="00885ABD"/>
    <w:rsid w:val="00885AF4"/>
    <w:rsid w:val="00885D08"/>
    <w:rsid w:val="00886B3B"/>
    <w:rsid w:val="00890341"/>
    <w:rsid w:val="00890419"/>
    <w:rsid w:val="0089357B"/>
    <w:rsid w:val="0089383A"/>
    <w:rsid w:val="00894060"/>
    <w:rsid w:val="00894224"/>
    <w:rsid w:val="00894705"/>
    <w:rsid w:val="00895E56"/>
    <w:rsid w:val="00896AC1"/>
    <w:rsid w:val="00897536"/>
    <w:rsid w:val="008A3F04"/>
    <w:rsid w:val="008A4F49"/>
    <w:rsid w:val="008A50B6"/>
    <w:rsid w:val="008A63D2"/>
    <w:rsid w:val="008A6AD5"/>
    <w:rsid w:val="008A6D03"/>
    <w:rsid w:val="008A7562"/>
    <w:rsid w:val="008B0135"/>
    <w:rsid w:val="008B4774"/>
    <w:rsid w:val="008B5983"/>
    <w:rsid w:val="008C1A75"/>
    <w:rsid w:val="008C280C"/>
    <w:rsid w:val="008C5A06"/>
    <w:rsid w:val="008C6AE7"/>
    <w:rsid w:val="008C7333"/>
    <w:rsid w:val="008D2A61"/>
    <w:rsid w:val="008D33AD"/>
    <w:rsid w:val="008D4209"/>
    <w:rsid w:val="008D6003"/>
    <w:rsid w:val="008D6848"/>
    <w:rsid w:val="008D7B79"/>
    <w:rsid w:val="008E2E1D"/>
    <w:rsid w:val="008E3260"/>
    <w:rsid w:val="008E3A6E"/>
    <w:rsid w:val="008E4B02"/>
    <w:rsid w:val="008E5580"/>
    <w:rsid w:val="008E6326"/>
    <w:rsid w:val="008E6B23"/>
    <w:rsid w:val="008E7A1E"/>
    <w:rsid w:val="008F33A2"/>
    <w:rsid w:val="008F43A8"/>
    <w:rsid w:val="008F4920"/>
    <w:rsid w:val="008F51EC"/>
    <w:rsid w:val="008F587D"/>
    <w:rsid w:val="008F5DF4"/>
    <w:rsid w:val="008F6F2F"/>
    <w:rsid w:val="008F716F"/>
    <w:rsid w:val="008F7E5E"/>
    <w:rsid w:val="00900E6C"/>
    <w:rsid w:val="00902E4A"/>
    <w:rsid w:val="00902F8C"/>
    <w:rsid w:val="0090304E"/>
    <w:rsid w:val="0090380F"/>
    <w:rsid w:val="00904D6B"/>
    <w:rsid w:val="009054F1"/>
    <w:rsid w:val="0090577D"/>
    <w:rsid w:val="00905984"/>
    <w:rsid w:val="0090667D"/>
    <w:rsid w:val="009110E5"/>
    <w:rsid w:val="0091369F"/>
    <w:rsid w:val="00915098"/>
    <w:rsid w:val="00917958"/>
    <w:rsid w:val="00917A58"/>
    <w:rsid w:val="009212DA"/>
    <w:rsid w:val="0092152E"/>
    <w:rsid w:val="009225F0"/>
    <w:rsid w:val="00923420"/>
    <w:rsid w:val="00923C4C"/>
    <w:rsid w:val="009242F2"/>
    <w:rsid w:val="0092624D"/>
    <w:rsid w:val="00927C5B"/>
    <w:rsid w:val="00930506"/>
    <w:rsid w:val="00930745"/>
    <w:rsid w:val="00930E82"/>
    <w:rsid w:val="00931184"/>
    <w:rsid w:val="00934E0F"/>
    <w:rsid w:val="00936334"/>
    <w:rsid w:val="009367B8"/>
    <w:rsid w:val="00937EE0"/>
    <w:rsid w:val="00941579"/>
    <w:rsid w:val="0094191B"/>
    <w:rsid w:val="00942299"/>
    <w:rsid w:val="009431F8"/>
    <w:rsid w:val="00943FDD"/>
    <w:rsid w:val="00944801"/>
    <w:rsid w:val="00947ADE"/>
    <w:rsid w:val="009503D4"/>
    <w:rsid w:val="00951054"/>
    <w:rsid w:val="00951EA1"/>
    <w:rsid w:val="009520A2"/>
    <w:rsid w:val="00952D88"/>
    <w:rsid w:val="009558D9"/>
    <w:rsid w:val="009605D1"/>
    <w:rsid w:val="009613AC"/>
    <w:rsid w:val="00961CD6"/>
    <w:rsid w:val="00964EF0"/>
    <w:rsid w:val="00966880"/>
    <w:rsid w:val="00967EE7"/>
    <w:rsid w:val="009708E8"/>
    <w:rsid w:val="009723C3"/>
    <w:rsid w:val="00975291"/>
    <w:rsid w:val="0097678A"/>
    <w:rsid w:val="00981913"/>
    <w:rsid w:val="00981C89"/>
    <w:rsid w:val="00984AD7"/>
    <w:rsid w:val="00984CA7"/>
    <w:rsid w:val="00984DE4"/>
    <w:rsid w:val="00986ED2"/>
    <w:rsid w:val="00986F79"/>
    <w:rsid w:val="009873E9"/>
    <w:rsid w:val="0098763B"/>
    <w:rsid w:val="00987876"/>
    <w:rsid w:val="00987992"/>
    <w:rsid w:val="00990896"/>
    <w:rsid w:val="00990AD1"/>
    <w:rsid w:val="00990B90"/>
    <w:rsid w:val="009955B0"/>
    <w:rsid w:val="009956A4"/>
    <w:rsid w:val="00995C95"/>
    <w:rsid w:val="009A0128"/>
    <w:rsid w:val="009A399F"/>
    <w:rsid w:val="009A64E4"/>
    <w:rsid w:val="009B008E"/>
    <w:rsid w:val="009B1477"/>
    <w:rsid w:val="009B1C64"/>
    <w:rsid w:val="009B239E"/>
    <w:rsid w:val="009B2E54"/>
    <w:rsid w:val="009B3035"/>
    <w:rsid w:val="009B3444"/>
    <w:rsid w:val="009B42B3"/>
    <w:rsid w:val="009B5524"/>
    <w:rsid w:val="009B7F6A"/>
    <w:rsid w:val="009C3602"/>
    <w:rsid w:val="009C3F91"/>
    <w:rsid w:val="009C40E6"/>
    <w:rsid w:val="009C446B"/>
    <w:rsid w:val="009C4690"/>
    <w:rsid w:val="009C4BE8"/>
    <w:rsid w:val="009C531A"/>
    <w:rsid w:val="009C7BA3"/>
    <w:rsid w:val="009D02B5"/>
    <w:rsid w:val="009D1009"/>
    <w:rsid w:val="009D1944"/>
    <w:rsid w:val="009D3E96"/>
    <w:rsid w:val="009D44CA"/>
    <w:rsid w:val="009D509C"/>
    <w:rsid w:val="009D64D9"/>
    <w:rsid w:val="009D6930"/>
    <w:rsid w:val="009D6FBD"/>
    <w:rsid w:val="009E0EB8"/>
    <w:rsid w:val="009E3FE2"/>
    <w:rsid w:val="009E58A0"/>
    <w:rsid w:val="009E5C5F"/>
    <w:rsid w:val="009E690A"/>
    <w:rsid w:val="009E690D"/>
    <w:rsid w:val="009E78A6"/>
    <w:rsid w:val="009E7F7D"/>
    <w:rsid w:val="009F0D3C"/>
    <w:rsid w:val="009F19A5"/>
    <w:rsid w:val="009F23B6"/>
    <w:rsid w:val="009F45EB"/>
    <w:rsid w:val="009F474B"/>
    <w:rsid w:val="009F7A0B"/>
    <w:rsid w:val="00A03087"/>
    <w:rsid w:val="00A030C2"/>
    <w:rsid w:val="00A042FB"/>
    <w:rsid w:val="00A059B5"/>
    <w:rsid w:val="00A05A07"/>
    <w:rsid w:val="00A06D64"/>
    <w:rsid w:val="00A06FA4"/>
    <w:rsid w:val="00A107EB"/>
    <w:rsid w:val="00A108BF"/>
    <w:rsid w:val="00A1314F"/>
    <w:rsid w:val="00A13FCF"/>
    <w:rsid w:val="00A15015"/>
    <w:rsid w:val="00A1542A"/>
    <w:rsid w:val="00A1603A"/>
    <w:rsid w:val="00A1692A"/>
    <w:rsid w:val="00A20914"/>
    <w:rsid w:val="00A20B65"/>
    <w:rsid w:val="00A22097"/>
    <w:rsid w:val="00A22D07"/>
    <w:rsid w:val="00A238C9"/>
    <w:rsid w:val="00A24644"/>
    <w:rsid w:val="00A252B9"/>
    <w:rsid w:val="00A2771B"/>
    <w:rsid w:val="00A27779"/>
    <w:rsid w:val="00A303FB"/>
    <w:rsid w:val="00A31946"/>
    <w:rsid w:val="00A31E1C"/>
    <w:rsid w:val="00A334DA"/>
    <w:rsid w:val="00A347EA"/>
    <w:rsid w:val="00A3711C"/>
    <w:rsid w:val="00A40C60"/>
    <w:rsid w:val="00A4221F"/>
    <w:rsid w:val="00A44ECA"/>
    <w:rsid w:val="00A44F81"/>
    <w:rsid w:val="00A470A6"/>
    <w:rsid w:val="00A477E4"/>
    <w:rsid w:val="00A516E8"/>
    <w:rsid w:val="00A54A8B"/>
    <w:rsid w:val="00A54C71"/>
    <w:rsid w:val="00A55487"/>
    <w:rsid w:val="00A560FD"/>
    <w:rsid w:val="00A57132"/>
    <w:rsid w:val="00A604BB"/>
    <w:rsid w:val="00A618D6"/>
    <w:rsid w:val="00A62E3D"/>
    <w:rsid w:val="00A70E39"/>
    <w:rsid w:val="00A70F61"/>
    <w:rsid w:val="00A71574"/>
    <w:rsid w:val="00A71A87"/>
    <w:rsid w:val="00A739AC"/>
    <w:rsid w:val="00A748E3"/>
    <w:rsid w:val="00A74F0A"/>
    <w:rsid w:val="00A76C2A"/>
    <w:rsid w:val="00A776E2"/>
    <w:rsid w:val="00A8143C"/>
    <w:rsid w:val="00A85C3F"/>
    <w:rsid w:val="00A90450"/>
    <w:rsid w:val="00A90C05"/>
    <w:rsid w:val="00A90ED3"/>
    <w:rsid w:val="00A916F8"/>
    <w:rsid w:val="00A9228B"/>
    <w:rsid w:val="00A93905"/>
    <w:rsid w:val="00A93D15"/>
    <w:rsid w:val="00A9677F"/>
    <w:rsid w:val="00A97600"/>
    <w:rsid w:val="00AA0399"/>
    <w:rsid w:val="00AA07BC"/>
    <w:rsid w:val="00AA14B1"/>
    <w:rsid w:val="00AA1AFC"/>
    <w:rsid w:val="00AA1BFC"/>
    <w:rsid w:val="00AA52C8"/>
    <w:rsid w:val="00AA6831"/>
    <w:rsid w:val="00AA7ABE"/>
    <w:rsid w:val="00AB0481"/>
    <w:rsid w:val="00AB0573"/>
    <w:rsid w:val="00AB086F"/>
    <w:rsid w:val="00AB0943"/>
    <w:rsid w:val="00AB0A62"/>
    <w:rsid w:val="00AB232C"/>
    <w:rsid w:val="00AB4C5D"/>
    <w:rsid w:val="00AB4F91"/>
    <w:rsid w:val="00AB52BE"/>
    <w:rsid w:val="00AB69AD"/>
    <w:rsid w:val="00AB72FF"/>
    <w:rsid w:val="00AB7C03"/>
    <w:rsid w:val="00AC044B"/>
    <w:rsid w:val="00AC046F"/>
    <w:rsid w:val="00AC1456"/>
    <w:rsid w:val="00AC387B"/>
    <w:rsid w:val="00AC6808"/>
    <w:rsid w:val="00AC6A59"/>
    <w:rsid w:val="00AC7710"/>
    <w:rsid w:val="00AC7B71"/>
    <w:rsid w:val="00AD11E1"/>
    <w:rsid w:val="00AD3D5A"/>
    <w:rsid w:val="00AD3EC5"/>
    <w:rsid w:val="00AD5384"/>
    <w:rsid w:val="00AD7640"/>
    <w:rsid w:val="00AD79AD"/>
    <w:rsid w:val="00AE0C47"/>
    <w:rsid w:val="00AE0D51"/>
    <w:rsid w:val="00AE203C"/>
    <w:rsid w:val="00AE2886"/>
    <w:rsid w:val="00AE3B47"/>
    <w:rsid w:val="00AE75C2"/>
    <w:rsid w:val="00AF06FA"/>
    <w:rsid w:val="00AF0788"/>
    <w:rsid w:val="00AF1D54"/>
    <w:rsid w:val="00AF1D56"/>
    <w:rsid w:val="00AF352B"/>
    <w:rsid w:val="00AF5254"/>
    <w:rsid w:val="00AF78E5"/>
    <w:rsid w:val="00B03F7A"/>
    <w:rsid w:val="00B05E6A"/>
    <w:rsid w:val="00B0696F"/>
    <w:rsid w:val="00B07350"/>
    <w:rsid w:val="00B07867"/>
    <w:rsid w:val="00B10A7D"/>
    <w:rsid w:val="00B12E0B"/>
    <w:rsid w:val="00B13BD5"/>
    <w:rsid w:val="00B1459F"/>
    <w:rsid w:val="00B15148"/>
    <w:rsid w:val="00B15C82"/>
    <w:rsid w:val="00B164D2"/>
    <w:rsid w:val="00B20722"/>
    <w:rsid w:val="00B207C0"/>
    <w:rsid w:val="00B20AD8"/>
    <w:rsid w:val="00B234EB"/>
    <w:rsid w:val="00B25675"/>
    <w:rsid w:val="00B25C1E"/>
    <w:rsid w:val="00B26661"/>
    <w:rsid w:val="00B301B2"/>
    <w:rsid w:val="00B302F0"/>
    <w:rsid w:val="00B31F24"/>
    <w:rsid w:val="00B32AD1"/>
    <w:rsid w:val="00B33A73"/>
    <w:rsid w:val="00B34583"/>
    <w:rsid w:val="00B34EF9"/>
    <w:rsid w:val="00B35DD1"/>
    <w:rsid w:val="00B375A9"/>
    <w:rsid w:val="00B40714"/>
    <w:rsid w:val="00B40D34"/>
    <w:rsid w:val="00B41EF2"/>
    <w:rsid w:val="00B42FCD"/>
    <w:rsid w:val="00B44B54"/>
    <w:rsid w:val="00B44FF4"/>
    <w:rsid w:val="00B45AED"/>
    <w:rsid w:val="00B47853"/>
    <w:rsid w:val="00B52218"/>
    <w:rsid w:val="00B5231B"/>
    <w:rsid w:val="00B52D00"/>
    <w:rsid w:val="00B53487"/>
    <w:rsid w:val="00B54FCD"/>
    <w:rsid w:val="00B56D98"/>
    <w:rsid w:val="00B60D5B"/>
    <w:rsid w:val="00B635D9"/>
    <w:rsid w:val="00B63AAD"/>
    <w:rsid w:val="00B64901"/>
    <w:rsid w:val="00B6509A"/>
    <w:rsid w:val="00B65487"/>
    <w:rsid w:val="00B6623D"/>
    <w:rsid w:val="00B67A09"/>
    <w:rsid w:val="00B70839"/>
    <w:rsid w:val="00B733ED"/>
    <w:rsid w:val="00B77BD2"/>
    <w:rsid w:val="00B80482"/>
    <w:rsid w:val="00B81485"/>
    <w:rsid w:val="00B815A4"/>
    <w:rsid w:val="00B84A98"/>
    <w:rsid w:val="00B84C7A"/>
    <w:rsid w:val="00B84EFF"/>
    <w:rsid w:val="00B90C78"/>
    <w:rsid w:val="00B90D34"/>
    <w:rsid w:val="00B926FB"/>
    <w:rsid w:val="00B92C7C"/>
    <w:rsid w:val="00B93636"/>
    <w:rsid w:val="00B93AD5"/>
    <w:rsid w:val="00B94C75"/>
    <w:rsid w:val="00B96DFA"/>
    <w:rsid w:val="00B96E39"/>
    <w:rsid w:val="00BA0CA5"/>
    <w:rsid w:val="00BA139D"/>
    <w:rsid w:val="00BA1F3C"/>
    <w:rsid w:val="00BA266C"/>
    <w:rsid w:val="00BA2683"/>
    <w:rsid w:val="00BA2CE9"/>
    <w:rsid w:val="00BA2DB9"/>
    <w:rsid w:val="00BA43E2"/>
    <w:rsid w:val="00BA5261"/>
    <w:rsid w:val="00BA569A"/>
    <w:rsid w:val="00BA5FEE"/>
    <w:rsid w:val="00BA76F1"/>
    <w:rsid w:val="00BB19EE"/>
    <w:rsid w:val="00BB243E"/>
    <w:rsid w:val="00BB2504"/>
    <w:rsid w:val="00BB28BC"/>
    <w:rsid w:val="00BB2E6A"/>
    <w:rsid w:val="00BB2F78"/>
    <w:rsid w:val="00BB2FA5"/>
    <w:rsid w:val="00BB3278"/>
    <w:rsid w:val="00BB398B"/>
    <w:rsid w:val="00BB47C4"/>
    <w:rsid w:val="00BB4BF3"/>
    <w:rsid w:val="00BB641F"/>
    <w:rsid w:val="00BB7C9B"/>
    <w:rsid w:val="00BB7F7F"/>
    <w:rsid w:val="00BC2AE8"/>
    <w:rsid w:val="00BC35A5"/>
    <w:rsid w:val="00BC44CB"/>
    <w:rsid w:val="00BC576E"/>
    <w:rsid w:val="00BC75B1"/>
    <w:rsid w:val="00BC7C29"/>
    <w:rsid w:val="00BD0D0E"/>
    <w:rsid w:val="00BD0F02"/>
    <w:rsid w:val="00BD283F"/>
    <w:rsid w:val="00BD41E6"/>
    <w:rsid w:val="00BD4741"/>
    <w:rsid w:val="00BD6185"/>
    <w:rsid w:val="00BD7426"/>
    <w:rsid w:val="00BD77FC"/>
    <w:rsid w:val="00BD7ECE"/>
    <w:rsid w:val="00BE0361"/>
    <w:rsid w:val="00BE12C9"/>
    <w:rsid w:val="00BE1789"/>
    <w:rsid w:val="00BE1F48"/>
    <w:rsid w:val="00BE20A0"/>
    <w:rsid w:val="00BE2B0B"/>
    <w:rsid w:val="00BE2D94"/>
    <w:rsid w:val="00BE3966"/>
    <w:rsid w:val="00BE3B75"/>
    <w:rsid w:val="00BE4307"/>
    <w:rsid w:val="00BE6020"/>
    <w:rsid w:val="00BE609F"/>
    <w:rsid w:val="00BE6392"/>
    <w:rsid w:val="00BE6416"/>
    <w:rsid w:val="00BE7148"/>
    <w:rsid w:val="00BE7A9B"/>
    <w:rsid w:val="00BF3367"/>
    <w:rsid w:val="00BF37F3"/>
    <w:rsid w:val="00BF443D"/>
    <w:rsid w:val="00BF532D"/>
    <w:rsid w:val="00BF6872"/>
    <w:rsid w:val="00BF76B3"/>
    <w:rsid w:val="00C01AE4"/>
    <w:rsid w:val="00C0434D"/>
    <w:rsid w:val="00C043F5"/>
    <w:rsid w:val="00C066C6"/>
    <w:rsid w:val="00C06B1D"/>
    <w:rsid w:val="00C12433"/>
    <w:rsid w:val="00C14D11"/>
    <w:rsid w:val="00C14FE7"/>
    <w:rsid w:val="00C1560E"/>
    <w:rsid w:val="00C15CB5"/>
    <w:rsid w:val="00C16BF4"/>
    <w:rsid w:val="00C205CA"/>
    <w:rsid w:val="00C221AD"/>
    <w:rsid w:val="00C221ED"/>
    <w:rsid w:val="00C22E77"/>
    <w:rsid w:val="00C23906"/>
    <w:rsid w:val="00C25E50"/>
    <w:rsid w:val="00C2664B"/>
    <w:rsid w:val="00C31C10"/>
    <w:rsid w:val="00C31EB6"/>
    <w:rsid w:val="00C323C7"/>
    <w:rsid w:val="00C331CE"/>
    <w:rsid w:val="00C33753"/>
    <w:rsid w:val="00C352F4"/>
    <w:rsid w:val="00C4107A"/>
    <w:rsid w:val="00C42801"/>
    <w:rsid w:val="00C429E8"/>
    <w:rsid w:val="00C43335"/>
    <w:rsid w:val="00C44E3C"/>
    <w:rsid w:val="00C452C9"/>
    <w:rsid w:val="00C4739A"/>
    <w:rsid w:val="00C507C6"/>
    <w:rsid w:val="00C50EE3"/>
    <w:rsid w:val="00C51476"/>
    <w:rsid w:val="00C519E4"/>
    <w:rsid w:val="00C5596F"/>
    <w:rsid w:val="00C57ADB"/>
    <w:rsid w:val="00C642EB"/>
    <w:rsid w:val="00C64B8D"/>
    <w:rsid w:val="00C65C49"/>
    <w:rsid w:val="00C679DE"/>
    <w:rsid w:val="00C67B6F"/>
    <w:rsid w:val="00C71556"/>
    <w:rsid w:val="00C7324D"/>
    <w:rsid w:val="00C744A6"/>
    <w:rsid w:val="00C761A9"/>
    <w:rsid w:val="00C762DE"/>
    <w:rsid w:val="00C76630"/>
    <w:rsid w:val="00C8090A"/>
    <w:rsid w:val="00C81155"/>
    <w:rsid w:val="00C8251A"/>
    <w:rsid w:val="00C828B5"/>
    <w:rsid w:val="00C83592"/>
    <w:rsid w:val="00C8431C"/>
    <w:rsid w:val="00C843D2"/>
    <w:rsid w:val="00C8567A"/>
    <w:rsid w:val="00C85F08"/>
    <w:rsid w:val="00C8668C"/>
    <w:rsid w:val="00C90483"/>
    <w:rsid w:val="00C9055B"/>
    <w:rsid w:val="00C9188F"/>
    <w:rsid w:val="00C93486"/>
    <w:rsid w:val="00C938FF"/>
    <w:rsid w:val="00C93C72"/>
    <w:rsid w:val="00C9486F"/>
    <w:rsid w:val="00C97721"/>
    <w:rsid w:val="00CA0058"/>
    <w:rsid w:val="00CA05B8"/>
    <w:rsid w:val="00CA1632"/>
    <w:rsid w:val="00CA1EE1"/>
    <w:rsid w:val="00CA26D2"/>
    <w:rsid w:val="00CA3465"/>
    <w:rsid w:val="00CA60CE"/>
    <w:rsid w:val="00CA6142"/>
    <w:rsid w:val="00CA7D12"/>
    <w:rsid w:val="00CA7D5E"/>
    <w:rsid w:val="00CB3C72"/>
    <w:rsid w:val="00CB45ED"/>
    <w:rsid w:val="00CB4975"/>
    <w:rsid w:val="00CC0092"/>
    <w:rsid w:val="00CC480B"/>
    <w:rsid w:val="00CC72B2"/>
    <w:rsid w:val="00CD08E4"/>
    <w:rsid w:val="00CD0A68"/>
    <w:rsid w:val="00CD26F6"/>
    <w:rsid w:val="00CD3F42"/>
    <w:rsid w:val="00CE203C"/>
    <w:rsid w:val="00CE2FA5"/>
    <w:rsid w:val="00CE324F"/>
    <w:rsid w:val="00CE36F2"/>
    <w:rsid w:val="00CE4AD6"/>
    <w:rsid w:val="00CE4E68"/>
    <w:rsid w:val="00CE6410"/>
    <w:rsid w:val="00CE66A7"/>
    <w:rsid w:val="00CE68AA"/>
    <w:rsid w:val="00CF22DC"/>
    <w:rsid w:val="00CF2833"/>
    <w:rsid w:val="00CF3983"/>
    <w:rsid w:val="00CF41C5"/>
    <w:rsid w:val="00CF673D"/>
    <w:rsid w:val="00CF7E46"/>
    <w:rsid w:val="00CF7FA5"/>
    <w:rsid w:val="00D0182B"/>
    <w:rsid w:val="00D01B00"/>
    <w:rsid w:val="00D01BD5"/>
    <w:rsid w:val="00D03975"/>
    <w:rsid w:val="00D0591C"/>
    <w:rsid w:val="00D1035D"/>
    <w:rsid w:val="00D10542"/>
    <w:rsid w:val="00D11CB5"/>
    <w:rsid w:val="00D11E83"/>
    <w:rsid w:val="00D129B3"/>
    <w:rsid w:val="00D13FC1"/>
    <w:rsid w:val="00D16AFD"/>
    <w:rsid w:val="00D17835"/>
    <w:rsid w:val="00D20980"/>
    <w:rsid w:val="00D23356"/>
    <w:rsid w:val="00D23EA7"/>
    <w:rsid w:val="00D23FAF"/>
    <w:rsid w:val="00D24BFD"/>
    <w:rsid w:val="00D25058"/>
    <w:rsid w:val="00D277EB"/>
    <w:rsid w:val="00D31DE4"/>
    <w:rsid w:val="00D32DE7"/>
    <w:rsid w:val="00D33C25"/>
    <w:rsid w:val="00D340DA"/>
    <w:rsid w:val="00D40B08"/>
    <w:rsid w:val="00D40B31"/>
    <w:rsid w:val="00D4170A"/>
    <w:rsid w:val="00D42BAD"/>
    <w:rsid w:val="00D43B3B"/>
    <w:rsid w:val="00D457FA"/>
    <w:rsid w:val="00D463F4"/>
    <w:rsid w:val="00D47C27"/>
    <w:rsid w:val="00D51DD9"/>
    <w:rsid w:val="00D52EA6"/>
    <w:rsid w:val="00D53998"/>
    <w:rsid w:val="00D55023"/>
    <w:rsid w:val="00D5583E"/>
    <w:rsid w:val="00D56850"/>
    <w:rsid w:val="00D60F26"/>
    <w:rsid w:val="00D60F44"/>
    <w:rsid w:val="00D61E22"/>
    <w:rsid w:val="00D63514"/>
    <w:rsid w:val="00D63F1B"/>
    <w:rsid w:val="00D64C20"/>
    <w:rsid w:val="00D6511D"/>
    <w:rsid w:val="00D66146"/>
    <w:rsid w:val="00D6668B"/>
    <w:rsid w:val="00D70223"/>
    <w:rsid w:val="00D70C0D"/>
    <w:rsid w:val="00D717C6"/>
    <w:rsid w:val="00D72122"/>
    <w:rsid w:val="00D72449"/>
    <w:rsid w:val="00D75232"/>
    <w:rsid w:val="00D752D5"/>
    <w:rsid w:val="00D7551E"/>
    <w:rsid w:val="00D75B2B"/>
    <w:rsid w:val="00D75CDD"/>
    <w:rsid w:val="00D76910"/>
    <w:rsid w:val="00D77102"/>
    <w:rsid w:val="00D82105"/>
    <w:rsid w:val="00D838F5"/>
    <w:rsid w:val="00D848C7"/>
    <w:rsid w:val="00D90B51"/>
    <w:rsid w:val="00D91444"/>
    <w:rsid w:val="00D92D2A"/>
    <w:rsid w:val="00D93B10"/>
    <w:rsid w:val="00D93F60"/>
    <w:rsid w:val="00D9411B"/>
    <w:rsid w:val="00D94E80"/>
    <w:rsid w:val="00D96BA5"/>
    <w:rsid w:val="00D96CEA"/>
    <w:rsid w:val="00D97665"/>
    <w:rsid w:val="00DA251F"/>
    <w:rsid w:val="00DA4F0C"/>
    <w:rsid w:val="00DA5902"/>
    <w:rsid w:val="00DA64A3"/>
    <w:rsid w:val="00DA6ED2"/>
    <w:rsid w:val="00DA7023"/>
    <w:rsid w:val="00DB00EA"/>
    <w:rsid w:val="00DB0EA4"/>
    <w:rsid w:val="00DB0F36"/>
    <w:rsid w:val="00DB52B8"/>
    <w:rsid w:val="00DB5981"/>
    <w:rsid w:val="00DB5AE3"/>
    <w:rsid w:val="00DB6204"/>
    <w:rsid w:val="00DB643C"/>
    <w:rsid w:val="00DB7490"/>
    <w:rsid w:val="00DC127C"/>
    <w:rsid w:val="00DC2A58"/>
    <w:rsid w:val="00DC3734"/>
    <w:rsid w:val="00DC4726"/>
    <w:rsid w:val="00DD009B"/>
    <w:rsid w:val="00DD09CD"/>
    <w:rsid w:val="00DD15F2"/>
    <w:rsid w:val="00DD24F5"/>
    <w:rsid w:val="00DD382E"/>
    <w:rsid w:val="00DD463B"/>
    <w:rsid w:val="00DD5E2B"/>
    <w:rsid w:val="00DD6E3F"/>
    <w:rsid w:val="00DD7E3F"/>
    <w:rsid w:val="00DE0AB0"/>
    <w:rsid w:val="00DE1EDA"/>
    <w:rsid w:val="00DE2E85"/>
    <w:rsid w:val="00DE41B6"/>
    <w:rsid w:val="00DE6CD9"/>
    <w:rsid w:val="00DE6DA5"/>
    <w:rsid w:val="00DE744E"/>
    <w:rsid w:val="00DE783A"/>
    <w:rsid w:val="00DE7A65"/>
    <w:rsid w:val="00DF272F"/>
    <w:rsid w:val="00DF2C25"/>
    <w:rsid w:val="00DF3200"/>
    <w:rsid w:val="00DF48BB"/>
    <w:rsid w:val="00DF512F"/>
    <w:rsid w:val="00DF5297"/>
    <w:rsid w:val="00DF53D4"/>
    <w:rsid w:val="00DF6864"/>
    <w:rsid w:val="00DF6BE7"/>
    <w:rsid w:val="00DF7B28"/>
    <w:rsid w:val="00DF7DB3"/>
    <w:rsid w:val="00E0199B"/>
    <w:rsid w:val="00E039A5"/>
    <w:rsid w:val="00E03E6C"/>
    <w:rsid w:val="00E06086"/>
    <w:rsid w:val="00E060B6"/>
    <w:rsid w:val="00E0637B"/>
    <w:rsid w:val="00E10631"/>
    <w:rsid w:val="00E112C4"/>
    <w:rsid w:val="00E11355"/>
    <w:rsid w:val="00E12710"/>
    <w:rsid w:val="00E12C07"/>
    <w:rsid w:val="00E12C33"/>
    <w:rsid w:val="00E13198"/>
    <w:rsid w:val="00E1481A"/>
    <w:rsid w:val="00E14D39"/>
    <w:rsid w:val="00E153E3"/>
    <w:rsid w:val="00E20711"/>
    <w:rsid w:val="00E2185B"/>
    <w:rsid w:val="00E2189F"/>
    <w:rsid w:val="00E22413"/>
    <w:rsid w:val="00E22B8E"/>
    <w:rsid w:val="00E24201"/>
    <w:rsid w:val="00E25D09"/>
    <w:rsid w:val="00E27703"/>
    <w:rsid w:val="00E32956"/>
    <w:rsid w:val="00E329F8"/>
    <w:rsid w:val="00E33BC4"/>
    <w:rsid w:val="00E34DAD"/>
    <w:rsid w:val="00E34F59"/>
    <w:rsid w:val="00E37995"/>
    <w:rsid w:val="00E4191D"/>
    <w:rsid w:val="00E41A74"/>
    <w:rsid w:val="00E4277E"/>
    <w:rsid w:val="00E42BB2"/>
    <w:rsid w:val="00E43DBB"/>
    <w:rsid w:val="00E44A5D"/>
    <w:rsid w:val="00E46BDE"/>
    <w:rsid w:val="00E502AF"/>
    <w:rsid w:val="00E51EB1"/>
    <w:rsid w:val="00E52679"/>
    <w:rsid w:val="00E53CCD"/>
    <w:rsid w:val="00E5405C"/>
    <w:rsid w:val="00E54578"/>
    <w:rsid w:val="00E56326"/>
    <w:rsid w:val="00E571B6"/>
    <w:rsid w:val="00E60125"/>
    <w:rsid w:val="00E62FA6"/>
    <w:rsid w:val="00E63B37"/>
    <w:rsid w:val="00E65021"/>
    <w:rsid w:val="00E70466"/>
    <w:rsid w:val="00E712C8"/>
    <w:rsid w:val="00E72E98"/>
    <w:rsid w:val="00E73B52"/>
    <w:rsid w:val="00E741CB"/>
    <w:rsid w:val="00E75732"/>
    <w:rsid w:val="00E75956"/>
    <w:rsid w:val="00E7725A"/>
    <w:rsid w:val="00E80111"/>
    <w:rsid w:val="00E80F34"/>
    <w:rsid w:val="00E837D8"/>
    <w:rsid w:val="00E85AE3"/>
    <w:rsid w:val="00E873B5"/>
    <w:rsid w:val="00E87815"/>
    <w:rsid w:val="00E914B1"/>
    <w:rsid w:val="00E9438E"/>
    <w:rsid w:val="00E953F9"/>
    <w:rsid w:val="00E972FA"/>
    <w:rsid w:val="00EA0012"/>
    <w:rsid w:val="00EA0111"/>
    <w:rsid w:val="00EA1234"/>
    <w:rsid w:val="00EA275A"/>
    <w:rsid w:val="00EA3277"/>
    <w:rsid w:val="00EA55DF"/>
    <w:rsid w:val="00EA5852"/>
    <w:rsid w:val="00EA585D"/>
    <w:rsid w:val="00EA695B"/>
    <w:rsid w:val="00EA799E"/>
    <w:rsid w:val="00EB11EF"/>
    <w:rsid w:val="00EB1FBE"/>
    <w:rsid w:val="00EB3DF7"/>
    <w:rsid w:val="00EB456A"/>
    <w:rsid w:val="00EB5696"/>
    <w:rsid w:val="00EB6946"/>
    <w:rsid w:val="00EB715D"/>
    <w:rsid w:val="00EB7B6E"/>
    <w:rsid w:val="00EB7C7E"/>
    <w:rsid w:val="00EC0624"/>
    <w:rsid w:val="00EC3763"/>
    <w:rsid w:val="00EC4948"/>
    <w:rsid w:val="00EC734C"/>
    <w:rsid w:val="00ED0192"/>
    <w:rsid w:val="00ED1E6A"/>
    <w:rsid w:val="00ED2AC9"/>
    <w:rsid w:val="00ED457E"/>
    <w:rsid w:val="00ED4A3B"/>
    <w:rsid w:val="00ED4F39"/>
    <w:rsid w:val="00ED4F99"/>
    <w:rsid w:val="00ED5840"/>
    <w:rsid w:val="00EE037C"/>
    <w:rsid w:val="00EE0903"/>
    <w:rsid w:val="00EE2327"/>
    <w:rsid w:val="00EE261C"/>
    <w:rsid w:val="00EE3F69"/>
    <w:rsid w:val="00EE4B7E"/>
    <w:rsid w:val="00EE52C9"/>
    <w:rsid w:val="00EE5362"/>
    <w:rsid w:val="00EE77CA"/>
    <w:rsid w:val="00EF0451"/>
    <w:rsid w:val="00EF0B39"/>
    <w:rsid w:val="00EF20D2"/>
    <w:rsid w:val="00EF2AB8"/>
    <w:rsid w:val="00EF48A3"/>
    <w:rsid w:val="00EF5B3A"/>
    <w:rsid w:val="00EF686C"/>
    <w:rsid w:val="00EF71D8"/>
    <w:rsid w:val="00F00340"/>
    <w:rsid w:val="00F02CD9"/>
    <w:rsid w:val="00F02D62"/>
    <w:rsid w:val="00F02FC3"/>
    <w:rsid w:val="00F03DEC"/>
    <w:rsid w:val="00F04155"/>
    <w:rsid w:val="00F041B2"/>
    <w:rsid w:val="00F04D8F"/>
    <w:rsid w:val="00F12352"/>
    <w:rsid w:val="00F12F12"/>
    <w:rsid w:val="00F1367C"/>
    <w:rsid w:val="00F141C1"/>
    <w:rsid w:val="00F204B5"/>
    <w:rsid w:val="00F245C6"/>
    <w:rsid w:val="00F2464E"/>
    <w:rsid w:val="00F246EF"/>
    <w:rsid w:val="00F26135"/>
    <w:rsid w:val="00F308CD"/>
    <w:rsid w:val="00F30BCB"/>
    <w:rsid w:val="00F33D2D"/>
    <w:rsid w:val="00F3561E"/>
    <w:rsid w:val="00F35AD9"/>
    <w:rsid w:val="00F36757"/>
    <w:rsid w:val="00F36A87"/>
    <w:rsid w:val="00F42817"/>
    <w:rsid w:val="00F42845"/>
    <w:rsid w:val="00F429DE"/>
    <w:rsid w:val="00F42E63"/>
    <w:rsid w:val="00F45778"/>
    <w:rsid w:val="00F47360"/>
    <w:rsid w:val="00F473CC"/>
    <w:rsid w:val="00F51390"/>
    <w:rsid w:val="00F52909"/>
    <w:rsid w:val="00F555E3"/>
    <w:rsid w:val="00F573FF"/>
    <w:rsid w:val="00F603B4"/>
    <w:rsid w:val="00F61235"/>
    <w:rsid w:val="00F627DD"/>
    <w:rsid w:val="00F62B26"/>
    <w:rsid w:val="00F64CB2"/>
    <w:rsid w:val="00F654E4"/>
    <w:rsid w:val="00F6560A"/>
    <w:rsid w:val="00F65FF1"/>
    <w:rsid w:val="00F6732A"/>
    <w:rsid w:val="00F67A0E"/>
    <w:rsid w:val="00F67B4B"/>
    <w:rsid w:val="00F706C8"/>
    <w:rsid w:val="00F70938"/>
    <w:rsid w:val="00F7188E"/>
    <w:rsid w:val="00F728DF"/>
    <w:rsid w:val="00F74196"/>
    <w:rsid w:val="00F75892"/>
    <w:rsid w:val="00F7795C"/>
    <w:rsid w:val="00F77AD7"/>
    <w:rsid w:val="00F810D5"/>
    <w:rsid w:val="00F836A1"/>
    <w:rsid w:val="00F83E07"/>
    <w:rsid w:val="00F862F0"/>
    <w:rsid w:val="00F87A79"/>
    <w:rsid w:val="00F910B5"/>
    <w:rsid w:val="00F91721"/>
    <w:rsid w:val="00F9350B"/>
    <w:rsid w:val="00F93E62"/>
    <w:rsid w:val="00F93FFD"/>
    <w:rsid w:val="00F97171"/>
    <w:rsid w:val="00FA07AE"/>
    <w:rsid w:val="00FA1C26"/>
    <w:rsid w:val="00FA2FC6"/>
    <w:rsid w:val="00FA32BB"/>
    <w:rsid w:val="00FA3E56"/>
    <w:rsid w:val="00FA57DB"/>
    <w:rsid w:val="00FB1925"/>
    <w:rsid w:val="00FB2102"/>
    <w:rsid w:val="00FB270B"/>
    <w:rsid w:val="00FB317E"/>
    <w:rsid w:val="00FB6DA9"/>
    <w:rsid w:val="00FB76B2"/>
    <w:rsid w:val="00FC1F9E"/>
    <w:rsid w:val="00FC279A"/>
    <w:rsid w:val="00FC2FE4"/>
    <w:rsid w:val="00FC30D5"/>
    <w:rsid w:val="00FC3DFA"/>
    <w:rsid w:val="00FC402F"/>
    <w:rsid w:val="00FC417D"/>
    <w:rsid w:val="00FC5ACF"/>
    <w:rsid w:val="00FC6611"/>
    <w:rsid w:val="00FC6F64"/>
    <w:rsid w:val="00FD10FA"/>
    <w:rsid w:val="00FD35E4"/>
    <w:rsid w:val="00FD4287"/>
    <w:rsid w:val="00FD4ABE"/>
    <w:rsid w:val="00FD4F8E"/>
    <w:rsid w:val="00FD5108"/>
    <w:rsid w:val="00FE0C0B"/>
    <w:rsid w:val="00FE2062"/>
    <w:rsid w:val="00FE35FD"/>
    <w:rsid w:val="00FE549E"/>
    <w:rsid w:val="00FE5ABD"/>
    <w:rsid w:val="00FE6CDE"/>
    <w:rsid w:val="00FF2691"/>
    <w:rsid w:val="00FF5858"/>
    <w:rsid w:val="00FF79A3"/>
    <w:rsid w:val="08FE4B1D"/>
    <w:rsid w:val="11118754"/>
    <w:rsid w:val="1334DD8E"/>
    <w:rsid w:val="235C334C"/>
    <w:rsid w:val="23BE01DE"/>
    <w:rsid w:val="266AA533"/>
    <w:rsid w:val="27B4AD1C"/>
    <w:rsid w:val="292E506C"/>
    <w:rsid w:val="2AF1AED0"/>
    <w:rsid w:val="310B6A4B"/>
    <w:rsid w:val="342DC3EF"/>
    <w:rsid w:val="39052706"/>
    <w:rsid w:val="430D1419"/>
    <w:rsid w:val="4381754D"/>
    <w:rsid w:val="444DBA5E"/>
    <w:rsid w:val="46B065CF"/>
    <w:rsid w:val="4B820D18"/>
    <w:rsid w:val="50193C92"/>
    <w:rsid w:val="53110253"/>
    <w:rsid w:val="58A63584"/>
    <w:rsid w:val="61E0F9C5"/>
    <w:rsid w:val="620A7B49"/>
    <w:rsid w:val="6FC56BBB"/>
    <w:rsid w:val="76FF3778"/>
    <w:rsid w:val="7ADB395D"/>
    <w:rsid w:val="7C873D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284B87"/>
  <w14:defaultImageDpi w14:val="96"/>
  <w15:docId w15:val="{69865733-0229-40AF-86DA-50A8CB00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E8"/>
    <w:rPr>
      <w:rFonts w:ascii="Arial" w:hAnsi="Arial" w:cs="Times New Roman"/>
    </w:rPr>
  </w:style>
  <w:style w:type="paragraph" w:styleId="Heading1">
    <w:name w:val="heading 1"/>
    <w:basedOn w:val="Normal"/>
    <w:next w:val="Normal"/>
    <w:link w:val="Heading1Char"/>
    <w:uiPriority w:val="9"/>
    <w:qFormat/>
    <w:rsid w:val="000C317C"/>
    <w:pPr>
      <w:keepNext/>
      <w:keepLines/>
      <w:spacing w:before="480" w:after="240"/>
      <w:outlineLvl w:val="0"/>
    </w:pPr>
    <w:rPr>
      <w:rFonts w:eastAsiaTheme="majorEastAsia" w:cs="Arial"/>
      <w:b/>
      <w:bCs/>
      <w:color w:val="345A8A" w:themeColor="accent1" w:themeShade="B5"/>
      <w:sz w:val="28"/>
      <w:szCs w:val="32"/>
      <w:lang w:val="en-US"/>
    </w:rPr>
  </w:style>
  <w:style w:type="paragraph" w:styleId="Heading2">
    <w:name w:val="heading 2"/>
    <w:basedOn w:val="Normal"/>
    <w:next w:val="Normal"/>
    <w:link w:val="Heading2Char"/>
    <w:uiPriority w:val="9"/>
    <w:unhideWhenUsed/>
    <w:qFormat/>
    <w:rsid w:val="000C317C"/>
    <w:pPr>
      <w:keepNext/>
      <w:keepLines/>
      <w:spacing w:before="240" w:after="240"/>
      <w:outlineLvl w:val="1"/>
    </w:pPr>
    <w:rPr>
      <w:rFonts w:eastAsiaTheme="majorEastAsia" w:cs="Arial"/>
      <w:b/>
      <w:bCs/>
      <w:color w:val="4F81BD" w:themeColor="accent1"/>
      <w:sz w:val="26"/>
      <w:szCs w:val="26"/>
      <w:lang w:val="en-US"/>
    </w:rPr>
  </w:style>
  <w:style w:type="paragraph" w:styleId="Heading3">
    <w:name w:val="heading 3"/>
    <w:basedOn w:val="Heading2"/>
    <w:next w:val="Normal"/>
    <w:link w:val="Heading3Char"/>
    <w:uiPriority w:val="9"/>
    <w:unhideWhenUsed/>
    <w:qFormat/>
    <w:rsid w:val="00C76630"/>
    <w:pPr>
      <w:outlineLvl w:val="2"/>
    </w:p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C317C"/>
    <w:rPr>
      <w:rFonts w:ascii="Arial" w:eastAsiaTheme="majorEastAsia" w:hAnsi="Arial" w:cs="Arial"/>
      <w:b/>
      <w:bCs/>
      <w:color w:val="345A8A" w:themeColor="accent1" w:themeShade="B5"/>
      <w:sz w:val="32"/>
      <w:szCs w:val="32"/>
      <w:lang w:val="en-US" w:eastAsia="x-none"/>
    </w:rPr>
  </w:style>
  <w:style w:type="character" w:customStyle="1" w:styleId="Heading2Char">
    <w:name w:val="Heading 2 Char"/>
    <w:basedOn w:val="DefaultParagraphFont"/>
    <w:link w:val="Heading2"/>
    <w:uiPriority w:val="9"/>
    <w:locked/>
    <w:rsid w:val="000C317C"/>
    <w:rPr>
      <w:rFonts w:ascii="Arial" w:eastAsiaTheme="majorEastAsia" w:hAnsi="Arial" w:cs="Arial"/>
      <w:b/>
      <w:bCs/>
      <w:color w:val="4F81BD" w:themeColor="accent1"/>
      <w:sz w:val="26"/>
      <w:szCs w:val="26"/>
      <w:lang w:val="en-US" w:eastAsia="x-none"/>
    </w:rPr>
  </w:style>
  <w:style w:type="character" w:customStyle="1" w:styleId="Heading3Char">
    <w:name w:val="Heading 3 Char"/>
    <w:basedOn w:val="DefaultParagraphFont"/>
    <w:link w:val="Heading3"/>
    <w:uiPriority w:val="9"/>
    <w:locked/>
    <w:rsid w:val="00C76630"/>
    <w:rPr>
      <w:rFonts w:ascii="Arial" w:eastAsiaTheme="majorEastAsia" w:hAnsi="Arial" w:cs="Arial"/>
      <w:b/>
      <w:bCs/>
      <w:color w:val="4F81BD" w:themeColor="accent1"/>
      <w:sz w:val="26"/>
      <w:szCs w:val="26"/>
      <w:lang w:val="en-US" w:eastAsia="x-none"/>
    </w:rPr>
  </w:style>
  <w:style w:type="character" w:customStyle="1" w:styleId="Heading4Char">
    <w:name w:val="Heading 4 Char"/>
    <w:basedOn w:val="DefaultParagraphFont"/>
    <w:link w:val="Heading4"/>
    <w:uiPriority w:val="9"/>
    <w:locked/>
    <w:rsid w:val="004B54CA"/>
    <w:rPr>
      <w:rFonts w:ascii="Arial" w:eastAsiaTheme="majorEastAsia" w:hAnsi="Arial" w:cs="Times New Roman"/>
      <w:b/>
      <w:bCs/>
      <w:i/>
      <w:iCs/>
    </w:rPr>
  </w:style>
  <w:style w:type="character" w:customStyle="1" w:styleId="Heading5Char">
    <w:name w:val="Heading 5 Char"/>
    <w:basedOn w:val="DefaultParagraphFont"/>
    <w:link w:val="Heading5"/>
    <w:uiPriority w:val="9"/>
    <w:locked/>
    <w:rsid w:val="004B54CA"/>
    <w:rPr>
      <w:rFonts w:ascii="Arial" w:eastAsiaTheme="majorEastAsia" w:hAnsi="Arial" w:cs="Times New Roman"/>
      <w:b/>
      <w:bCs/>
      <w:color w:val="7F7F7F" w:themeColor="text1" w:themeTint="80"/>
    </w:rPr>
  </w:style>
  <w:style w:type="character" w:customStyle="1" w:styleId="Heading6Char">
    <w:name w:val="Heading 6 Char"/>
    <w:basedOn w:val="DefaultParagraphFont"/>
    <w:link w:val="Heading6"/>
    <w:uiPriority w:val="9"/>
    <w:locked/>
    <w:rsid w:val="004B54CA"/>
    <w:rPr>
      <w:rFonts w:ascii="Arial" w:eastAsiaTheme="majorEastAsia" w:hAnsi="Arial" w:cs="Times New Roman"/>
      <w:b/>
      <w:bCs/>
      <w:i/>
      <w:iCs/>
      <w:color w:val="7F7F7F" w:themeColor="text1" w:themeTint="80"/>
    </w:rPr>
  </w:style>
  <w:style w:type="character" w:customStyle="1" w:styleId="Heading7Char">
    <w:name w:val="Heading 7 Char"/>
    <w:basedOn w:val="DefaultParagraphFont"/>
    <w:link w:val="Heading7"/>
    <w:uiPriority w:val="9"/>
    <w:locked/>
    <w:rsid w:val="004B54CA"/>
    <w:rPr>
      <w:rFonts w:ascii="Arial" w:eastAsiaTheme="majorEastAsia" w:hAnsi="Arial" w:cs="Times New Roman"/>
      <w:i/>
      <w:iCs/>
    </w:rPr>
  </w:style>
  <w:style w:type="character" w:customStyle="1" w:styleId="Heading8Char">
    <w:name w:val="Heading 8 Char"/>
    <w:basedOn w:val="DefaultParagraphFont"/>
    <w:link w:val="Heading8"/>
    <w:uiPriority w:val="9"/>
    <w:locked/>
    <w:rsid w:val="004B54CA"/>
    <w:rPr>
      <w:rFonts w:ascii="Arial" w:eastAsiaTheme="majorEastAsia" w:hAnsi="Arial" w:cs="Times New Roman"/>
      <w:sz w:val="20"/>
      <w:szCs w:val="20"/>
    </w:rPr>
  </w:style>
  <w:style w:type="character" w:customStyle="1" w:styleId="Heading9Char">
    <w:name w:val="Heading 9 Char"/>
    <w:basedOn w:val="DefaultParagraphFont"/>
    <w:link w:val="Heading9"/>
    <w:uiPriority w:val="9"/>
    <w:locked/>
    <w:rsid w:val="004B54CA"/>
    <w:rPr>
      <w:rFonts w:ascii="Arial" w:eastAsiaTheme="majorEastAsia" w:hAnsi="Arial" w:cs="Times New Roman"/>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spacing w:val="5"/>
      <w:sz w:val="52"/>
      <w:szCs w:val="52"/>
    </w:rPr>
  </w:style>
  <w:style w:type="character" w:customStyle="1" w:styleId="TitleChar">
    <w:name w:val="Title Char"/>
    <w:basedOn w:val="DefaultParagraphFont"/>
    <w:link w:val="Title"/>
    <w:uiPriority w:val="10"/>
    <w:locked/>
    <w:rsid w:val="004B54CA"/>
    <w:rPr>
      <w:rFonts w:ascii="Arial" w:eastAsiaTheme="majorEastAsia" w:hAnsi="Arial" w:cs="Times New Roman"/>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i/>
      <w:iCs/>
      <w:spacing w:val="13"/>
      <w:sz w:val="24"/>
      <w:szCs w:val="24"/>
    </w:rPr>
  </w:style>
  <w:style w:type="character" w:customStyle="1" w:styleId="SubtitleChar">
    <w:name w:val="Subtitle Char"/>
    <w:basedOn w:val="DefaultParagraphFont"/>
    <w:link w:val="Subtitle"/>
    <w:uiPriority w:val="11"/>
    <w:locked/>
    <w:rsid w:val="004B54CA"/>
    <w:rPr>
      <w:rFonts w:ascii="Arial" w:eastAsiaTheme="majorEastAsia" w:hAnsi="Arial" w:cs="Times New Roman"/>
      <w:i/>
      <w:iCs/>
      <w:spacing w:val="13"/>
      <w:sz w:val="24"/>
      <w:szCs w:val="24"/>
    </w:rPr>
  </w:style>
  <w:style w:type="character" w:styleId="SubtleEmphasis">
    <w:name w:val="Subtle Emphasis"/>
    <w:basedOn w:val="DefaultParagraphFont"/>
    <w:uiPriority w:val="19"/>
    <w:qFormat/>
    <w:rsid w:val="004B54CA"/>
    <w:rPr>
      <w:rFonts w:cs="Times New Roman"/>
      <w:i/>
    </w:rPr>
  </w:style>
  <w:style w:type="character" w:styleId="Strong">
    <w:name w:val="Strong"/>
    <w:basedOn w:val="DefaultParagraphFont"/>
    <w:uiPriority w:val="22"/>
    <w:qFormat/>
    <w:rsid w:val="004B54CA"/>
    <w:rPr>
      <w:rFonts w:cs="Times New Roman"/>
      <w:b/>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
    <w:basedOn w:val="Normal"/>
    <w:link w:val="ListParagraphChar"/>
    <w:uiPriority w:val="34"/>
    <w:qFormat/>
    <w:rsid w:val="004B54CA"/>
    <w:pPr>
      <w:ind w:left="720"/>
      <w:contextualSpacing/>
    </w:pPr>
  </w:style>
  <w:style w:type="character" w:styleId="Emphasis">
    <w:name w:val="Emphasis"/>
    <w:basedOn w:val="DefaultParagraphFont"/>
    <w:uiPriority w:val="20"/>
    <w:qFormat/>
    <w:rsid w:val="004B54CA"/>
    <w:rPr>
      <w:rFonts w:cs="Times New Roman"/>
      <w:b/>
      <w:i/>
      <w:spacing w:val="10"/>
      <w:shd w:val="clear" w:color="auto" w:fill="auto"/>
    </w:rPr>
  </w:style>
  <w:style w:type="character" w:styleId="IntenseEmphasis">
    <w:name w:val="Intense Emphasis"/>
    <w:basedOn w:val="DefaultParagraphFont"/>
    <w:uiPriority w:val="21"/>
    <w:qFormat/>
    <w:rsid w:val="004B54CA"/>
    <w:rPr>
      <w:rFonts w:cs="Times New Roman"/>
      <w:b/>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locked/>
    <w:rsid w:val="004B54CA"/>
    <w:rPr>
      <w:rFonts w:ascii="Arial" w:hAnsi="Arial" w:cs="Times New Roman"/>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4B54CA"/>
    <w:rPr>
      <w:rFonts w:ascii="Arial" w:hAnsi="Arial" w:cs="Times New Roman"/>
      <w:b/>
      <w:bCs/>
      <w:i/>
      <w:iCs/>
    </w:rPr>
  </w:style>
  <w:style w:type="character" w:styleId="SubtleReference">
    <w:name w:val="Subtle Reference"/>
    <w:basedOn w:val="DefaultParagraphFont"/>
    <w:uiPriority w:val="31"/>
    <w:qFormat/>
    <w:rsid w:val="004B54CA"/>
    <w:rPr>
      <w:rFonts w:cs="Times New Roman"/>
      <w:smallCaps/>
    </w:rPr>
  </w:style>
  <w:style w:type="character" w:styleId="IntenseReference">
    <w:name w:val="Intense Reference"/>
    <w:basedOn w:val="DefaultParagraphFont"/>
    <w:uiPriority w:val="32"/>
    <w:qFormat/>
    <w:rsid w:val="004B54CA"/>
    <w:rPr>
      <w:rFonts w:cs="Times New Roman"/>
      <w:smallCaps/>
      <w:spacing w:val="5"/>
      <w:u w:val="single"/>
    </w:rPr>
  </w:style>
  <w:style w:type="character" w:styleId="BookTitle">
    <w:name w:val="Book Title"/>
    <w:basedOn w:val="DefaultParagraphFont"/>
    <w:uiPriority w:val="33"/>
    <w:qFormat/>
    <w:rsid w:val="004B54CA"/>
    <w:rPr>
      <w:rFonts w:cs="Times New Roman"/>
      <w:i/>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style>
  <w:style w:type="character" w:customStyle="1" w:styleId="NoSpacingChar">
    <w:name w:val="No Spacing Char"/>
    <w:basedOn w:val="DefaultParagraphFont"/>
    <w:link w:val="NoSpacing"/>
    <w:uiPriority w:val="1"/>
    <w:locked/>
    <w:rsid w:val="004B54CA"/>
    <w:rPr>
      <w:rFonts w:ascii="Arial" w:hAnsi="Arial" w:cs="Times New Roman"/>
    </w:rPr>
  </w:style>
  <w:style w:type="character" w:styleId="CommentReference">
    <w:name w:val="annotation reference"/>
    <w:basedOn w:val="DefaultParagraphFont"/>
    <w:uiPriority w:val="99"/>
    <w:semiHidden/>
    <w:unhideWhenUsed/>
    <w:rsid w:val="009C4BE8"/>
    <w:rPr>
      <w:rFonts w:cs="Times New Roman"/>
      <w:sz w:val="16"/>
      <w:szCs w:val="16"/>
    </w:rPr>
  </w:style>
  <w:style w:type="paragraph" w:styleId="CommentText">
    <w:name w:val="annotation text"/>
    <w:basedOn w:val="Normal"/>
    <w:link w:val="CommentTextChar"/>
    <w:uiPriority w:val="99"/>
    <w:unhideWhenUsed/>
    <w:rsid w:val="009C4BE8"/>
    <w:pPr>
      <w:spacing w:line="240" w:lineRule="auto"/>
    </w:pPr>
    <w:rPr>
      <w:sz w:val="20"/>
      <w:szCs w:val="20"/>
    </w:rPr>
  </w:style>
  <w:style w:type="character" w:customStyle="1" w:styleId="CommentTextChar">
    <w:name w:val="Comment Text Char"/>
    <w:basedOn w:val="DefaultParagraphFont"/>
    <w:link w:val="CommentText"/>
    <w:uiPriority w:val="99"/>
    <w:locked/>
    <w:rsid w:val="009C4BE8"/>
    <w:rPr>
      <w:rFonts w:ascii="Arial" w:hAnsi="Arial" w:cs="Times New Roman"/>
      <w:sz w:val="20"/>
      <w:szCs w:val="20"/>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qFormat/>
    <w:locked/>
    <w:rsid w:val="009C4BE8"/>
    <w:rPr>
      <w:rFonts w:ascii="Arial" w:hAnsi="Arial" w:cs="Times New Roman"/>
    </w:rPr>
  </w:style>
  <w:style w:type="paragraph" w:styleId="Header">
    <w:name w:val="header"/>
    <w:basedOn w:val="Normal"/>
    <w:link w:val="HeaderChar"/>
    <w:uiPriority w:val="99"/>
    <w:unhideWhenUsed/>
    <w:rsid w:val="009C4BE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C4BE8"/>
    <w:rPr>
      <w:rFonts w:ascii="Arial" w:hAnsi="Arial" w:cs="Times New Roman"/>
    </w:rPr>
  </w:style>
  <w:style w:type="paragraph" w:styleId="Footer">
    <w:name w:val="footer"/>
    <w:basedOn w:val="Normal"/>
    <w:link w:val="FooterChar"/>
    <w:uiPriority w:val="99"/>
    <w:unhideWhenUsed/>
    <w:rsid w:val="009C4BE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C4BE8"/>
    <w:rPr>
      <w:rFonts w:ascii="Arial" w:hAnsi="Arial" w:cs="Times New Roman"/>
    </w:rPr>
  </w:style>
  <w:style w:type="paragraph" w:styleId="BalloonText">
    <w:name w:val="Balloon Text"/>
    <w:basedOn w:val="Normal"/>
    <w:link w:val="BalloonTextChar"/>
    <w:uiPriority w:val="99"/>
    <w:semiHidden/>
    <w:unhideWhenUsed/>
    <w:rsid w:val="009C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4B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02CD0"/>
    <w:rPr>
      <w:b/>
      <w:bCs/>
    </w:rPr>
  </w:style>
  <w:style w:type="character" w:customStyle="1" w:styleId="CommentSubjectChar">
    <w:name w:val="Comment Subject Char"/>
    <w:basedOn w:val="CommentTextChar"/>
    <w:link w:val="CommentSubject"/>
    <w:uiPriority w:val="99"/>
    <w:semiHidden/>
    <w:locked/>
    <w:rsid w:val="00802CD0"/>
    <w:rPr>
      <w:rFonts w:ascii="Arial" w:hAnsi="Arial" w:cs="Times New Roman"/>
      <w:b/>
      <w:bCs/>
      <w:sz w:val="20"/>
      <w:szCs w:val="20"/>
    </w:rPr>
  </w:style>
  <w:style w:type="character" w:styleId="FootnoteReference">
    <w:name w:val="footnote reference"/>
    <w:basedOn w:val="DefaultParagraphFont"/>
    <w:uiPriority w:val="99"/>
    <w:unhideWhenUsed/>
    <w:rsid w:val="00674FC5"/>
    <w:rPr>
      <w:rFonts w:cs="Times New Roman"/>
      <w:vertAlign w:val="superscript"/>
    </w:rPr>
  </w:style>
  <w:style w:type="paragraph" w:styleId="Revision">
    <w:name w:val="Revision"/>
    <w:hidden/>
    <w:uiPriority w:val="99"/>
    <w:semiHidden/>
    <w:rsid w:val="007E5817"/>
    <w:pPr>
      <w:spacing w:after="0" w:line="240" w:lineRule="auto"/>
    </w:pPr>
    <w:rPr>
      <w:rFonts w:ascii="Arial" w:hAnsi="Arial" w:cs="Times New Roman"/>
    </w:rPr>
  </w:style>
  <w:style w:type="paragraph" w:customStyle="1" w:styleId="Default">
    <w:name w:val="Default"/>
    <w:rsid w:val="00B41EF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D40B08"/>
    <w:pPr>
      <w:spacing w:before="100" w:beforeAutospacing="1" w:after="100" w:afterAutospacing="1" w:line="240" w:lineRule="auto"/>
    </w:pPr>
    <w:rPr>
      <w:rFonts w:ascii="Times New Roman" w:eastAsiaTheme="minorEastAsia" w:hAnsi="Times New Roman"/>
      <w:sz w:val="24"/>
      <w:szCs w:val="24"/>
      <w:lang w:eastAsia="en-AU"/>
    </w:rPr>
  </w:style>
  <w:style w:type="character" w:styleId="Hyperlink">
    <w:name w:val="Hyperlink"/>
    <w:basedOn w:val="DefaultParagraphFont"/>
    <w:uiPriority w:val="99"/>
    <w:unhideWhenUsed/>
    <w:rsid w:val="006D0DC8"/>
    <w:rPr>
      <w:rFonts w:cs="Times New Roman"/>
      <w:color w:val="0000FF" w:themeColor="hyperlink"/>
      <w:u w:val="single"/>
    </w:rPr>
  </w:style>
  <w:style w:type="table" w:styleId="TableGrid">
    <w:name w:val="Table Grid"/>
    <w:basedOn w:val="TableNormal"/>
    <w:rsid w:val="005B360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40951"/>
    <w:pPr>
      <w:spacing w:after="0" w:line="240" w:lineRule="auto"/>
    </w:pPr>
    <w:rPr>
      <w:sz w:val="20"/>
      <w:szCs w:val="20"/>
    </w:rPr>
  </w:style>
  <w:style w:type="character" w:customStyle="1" w:styleId="FootnoteTextChar">
    <w:name w:val="Footnote Text Char"/>
    <w:basedOn w:val="DefaultParagraphFont"/>
    <w:link w:val="FootnoteText"/>
    <w:uiPriority w:val="99"/>
    <w:locked/>
    <w:rsid w:val="00340951"/>
    <w:rPr>
      <w:rFonts w:ascii="Arial" w:hAnsi="Arial" w:cs="Times New Roman"/>
      <w:sz w:val="20"/>
      <w:szCs w:val="20"/>
    </w:rPr>
  </w:style>
  <w:style w:type="paragraph" w:styleId="EndnoteText">
    <w:name w:val="endnote text"/>
    <w:basedOn w:val="Normal"/>
    <w:link w:val="EndnoteTextChar"/>
    <w:uiPriority w:val="99"/>
    <w:semiHidden/>
    <w:unhideWhenUsed/>
    <w:rsid w:val="005679C4"/>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5679C4"/>
    <w:rPr>
      <w:rFonts w:ascii="Arial" w:hAnsi="Arial" w:cs="Times New Roman"/>
      <w:sz w:val="20"/>
      <w:szCs w:val="20"/>
    </w:rPr>
  </w:style>
  <w:style w:type="character" w:styleId="EndnoteReference">
    <w:name w:val="endnote reference"/>
    <w:basedOn w:val="DefaultParagraphFont"/>
    <w:uiPriority w:val="99"/>
    <w:semiHidden/>
    <w:unhideWhenUsed/>
    <w:rsid w:val="005679C4"/>
    <w:rPr>
      <w:rFonts w:cs="Times New Roman"/>
      <w:vertAlign w:val="superscript"/>
    </w:rPr>
  </w:style>
  <w:style w:type="paragraph" w:customStyle="1" w:styleId="SingleParagraph">
    <w:name w:val="Single Paragraph"/>
    <w:basedOn w:val="Normal"/>
    <w:rsid w:val="00213960"/>
    <w:pPr>
      <w:spacing w:after="0" w:line="260" w:lineRule="exact"/>
      <w:jc w:val="both"/>
    </w:pPr>
    <w:rPr>
      <w:rFonts w:ascii="Corbel" w:hAnsi="Corbel"/>
      <w:color w:val="000000"/>
      <w:sz w:val="23"/>
      <w:szCs w:val="20"/>
      <w:lang w:eastAsia="en-AU"/>
    </w:rPr>
  </w:style>
  <w:style w:type="paragraph" w:customStyle="1" w:styleId="Signed">
    <w:name w:val="Signed"/>
    <w:basedOn w:val="Normal"/>
    <w:rsid w:val="00213960"/>
    <w:pPr>
      <w:spacing w:after="120" w:line="240" w:lineRule="auto"/>
      <w:jc w:val="both"/>
    </w:pPr>
    <w:rPr>
      <w:rFonts w:ascii="Book Antiqua" w:hAnsi="Book Antiqua"/>
      <w:bCs/>
      <w:i/>
      <w:color w:val="000000"/>
      <w:szCs w:val="20"/>
      <w:lang w:eastAsia="en-AU"/>
    </w:rPr>
  </w:style>
  <w:style w:type="paragraph" w:customStyle="1" w:styleId="Position">
    <w:name w:val="Position"/>
    <w:basedOn w:val="Normal"/>
    <w:rsid w:val="00213960"/>
    <w:pPr>
      <w:spacing w:after="120" w:line="260" w:lineRule="exact"/>
      <w:jc w:val="both"/>
    </w:pPr>
    <w:rPr>
      <w:rFonts w:ascii="Corbel" w:hAnsi="Corbel"/>
      <w:bCs/>
      <w:color w:val="000000"/>
      <w:sz w:val="20"/>
      <w:szCs w:val="20"/>
      <w:lang w:eastAsia="en-AU"/>
    </w:rPr>
  </w:style>
  <w:style w:type="paragraph" w:customStyle="1" w:styleId="LineForSignature">
    <w:name w:val="LineForSignature"/>
    <w:basedOn w:val="Normal"/>
    <w:rsid w:val="00213960"/>
    <w:pPr>
      <w:tabs>
        <w:tab w:val="left" w:leader="underscore" w:pos="3686"/>
      </w:tabs>
      <w:spacing w:before="360" w:after="60" w:line="260" w:lineRule="exact"/>
      <w:jc w:val="both"/>
    </w:pPr>
    <w:rPr>
      <w:rFonts w:ascii="Book Antiqua" w:hAnsi="Book Antiqua"/>
      <w:color w:val="C0C0C0"/>
      <w:sz w:val="23"/>
      <w:szCs w:val="20"/>
      <w:lang w:val="en-GB" w:eastAsia="en-AU"/>
    </w:rPr>
  </w:style>
  <w:style w:type="character" w:customStyle="1" w:styleId="Bold">
    <w:name w:val="Bold"/>
    <w:rsid w:val="00213960"/>
    <w:rPr>
      <w:b/>
    </w:rPr>
  </w:style>
  <w:style w:type="character" w:customStyle="1" w:styleId="SignedBold">
    <w:name w:val="SignedBold"/>
    <w:rsid w:val="00213960"/>
    <w:rPr>
      <w:b/>
      <w:i/>
    </w:rPr>
  </w:style>
  <w:style w:type="paragraph" w:styleId="BodyText">
    <w:name w:val="Body Text"/>
    <w:basedOn w:val="Normal"/>
    <w:link w:val="BodyTextChar"/>
    <w:uiPriority w:val="1"/>
    <w:qFormat/>
    <w:rsid w:val="00AA0399"/>
    <w:pPr>
      <w:widowControl w:val="0"/>
      <w:spacing w:after="0" w:line="240" w:lineRule="auto"/>
      <w:ind w:left="479" w:hanging="360"/>
    </w:pPr>
    <w:rPr>
      <w:lang w:val="en-US"/>
    </w:rPr>
  </w:style>
  <w:style w:type="character" w:customStyle="1" w:styleId="BodyTextChar">
    <w:name w:val="Body Text Char"/>
    <w:basedOn w:val="DefaultParagraphFont"/>
    <w:link w:val="BodyText"/>
    <w:uiPriority w:val="1"/>
    <w:locked/>
    <w:rsid w:val="00AA0399"/>
    <w:rPr>
      <w:rFonts w:ascii="Arial" w:hAnsi="Arial" w:cs="Times New Roman"/>
      <w:lang w:val="en-US" w:eastAsia="x-none"/>
    </w:rPr>
  </w:style>
  <w:style w:type="character" w:styleId="UnresolvedMention">
    <w:name w:val="Unresolved Mention"/>
    <w:basedOn w:val="DefaultParagraphFont"/>
    <w:uiPriority w:val="99"/>
    <w:semiHidden/>
    <w:unhideWhenUsed/>
    <w:rsid w:val="00060453"/>
    <w:rPr>
      <w:color w:val="605E5C"/>
      <w:shd w:val="clear" w:color="auto" w:fill="E1DFDD"/>
    </w:rPr>
  </w:style>
  <w:style w:type="character" w:customStyle="1" w:styleId="normaltextrun">
    <w:name w:val="normaltextrun"/>
    <w:basedOn w:val="DefaultParagraphFont"/>
    <w:rsid w:val="005F2681"/>
  </w:style>
  <w:style w:type="character" w:styleId="Mention">
    <w:name w:val="Mention"/>
    <w:basedOn w:val="DefaultParagraphFont"/>
    <w:uiPriority w:val="99"/>
    <w:unhideWhenUsed/>
    <w:rsid w:val="005F2681"/>
    <w:rPr>
      <w:color w:val="2B579A"/>
      <w:shd w:val="clear" w:color="auto" w:fill="E1DFDD"/>
    </w:rPr>
  </w:style>
  <w:style w:type="paragraph" w:customStyle="1" w:styleId="BoldBlueh2">
    <w:name w:val="Bold Blue h2"/>
    <w:basedOn w:val="Heading1"/>
    <w:link w:val="BoldBlueh2Char"/>
    <w:qFormat/>
    <w:rsid w:val="001972B6"/>
    <w:pPr>
      <w:outlineLvl w:val="1"/>
    </w:pPr>
    <w:rPr>
      <w:rFonts w:eastAsia="Arial"/>
      <w:color w:val="345A8A"/>
      <w:lang w:val="en-AU"/>
    </w:rPr>
  </w:style>
  <w:style w:type="character" w:customStyle="1" w:styleId="BoldBlueh2Char">
    <w:name w:val="Bold Blue h2 Char"/>
    <w:basedOn w:val="Heading1Char"/>
    <w:link w:val="BoldBlueh2"/>
    <w:rsid w:val="001972B6"/>
    <w:rPr>
      <w:rFonts w:ascii="Arial" w:eastAsia="Arial" w:hAnsi="Arial" w:cs="Arial"/>
      <w:b/>
      <w:bCs/>
      <w:color w:val="345A8A"/>
      <w:sz w:val="28"/>
      <w:szCs w:val="32"/>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9741">
      <w:bodyDiv w:val="1"/>
      <w:marLeft w:val="0"/>
      <w:marRight w:val="0"/>
      <w:marTop w:val="0"/>
      <w:marBottom w:val="0"/>
      <w:divBdr>
        <w:top w:val="none" w:sz="0" w:space="0" w:color="auto"/>
        <w:left w:val="none" w:sz="0" w:space="0" w:color="auto"/>
        <w:bottom w:val="none" w:sz="0" w:space="0" w:color="auto"/>
        <w:right w:val="none" w:sz="0" w:space="0" w:color="auto"/>
      </w:divBdr>
    </w:div>
    <w:div w:id="293105324">
      <w:bodyDiv w:val="1"/>
      <w:marLeft w:val="0"/>
      <w:marRight w:val="0"/>
      <w:marTop w:val="0"/>
      <w:marBottom w:val="0"/>
      <w:divBdr>
        <w:top w:val="none" w:sz="0" w:space="0" w:color="auto"/>
        <w:left w:val="none" w:sz="0" w:space="0" w:color="auto"/>
        <w:bottom w:val="none" w:sz="0" w:space="0" w:color="auto"/>
        <w:right w:val="none" w:sz="0" w:space="0" w:color="auto"/>
      </w:divBdr>
    </w:div>
    <w:div w:id="684132446">
      <w:bodyDiv w:val="1"/>
      <w:marLeft w:val="0"/>
      <w:marRight w:val="0"/>
      <w:marTop w:val="0"/>
      <w:marBottom w:val="0"/>
      <w:divBdr>
        <w:top w:val="none" w:sz="0" w:space="0" w:color="auto"/>
        <w:left w:val="none" w:sz="0" w:space="0" w:color="auto"/>
        <w:bottom w:val="none" w:sz="0" w:space="0" w:color="auto"/>
        <w:right w:val="none" w:sz="0" w:space="0" w:color="auto"/>
      </w:divBdr>
    </w:div>
    <w:div w:id="827283036">
      <w:bodyDiv w:val="1"/>
      <w:marLeft w:val="0"/>
      <w:marRight w:val="0"/>
      <w:marTop w:val="0"/>
      <w:marBottom w:val="0"/>
      <w:divBdr>
        <w:top w:val="none" w:sz="0" w:space="0" w:color="auto"/>
        <w:left w:val="none" w:sz="0" w:space="0" w:color="auto"/>
        <w:bottom w:val="none" w:sz="0" w:space="0" w:color="auto"/>
        <w:right w:val="none" w:sz="0" w:space="0" w:color="auto"/>
      </w:divBdr>
    </w:div>
    <w:div w:id="927924529">
      <w:marLeft w:val="0"/>
      <w:marRight w:val="0"/>
      <w:marTop w:val="0"/>
      <w:marBottom w:val="0"/>
      <w:divBdr>
        <w:top w:val="none" w:sz="0" w:space="0" w:color="auto"/>
        <w:left w:val="none" w:sz="0" w:space="0" w:color="auto"/>
        <w:bottom w:val="none" w:sz="0" w:space="0" w:color="auto"/>
        <w:right w:val="none" w:sz="0" w:space="0" w:color="auto"/>
      </w:divBdr>
    </w:div>
    <w:div w:id="927924530">
      <w:marLeft w:val="0"/>
      <w:marRight w:val="0"/>
      <w:marTop w:val="0"/>
      <w:marBottom w:val="0"/>
      <w:divBdr>
        <w:top w:val="none" w:sz="0" w:space="0" w:color="auto"/>
        <w:left w:val="none" w:sz="0" w:space="0" w:color="auto"/>
        <w:bottom w:val="none" w:sz="0" w:space="0" w:color="auto"/>
        <w:right w:val="none" w:sz="0" w:space="0" w:color="auto"/>
      </w:divBdr>
    </w:div>
    <w:div w:id="927924531">
      <w:marLeft w:val="0"/>
      <w:marRight w:val="0"/>
      <w:marTop w:val="0"/>
      <w:marBottom w:val="0"/>
      <w:divBdr>
        <w:top w:val="none" w:sz="0" w:space="0" w:color="auto"/>
        <w:left w:val="none" w:sz="0" w:space="0" w:color="auto"/>
        <w:bottom w:val="none" w:sz="0" w:space="0" w:color="auto"/>
        <w:right w:val="none" w:sz="0" w:space="0" w:color="auto"/>
      </w:divBdr>
    </w:div>
    <w:div w:id="927924532">
      <w:marLeft w:val="0"/>
      <w:marRight w:val="0"/>
      <w:marTop w:val="0"/>
      <w:marBottom w:val="0"/>
      <w:divBdr>
        <w:top w:val="none" w:sz="0" w:space="0" w:color="auto"/>
        <w:left w:val="none" w:sz="0" w:space="0" w:color="auto"/>
        <w:bottom w:val="none" w:sz="0" w:space="0" w:color="auto"/>
        <w:right w:val="none" w:sz="0" w:space="0" w:color="auto"/>
      </w:divBdr>
    </w:div>
    <w:div w:id="927924533">
      <w:marLeft w:val="0"/>
      <w:marRight w:val="0"/>
      <w:marTop w:val="0"/>
      <w:marBottom w:val="0"/>
      <w:divBdr>
        <w:top w:val="none" w:sz="0" w:space="0" w:color="auto"/>
        <w:left w:val="none" w:sz="0" w:space="0" w:color="auto"/>
        <w:bottom w:val="none" w:sz="0" w:space="0" w:color="auto"/>
        <w:right w:val="none" w:sz="0" w:space="0" w:color="auto"/>
      </w:divBdr>
    </w:div>
    <w:div w:id="927924534">
      <w:marLeft w:val="0"/>
      <w:marRight w:val="0"/>
      <w:marTop w:val="0"/>
      <w:marBottom w:val="0"/>
      <w:divBdr>
        <w:top w:val="none" w:sz="0" w:space="0" w:color="auto"/>
        <w:left w:val="none" w:sz="0" w:space="0" w:color="auto"/>
        <w:bottom w:val="none" w:sz="0" w:space="0" w:color="auto"/>
        <w:right w:val="none" w:sz="0" w:space="0" w:color="auto"/>
      </w:divBdr>
    </w:div>
    <w:div w:id="927924535">
      <w:marLeft w:val="0"/>
      <w:marRight w:val="0"/>
      <w:marTop w:val="0"/>
      <w:marBottom w:val="0"/>
      <w:divBdr>
        <w:top w:val="none" w:sz="0" w:space="0" w:color="auto"/>
        <w:left w:val="none" w:sz="0" w:space="0" w:color="auto"/>
        <w:bottom w:val="none" w:sz="0" w:space="0" w:color="auto"/>
        <w:right w:val="none" w:sz="0" w:space="0" w:color="auto"/>
      </w:divBdr>
    </w:div>
    <w:div w:id="927924536">
      <w:marLeft w:val="0"/>
      <w:marRight w:val="0"/>
      <w:marTop w:val="0"/>
      <w:marBottom w:val="0"/>
      <w:divBdr>
        <w:top w:val="none" w:sz="0" w:space="0" w:color="auto"/>
        <w:left w:val="none" w:sz="0" w:space="0" w:color="auto"/>
        <w:bottom w:val="none" w:sz="0" w:space="0" w:color="auto"/>
        <w:right w:val="none" w:sz="0" w:space="0" w:color="auto"/>
      </w:divBdr>
    </w:div>
    <w:div w:id="927924537">
      <w:marLeft w:val="0"/>
      <w:marRight w:val="0"/>
      <w:marTop w:val="0"/>
      <w:marBottom w:val="0"/>
      <w:divBdr>
        <w:top w:val="none" w:sz="0" w:space="0" w:color="auto"/>
        <w:left w:val="none" w:sz="0" w:space="0" w:color="auto"/>
        <w:bottom w:val="none" w:sz="0" w:space="0" w:color="auto"/>
        <w:right w:val="none" w:sz="0" w:space="0" w:color="auto"/>
      </w:divBdr>
    </w:div>
    <w:div w:id="927924538">
      <w:marLeft w:val="0"/>
      <w:marRight w:val="0"/>
      <w:marTop w:val="0"/>
      <w:marBottom w:val="0"/>
      <w:divBdr>
        <w:top w:val="none" w:sz="0" w:space="0" w:color="auto"/>
        <w:left w:val="none" w:sz="0" w:space="0" w:color="auto"/>
        <w:bottom w:val="none" w:sz="0" w:space="0" w:color="auto"/>
        <w:right w:val="none" w:sz="0" w:space="0" w:color="auto"/>
      </w:divBdr>
    </w:div>
    <w:div w:id="927924539">
      <w:marLeft w:val="0"/>
      <w:marRight w:val="0"/>
      <w:marTop w:val="0"/>
      <w:marBottom w:val="0"/>
      <w:divBdr>
        <w:top w:val="none" w:sz="0" w:space="0" w:color="auto"/>
        <w:left w:val="none" w:sz="0" w:space="0" w:color="auto"/>
        <w:bottom w:val="none" w:sz="0" w:space="0" w:color="auto"/>
        <w:right w:val="none" w:sz="0" w:space="0" w:color="auto"/>
      </w:divBdr>
    </w:div>
    <w:div w:id="927924540">
      <w:marLeft w:val="0"/>
      <w:marRight w:val="0"/>
      <w:marTop w:val="0"/>
      <w:marBottom w:val="0"/>
      <w:divBdr>
        <w:top w:val="none" w:sz="0" w:space="0" w:color="auto"/>
        <w:left w:val="none" w:sz="0" w:space="0" w:color="auto"/>
        <w:bottom w:val="none" w:sz="0" w:space="0" w:color="auto"/>
        <w:right w:val="none" w:sz="0" w:space="0" w:color="auto"/>
      </w:divBdr>
    </w:div>
    <w:div w:id="927924541">
      <w:marLeft w:val="0"/>
      <w:marRight w:val="0"/>
      <w:marTop w:val="0"/>
      <w:marBottom w:val="0"/>
      <w:divBdr>
        <w:top w:val="none" w:sz="0" w:space="0" w:color="auto"/>
        <w:left w:val="none" w:sz="0" w:space="0" w:color="auto"/>
        <w:bottom w:val="none" w:sz="0" w:space="0" w:color="auto"/>
        <w:right w:val="none" w:sz="0" w:space="0" w:color="auto"/>
      </w:divBdr>
    </w:div>
    <w:div w:id="927924542">
      <w:marLeft w:val="0"/>
      <w:marRight w:val="0"/>
      <w:marTop w:val="0"/>
      <w:marBottom w:val="0"/>
      <w:divBdr>
        <w:top w:val="none" w:sz="0" w:space="0" w:color="auto"/>
        <w:left w:val="none" w:sz="0" w:space="0" w:color="auto"/>
        <w:bottom w:val="none" w:sz="0" w:space="0" w:color="auto"/>
        <w:right w:val="none" w:sz="0" w:space="0" w:color="auto"/>
      </w:divBdr>
    </w:div>
    <w:div w:id="927924543">
      <w:marLeft w:val="0"/>
      <w:marRight w:val="0"/>
      <w:marTop w:val="0"/>
      <w:marBottom w:val="0"/>
      <w:divBdr>
        <w:top w:val="none" w:sz="0" w:space="0" w:color="auto"/>
        <w:left w:val="none" w:sz="0" w:space="0" w:color="auto"/>
        <w:bottom w:val="none" w:sz="0" w:space="0" w:color="auto"/>
        <w:right w:val="none" w:sz="0" w:space="0" w:color="auto"/>
      </w:divBdr>
    </w:div>
    <w:div w:id="927924544">
      <w:marLeft w:val="0"/>
      <w:marRight w:val="0"/>
      <w:marTop w:val="0"/>
      <w:marBottom w:val="0"/>
      <w:divBdr>
        <w:top w:val="none" w:sz="0" w:space="0" w:color="auto"/>
        <w:left w:val="none" w:sz="0" w:space="0" w:color="auto"/>
        <w:bottom w:val="none" w:sz="0" w:space="0" w:color="auto"/>
        <w:right w:val="none" w:sz="0" w:space="0" w:color="auto"/>
      </w:divBdr>
    </w:div>
    <w:div w:id="927924545">
      <w:marLeft w:val="0"/>
      <w:marRight w:val="0"/>
      <w:marTop w:val="0"/>
      <w:marBottom w:val="0"/>
      <w:divBdr>
        <w:top w:val="none" w:sz="0" w:space="0" w:color="auto"/>
        <w:left w:val="none" w:sz="0" w:space="0" w:color="auto"/>
        <w:bottom w:val="none" w:sz="0" w:space="0" w:color="auto"/>
        <w:right w:val="none" w:sz="0" w:space="0" w:color="auto"/>
      </w:divBdr>
    </w:div>
    <w:div w:id="927924546">
      <w:marLeft w:val="0"/>
      <w:marRight w:val="0"/>
      <w:marTop w:val="0"/>
      <w:marBottom w:val="0"/>
      <w:divBdr>
        <w:top w:val="none" w:sz="0" w:space="0" w:color="auto"/>
        <w:left w:val="none" w:sz="0" w:space="0" w:color="auto"/>
        <w:bottom w:val="none" w:sz="0" w:space="0" w:color="auto"/>
        <w:right w:val="none" w:sz="0" w:space="0" w:color="auto"/>
      </w:divBdr>
    </w:div>
    <w:div w:id="927924547">
      <w:marLeft w:val="0"/>
      <w:marRight w:val="0"/>
      <w:marTop w:val="0"/>
      <w:marBottom w:val="0"/>
      <w:divBdr>
        <w:top w:val="none" w:sz="0" w:space="0" w:color="auto"/>
        <w:left w:val="none" w:sz="0" w:space="0" w:color="auto"/>
        <w:bottom w:val="none" w:sz="0" w:space="0" w:color="auto"/>
        <w:right w:val="none" w:sz="0" w:space="0" w:color="auto"/>
      </w:divBdr>
    </w:div>
    <w:div w:id="927924548">
      <w:marLeft w:val="0"/>
      <w:marRight w:val="0"/>
      <w:marTop w:val="0"/>
      <w:marBottom w:val="0"/>
      <w:divBdr>
        <w:top w:val="none" w:sz="0" w:space="0" w:color="auto"/>
        <w:left w:val="none" w:sz="0" w:space="0" w:color="auto"/>
        <w:bottom w:val="none" w:sz="0" w:space="0" w:color="auto"/>
        <w:right w:val="none" w:sz="0" w:space="0" w:color="auto"/>
      </w:divBdr>
    </w:div>
    <w:div w:id="927924549">
      <w:marLeft w:val="0"/>
      <w:marRight w:val="0"/>
      <w:marTop w:val="0"/>
      <w:marBottom w:val="0"/>
      <w:divBdr>
        <w:top w:val="none" w:sz="0" w:space="0" w:color="auto"/>
        <w:left w:val="none" w:sz="0" w:space="0" w:color="auto"/>
        <w:bottom w:val="none" w:sz="0" w:space="0" w:color="auto"/>
        <w:right w:val="none" w:sz="0" w:space="0" w:color="auto"/>
      </w:divBdr>
    </w:div>
    <w:div w:id="927924550">
      <w:marLeft w:val="0"/>
      <w:marRight w:val="0"/>
      <w:marTop w:val="0"/>
      <w:marBottom w:val="0"/>
      <w:divBdr>
        <w:top w:val="none" w:sz="0" w:space="0" w:color="auto"/>
        <w:left w:val="none" w:sz="0" w:space="0" w:color="auto"/>
        <w:bottom w:val="none" w:sz="0" w:space="0" w:color="auto"/>
        <w:right w:val="none" w:sz="0" w:space="0" w:color="auto"/>
      </w:divBdr>
    </w:div>
    <w:div w:id="927924551">
      <w:marLeft w:val="0"/>
      <w:marRight w:val="0"/>
      <w:marTop w:val="0"/>
      <w:marBottom w:val="0"/>
      <w:divBdr>
        <w:top w:val="none" w:sz="0" w:space="0" w:color="auto"/>
        <w:left w:val="none" w:sz="0" w:space="0" w:color="auto"/>
        <w:bottom w:val="none" w:sz="0" w:space="0" w:color="auto"/>
        <w:right w:val="none" w:sz="0" w:space="0" w:color="auto"/>
      </w:divBdr>
    </w:div>
    <w:div w:id="927924552">
      <w:marLeft w:val="0"/>
      <w:marRight w:val="0"/>
      <w:marTop w:val="0"/>
      <w:marBottom w:val="0"/>
      <w:divBdr>
        <w:top w:val="none" w:sz="0" w:space="0" w:color="auto"/>
        <w:left w:val="none" w:sz="0" w:space="0" w:color="auto"/>
        <w:bottom w:val="none" w:sz="0" w:space="0" w:color="auto"/>
        <w:right w:val="none" w:sz="0" w:space="0" w:color="auto"/>
      </w:divBdr>
    </w:div>
    <w:div w:id="927924553">
      <w:marLeft w:val="0"/>
      <w:marRight w:val="0"/>
      <w:marTop w:val="0"/>
      <w:marBottom w:val="0"/>
      <w:divBdr>
        <w:top w:val="none" w:sz="0" w:space="0" w:color="auto"/>
        <w:left w:val="none" w:sz="0" w:space="0" w:color="auto"/>
        <w:bottom w:val="none" w:sz="0" w:space="0" w:color="auto"/>
        <w:right w:val="none" w:sz="0" w:space="0" w:color="auto"/>
      </w:divBdr>
    </w:div>
    <w:div w:id="927924554">
      <w:marLeft w:val="0"/>
      <w:marRight w:val="0"/>
      <w:marTop w:val="0"/>
      <w:marBottom w:val="0"/>
      <w:divBdr>
        <w:top w:val="none" w:sz="0" w:space="0" w:color="auto"/>
        <w:left w:val="none" w:sz="0" w:space="0" w:color="auto"/>
        <w:bottom w:val="none" w:sz="0" w:space="0" w:color="auto"/>
        <w:right w:val="none" w:sz="0" w:space="0" w:color="auto"/>
      </w:divBdr>
    </w:div>
    <w:div w:id="927924555">
      <w:marLeft w:val="0"/>
      <w:marRight w:val="0"/>
      <w:marTop w:val="0"/>
      <w:marBottom w:val="0"/>
      <w:divBdr>
        <w:top w:val="none" w:sz="0" w:space="0" w:color="auto"/>
        <w:left w:val="none" w:sz="0" w:space="0" w:color="auto"/>
        <w:bottom w:val="none" w:sz="0" w:space="0" w:color="auto"/>
        <w:right w:val="none" w:sz="0" w:space="0" w:color="auto"/>
      </w:divBdr>
    </w:div>
    <w:div w:id="927924556">
      <w:marLeft w:val="0"/>
      <w:marRight w:val="0"/>
      <w:marTop w:val="0"/>
      <w:marBottom w:val="0"/>
      <w:divBdr>
        <w:top w:val="none" w:sz="0" w:space="0" w:color="auto"/>
        <w:left w:val="none" w:sz="0" w:space="0" w:color="auto"/>
        <w:bottom w:val="none" w:sz="0" w:space="0" w:color="auto"/>
        <w:right w:val="none" w:sz="0" w:space="0" w:color="auto"/>
      </w:divBdr>
    </w:div>
    <w:div w:id="927924557">
      <w:marLeft w:val="0"/>
      <w:marRight w:val="0"/>
      <w:marTop w:val="0"/>
      <w:marBottom w:val="0"/>
      <w:divBdr>
        <w:top w:val="none" w:sz="0" w:space="0" w:color="auto"/>
        <w:left w:val="none" w:sz="0" w:space="0" w:color="auto"/>
        <w:bottom w:val="none" w:sz="0" w:space="0" w:color="auto"/>
        <w:right w:val="none" w:sz="0" w:space="0" w:color="auto"/>
      </w:divBdr>
    </w:div>
    <w:div w:id="927924558">
      <w:marLeft w:val="0"/>
      <w:marRight w:val="0"/>
      <w:marTop w:val="0"/>
      <w:marBottom w:val="0"/>
      <w:divBdr>
        <w:top w:val="none" w:sz="0" w:space="0" w:color="auto"/>
        <w:left w:val="none" w:sz="0" w:space="0" w:color="auto"/>
        <w:bottom w:val="none" w:sz="0" w:space="0" w:color="auto"/>
        <w:right w:val="none" w:sz="0" w:space="0" w:color="auto"/>
      </w:divBdr>
    </w:div>
    <w:div w:id="927924559">
      <w:marLeft w:val="0"/>
      <w:marRight w:val="0"/>
      <w:marTop w:val="0"/>
      <w:marBottom w:val="0"/>
      <w:divBdr>
        <w:top w:val="none" w:sz="0" w:space="0" w:color="auto"/>
        <w:left w:val="none" w:sz="0" w:space="0" w:color="auto"/>
        <w:bottom w:val="none" w:sz="0" w:space="0" w:color="auto"/>
        <w:right w:val="none" w:sz="0" w:space="0" w:color="auto"/>
      </w:divBdr>
    </w:div>
    <w:div w:id="927924560">
      <w:marLeft w:val="0"/>
      <w:marRight w:val="0"/>
      <w:marTop w:val="0"/>
      <w:marBottom w:val="0"/>
      <w:divBdr>
        <w:top w:val="none" w:sz="0" w:space="0" w:color="auto"/>
        <w:left w:val="none" w:sz="0" w:space="0" w:color="auto"/>
        <w:bottom w:val="none" w:sz="0" w:space="0" w:color="auto"/>
        <w:right w:val="none" w:sz="0" w:space="0" w:color="auto"/>
      </w:divBdr>
    </w:div>
    <w:div w:id="927924561">
      <w:marLeft w:val="0"/>
      <w:marRight w:val="0"/>
      <w:marTop w:val="0"/>
      <w:marBottom w:val="0"/>
      <w:divBdr>
        <w:top w:val="none" w:sz="0" w:space="0" w:color="auto"/>
        <w:left w:val="none" w:sz="0" w:space="0" w:color="auto"/>
        <w:bottom w:val="none" w:sz="0" w:space="0" w:color="auto"/>
        <w:right w:val="none" w:sz="0" w:space="0" w:color="auto"/>
      </w:divBdr>
    </w:div>
    <w:div w:id="927924562">
      <w:marLeft w:val="0"/>
      <w:marRight w:val="0"/>
      <w:marTop w:val="0"/>
      <w:marBottom w:val="0"/>
      <w:divBdr>
        <w:top w:val="none" w:sz="0" w:space="0" w:color="auto"/>
        <w:left w:val="none" w:sz="0" w:space="0" w:color="auto"/>
        <w:bottom w:val="none" w:sz="0" w:space="0" w:color="auto"/>
        <w:right w:val="none" w:sz="0" w:space="0" w:color="auto"/>
      </w:divBdr>
    </w:div>
    <w:div w:id="927924563">
      <w:marLeft w:val="0"/>
      <w:marRight w:val="0"/>
      <w:marTop w:val="0"/>
      <w:marBottom w:val="0"/>
      <w:divBdr>
        <w:top w:val="none" w:sz="0" w:space="0" w:color="auto"/>
        <w:left w:val="none" w:sz="0" w:space="0" w:color="auto"/>
        <w:bottom w:val="none" w:sz="0" w:space="0" w:color="auto"/>
        <w:right w:val="none" w:sz="0" w:space="0" w:color="auto"/>
      </w:divBdr>
    </w:div>
    <w:div w:id="927924564">
      <w:marLeft w:val="0"/>
      <w:marRight w:val="0"/>
      <w:marTop w:val="0"/>
      <w:marBottom w:val="0"/>
      <w:divBdr>
        <w:top w:val="none" w:sz="0" w:space="0" w:color="auto"/>
        <w:left w:val="none" w:sz="0" w:space="0" w:color="auto"/>
        <w:bottom w:val="none" w:sz="0" w:space="0" w:color="auto"/>
        <w:right w:val="none" w:sz="0" w:space="0" w:color="auto"/>
      </w:divBdr>
    </w:div>
    <w:div w:id="927924565">
      <w:marLeft w:val="0"/>
      <w:marRight w:val="0"/>
      <w:marTop w:val="0"/>
      <w:marBottom w:val="0"/>
      <w:divBdr>
        <w:top w:val="none" w:sz="0" w:space="0" w:color="auto"/>
        <w:left w:val="none" w:sz="0" w:space="0" w:color="auto"/>
        <w:bottom w:val="none" w:sz="0" w:space="0" w:color="auto"/>
        <w:right w:val="none" w:sz="0" w:space="0" w:color="auto"/>
      </w:divBdr>
    </w:div>
    <w:div w:id="927924566">
      <w:marLeft w:val="0"/>
      <w:marRight w:val="0"/>
      <w:marTop w:val="0"/>
      <w:marBottom w:val="0"/>
      <w:divBdr>
        <w:top w:val="none" w:sz="0" w:space="0" w:color="auto"/>
        <w:left w:val="none" w:sz="0" w:space="0" w:color="auto"/>
        <w:bottom w:val="none" w:sz="0" w:space="0" w:color="auto"/>
        <w:right w:val="none" w:sz="0" w:space="0" w:color="auto"/>
      </w:divBdr>
    </w:div>
    <w:div w:id="927924567">
      <w:marLeft w:val="0"/>
      <w:marRight w:val="0"/>
      <w:marTop w:val="0"/>
      <w:marBottom w:val="0"/>
      <w:divBdr>
        <w:top w:val="none" w:sz="0" w:space="0" w:color="auto"/>
        <w:left w:val="none" w:sz="0" w:space="0" w:color="auto"/>
        <w:bottom w:val="none" w:sz="0" w:space="0" w:color="auto"/>
        <w:right w:val="none" w:sz="0" w:space="0" w:color="auto"/>
      </w:divBdr>
    </w:div>
    <w:div w:id="927924568">
      <w:marLeft w:val="0"/>
      <w:marRight w:val="0"/>
      <w:marTop w:val="0"/>
      <w:marBottom w:val="0"/>
      <w:divBdr>
        <w:top w:val="none" w:sz="0" w:space="0" w:color="auto"/>
        <w:left w:val="none" w:sz="0" w:space="0" w:color="auto"/>
        <w:bottom w:val="none" w:sz="0" w:space="0" w:color="auto"/>
        <w:right w:val="none" w:sz="0" w:space="0" w:color="auto"/>
      </w:divBdr>
    </w:div>
    <w:div w:id="927924569">
      <w:marLeft w:val="0"/>
      <w:marRight w:val="0"/>
      <w:marTop w:val="0"/>
      <w:marBottom w:val="0"/>
      <w:divBdr>
        <w:top w:val="none" w:sz="0" w:space="0" w:color="auto"/>
        <w:left w:val="none" w:sz="0" w:space="0" w:color="auto"/>
        <w:bottom w:val="none" w:sz="0" w:space="0" w:color="auto"/>
        <w:right w:val="none" w:sz="0" w:space="0" w:color="auto"/>
      </w:divBdr>
    </w:div>
    <w:div w:id="927924570">
      <w:marLeft w:val="0"/>
      <w:marRight w:val="0"/>
      <w:marTop w:val="0"/>
      <w:marBottom w:val="0"/>
      <w:divBdr>
        <w:top w:val="none" w:sz="0" w:space="0" w:color="auto"/>
        <w:left w:val="none" w:sz="0" w:space="0" w:color="auto"/>
        <w:bottom w:val="none" w:sz="0" w:space="0" w:color="auto"/>
        <w:right w:val="none" w:sz="0" w:space="0" w:color="auto"/>
      </w:divBdr>
    </w:div>
    <w:div w:id="927924571">
      <w:marLeft w:val="0"/>
      <w:marRight w:val="0"/>
      <w:marTop w:val="0"/>
      <w:marBottom w:val="0"/>
      <w:divBdr>
        <w:top w:val="none" w:sz="0" w:space="0" w:color="auto"/>
        <w:left w:val="none" w:sz="0" w:space="0" w:color="auto"/>
        <w:bottom w:val="none" w:sz="0" w:space="0" w:color="auto"/>
        <w:right w:val="none" w:sz="0" w:space="0" w:color="auto"/>
      </w:divBdr>
    </w:div>
    <w:div w:id="927924572">
      <w:marLeft w:val="0"/>
      <w:marRight w:val="0"/>
      <w:marTop w:val="0"/>
      <w:marBottom w:val="0"/>
      <w:divBdr>
        <w:top w:val="none" w:sz="0" w:space="0" w:color="auto"/>
        <w:left w:val="none" w:sz="0" w:space="0" w:color="auto"/>
        <w:bottom w:val="none" w:sz="0" w:space="0" w:color="auto"/>
        <w:right w:val="none" w:sz="0" w:space="0" w:color="auto"/>
      </w:divBdr>
    </w:div>
    <w:div w:id="927924573">
      <w:marLeft w:val="0"/>
      <w:marRight w:val="0"/>
      <w:marTop w:val="0"/>
      <w:marBottom w:val="0"/>
      <w:divBdr>
        <w:top w:val="none" w:sz="0" w:space="0" w:color="auto"/>
        <w:left w:val="none" w:sz="0" w:space="0" w:color="auto"/>
        <w:bottom w:val="none" w:sz="0" w:space="0" w:color="auto"/>
        <w:right w:val="none" w:sz="0" w:space="0" w:color="auto"/>
      </w:divBdr>
    </w:div>
    <w:div w:id="927924574">
      <w:marLeft w:val="0"/>
      <w:marRight w:val="0"/>
      <w:marTop w:val="0"/>
      <w:marBottom w:val="0"/>
      <w:divBdr>
        <w:top w:val="none" w:sz="0" w:space="0" w:color="auto"/>
        <w:left w:val="none" w:sz="0" w:space="0" w:color="auto"/>
        <w:bottom w:val="none" w:sz="0" w:space="0" w:color="auto"/>
        <w:right w:val="none" w:sz="0" w:space="0" w:color="auto"/>
      </w:divBdr>
    </w:div>
    <w:div w:id="927924575">
      <w:marLeft w:val="0"/>
      <w:marRight w:val="0"/>
      <w:marTop w:val="0"/>
      <w:marBottom w:val="0"/>
      <w:divBdr>
        <w:top w:val="none" w:sz="0" w:space="0" w:color="auto"/>
        <w:left w:val="none" w:sz="0" w:space="0" w:color="auto"/>
        <w:bottom w:val="none" w:sz="0" w:space="0" w:color="auto"/>
        <w:right w:val="none" w:sz="0" w:space="0" w:color="auto"/>
      </w:divBdr>
    </w:div>
    <w:div w:id="927924576">
      <w:marLeft w:val="0"/>
      <w:marRight w:val="0"/>
      <w:marTop w:val="0"/>
      <w:marBottom w:val="0"/>
      <w:divBdr>
        <w:top w:val="none" w:sz="0" w:space="0" w:color="auto"/>
        <w:left w:val="none" w:sz="0" w:space="0" w:color="auto"/>
        <w:bottom w:val="none" w:sz="0" w:space="0" w:color="auto"/>
        <w:right w:val="none" w:sz="0" w:space="0" w:color="auto"/>
      </w:divBdr>
    </w:div>
    <w:div w:id="927924577">
      <w:marLeft w:val="0"/>
      <w:marRight w:val="0"/>
      <w:marTop w:val="0"/>
      <w:marBottom w:val="0"/>
      <w:divBdr>
        <w:top w:val="none" w:sz="0" w:space="0" w:color="auto"/>
        <w:left w:val="none" w:sz="0" w:space="0" w:color="auto"/>
        <w:bottom w:val="none" w:sz="0" w:space="0" w:color="auto"/>
        <w:right w:val="none" w:sz="0" w:space="0" w:color="auto"/>
      </w:divBdr>
    </w:div>
    <w:div w:id="927924578">
      <w:marLeft w:val="0"/>
      <w:marRight w:val="0"/>
      <w:marTop w:val="0"/>
      <w:marBottom w:val="0"/>
      <w:divBdr>
        <w:top w:val="none" w:sz="0" w:space="0" w:color="auto"/>
        <w:left w:val="none" w:sz="0" w:space="0" w:color="auto"/>
        <w:bottom w:val="none" w:sz="0" w:space="0" w:color="auto"/>
        <w:right w:val="none" w:sz="0" w:space="0" w:color="auto"/>
      </w:divBdr>
    </w:div>
    <w:div w:id="927924579">
      <w:marLeft w:val="0"/>
      <w:marRight w:val="0"/>
      <w:marTop w:val="0"/>
      <w:marBottom w:val="0"/>
      <w:divBdr>
        <w:top w:val="none" w:sz="0" w:space="0" w:color="auto"/>
        <w:left w:val="none" w:sz="0" w:space="0" w:color="auto"/>
        <w:bottom w:val="none" w:sz="0" w:space="0" w:color="auto"/>
        <w:right w:val="none" w:sz="0" w:space="0" w:color="auto"/>
      </w:divBdr>
    </w:div>
    <w:div w:id="927924580">
      <w:marLeft w:val="0"/>
      <w:marRight w:val="0"/>
      <w:marTop w:val="0"/>
      <w:marBottom w:val="0"/>
      <w:divBdr>
        <w:top w:val="none" w:sz="0" w:space="0" w:color="auto"/>
        <w:left w:val="none" w:sz="0" w:space="0" w:color="auto"/>
        <w:bottom w:val="none" w:sz="0" w:space="0" w:color="auto"/>
        <w:right w:val="none" w:sz="0" w:space="0" w:color="auto"/>
      </w:divBdr>
    </w:div>
    <w:div w:id="927924581">
      <w:marLeft w:val="0"/>
      <w:marRight w:val="0"/>
      <w:marTop w:val="0"/>
      <w:marBottom w:val="0"/>
      <w:divBdr>
        <w:top w:val="none" w:sz="0" w:space="0" w:color="auto"/>
        <w:left w:val="none" w:sz="0" w:space="0" w:color="auto"/>
        <w:bottom w:val="none" w:sz="0" w:space="0" w:color="auto"/>
        <w:right w:val="none" w:sz="0" w:space="0" w:color="auto"/>
      </w:divBdr>
    </w:div>
    <w:div w:id="927924582">
      <w:marLeft w:val="0"/>
      <w:marRight w:val="0"/>
      <w:marTop w:val="0"/>
      <w:marBottom w:val="0"/>
      <w:divBdr>
        <w:top w:val="none" w:sz="0" w:space="0" w:color="auto"/>
        <w:left w:val="none" w:sz="0" w:space="0" w:color="auto"/>
        <w:bottom w:val="none" w:sz="0" w:space="0" w:color="auto"/>
        <w:right w:val="none" w:sz="0" w:space="0" w:color="auto"/>
      </w:divBdr>
    </w:div>
    <w:div w:id="927924583">
      <w:marLeft w:val="0"/>
      <w:marRight w:val="0"/>
      <w:marTop w:val="0"/>
      <w:marBottom w:val="0"/>
      <w:divBdr>
        <w:top w:val="none" w:sz="0" w:space="0" w:color="auto"/>
        <w:left w:val="none" w:sz="0" w:space="0" w:color="auto"/>
        <w:bottom w:val="none" w:sz="0" w:space="0" w:color="auto"/>
        <w:right w:val="none" w:sz="0" w:space="0" w:color="auto"/>
      </w:divBdr>
    </w:div>
    <w:div w:id="927924584">
      <w:marLeft w:val="0"/>
      <w:marRight w:val="0"/>
      <w:marTop w:val="0"/>
      <w:marBottom w:val="0"/>
      <w:divBdr>
        <w:top w:val="none" w:sz="0" w:space="0" w:color="auto"/>
        <w:left w:val="none" w:sz="0" w:space="0" w:color="auto"/>
        <w:bottom w:val="none" w:sz="0" w:space="0" w:color="auto"/>
        <w:right w:val="none" w:sz="0" w:space="0" w:color="auto"/>
      </w:divBdr>
    </w:div>
    <w:div w:id="927924585">
      <w:marLeft w:val="0"/>
      <w:marRight w:val="0"/>
      <w:marTop w:val="0"/>
      <w:marBottom w:val="0"/>
      <w:divBdr>
        <w:top w:val="none" w:sz="0" w:space="0" w:color="auto"/>
        <w:left w:val="none" w:sz="0" w:space="0" w:color="auto"/>
        <w:bottom w:val="none" w:sz="0" w:space="0" w:color="auto"/>
        <w:right w:val="none" w:sz="0" w:space="0" w:color="auto"/>
      </w:divBdr>
    </w:div>
    <w:div w:id="927924586">
      <w:marLeft w:val="0"/>
      <w:marRight w:val="0"/>
      <w:marTop w:val="0"/>
      <w:marBottom w:val="0"/>
      <w:divBdr>
        <w:top w:val="none" w:sz="0" w:space="0" w:color="auto"/>
        <w:left w:val="none" w:sz="0" w:space="0" w:color="auto"/>
        <w:bottom w:val="none" w:sz="0" w:space="0" w:color="auto"/>
        <w:right w:val="none" w:sz="0" w:space="0" w:color="auto"/>
      </w:divBdr>
    </w:div>
    <w:div w:id="1142884595">
      <w:bodyDiv w:val="1"/>
      <w:marLeft w:val="0"/>
      <w:marRight w:val="0"/>
      <w:marTop w:val="0"/>
      <w:marBottom w:val="0"/>
      <w:divBdr>
        <w:top w:val="none" w:sz="0" w:space="0" w:color="auto"/>
        <w:left w:val="none" w:sz="0" w:space="0" w:color="auto"/>
        <w:bottom w:val="none" w:sz="0" w:space="0" w:color="auto"/>
        <w:right w:val="none" w:sz="0" w:space="0" w:color="auto"/>
      </w:divBdr>
    </w:div>
    <w:div w:id="1242133091">
      <w:bodyDiv w:val="1"/>
      <w:marLeft w:val="0"/>
      <w:marRight w:val="0"/>
      <w:marTop w:val="0"/>
      <w:marBottom w:val="0"/>
      <w:divBdr>
        <w:top w:val="none" w:sz="0" w:space="0" w:color="auto"/>
        <w:left w:val="none" w:sz="0" w:space="0" w:color="auto"/>
        <w:bottom w:val="none" w:sz="0" w:space="0" w:color="auto"/>
        <w:right w:val="none" w:sz="0" w:space="0" w:color="auto"/>
      </w:divBdr>
    </w:div>
    <w:div w:id="1301233434">
      <w:bodyDiv w:val="1"/>
      <w:marLeft w:val="0"/>
      <w:marRight w:val="0"/>
      <w:marTop w:val="0"/>
      <w:marBottom w:val="0"/>
      <w:divBdr>
        <w:top w:val="none" w:sz="0" w:space="0" w:color="auto"/>
        <w:left w:val="none" w:sz="0" w:space="0" w:color="auto"/>
        <w:bottom w:val="none" w:sz="0" w:space="0" w:color="auto"/>
        <w:right w:val="none" w:sz="0" w:space="0" w:color="auto"/>
      </w:divBdr>
    </w:div>
    <w:div w:id="1464887001">
      <w:bodyDiv w:val="1"/>
      <w:marLeft w:val="0"/>
      <w:marRight w:val="0"/>
      <w:marTop w:val="0"/>
      <w:marBottom w:val="0"/>
      <w:divBdr>
        <w:top w:val="none" w:sz="0" w:space="0" w:color="auto"/>
        <w:left w:val="none" w:sz="0" w:space="0" w:color="auto"/>
        <w:bottom w:val="none" w:sz="0" w:space="0" w:color="auto"/>
        <w:right w:val="none" w:sz="0" w:space="0" w:color="auto"/>
      </w:divBdr>
    </w:div>
    <w:div w:id="21119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0dfa800-9ef0-44cb-8a12-633e29de1e0b">
      <Value>4</Value>
    </TaxCatchAll>
    <TaxKeywordTaxHTField xmlns="d0dfa800-9ef0-44cb-8a12-633e29de1e0b">
      <Terms xmlns="http://schemas.microsoft.com/office/infopath/2007/PartnerControls"/>
    </TaxKeywordTaxHTField>
    <ShareHubID xmlns="e771ab56-0c5d-40e7-b080-2686d2b89623" xsi:nil="true"/>
    <Comments xmlns="http://schemas.microsoft.com/sharepoint/v3" xsi:nil="true"/>
    <_dlc_DocId xmlns="d0dfa800-9ef0-44cb-8a12-633e29de1e0b">PMCdoc-213507164-70714</_dlc_DocId>
    <_dlc_DocIdUrl xmlns="d0dfa800-9ef0-44cb-8a12-633e29de1e0b">
      <Url>https://pmc01.sharepoint.com/sites/pmc-ms-cb/_layouts/15/DocIdRedir.aspx?ID=PMCdoc-213507164-70714</Url>
      <Description>PMCdoc-213507164-70714</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95CE5-9F83-47BB-B84D-7F47645F8013}">
  <ds:schemaRefs>
    <ds:schemaRef ds:uri="http://schemas.microsoft.com/sharepoint/events"/>
  </ds:schemaRefs>
</ds:datastoreItem>
</file>

<file path=customXml/itemProps2.xml><?xml version="1.0" encoding="utf-8"?>
<ds:datastoreItem xmlns:ds="http://schemas.openxmlformats.org/officeDocument/2006/customXml" ds:itemID="{F1BFABB0-12B8-4A07-BB07-EA7403BC674E}">
  <ds:schemaRefs>
    <ds:schemaRef ds:uri="http://schemas.microsoft.com/office/2006/metadata/properties"/>
    <ds:schemaRef ds:uri="http://schemas.microsoft.com/office/infopath/2007/PartnerControls"/>
    <ds:schemaRef ds:uri="d0dfa800-9ef0-44cb-8a12-633e29de1e0b"/>
    <ds:schemaRef ds:uri="e771ab56-0c5d-40e7-b080-2686d2b89623"/>
    <ds:schemaRef ds:uri="http://schemas.microsoft.com/sharepoint/v3"/>
    <ds:schemaRef ds:uri="ce530a30-1469-477c-a42f-e412a5d2cfe7"/>
  </ds:schemaRefs>
</ds:datastoreItem>
</file>

<file path=customXml/itemProps3.xml><?xml version="1.0" encoding="utf-8"?>
<ds:datastoreItem xmlns:ds="http://schemas.openxmlformats.org/officeDocument/2006/customXml" ds:itemID="{06DE32CD-34AB-4BDB-94AC-3521261E504C}">
  <ds:schemaRefs>
    <ds:schemaRef ds:uri="http://schemas.microsoft.com/sharepoint/v3/contenttype/forms"/>
  </ds:schemaRefs>
</ds:datastoreItem>
</file>

<file path=customXml/itemProps4.xml><?xml version="1.0" encoding="utf-8"?>
<ds:datastoreItem xmlns:ds="http://schemas.openxmlformats.org/officeDocument/2006/customXml" ds:itemID="{B97AFC7B-0B02-42AF-AE6A-491B4174F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0CF491-55C5-4081-A9A3-5AF337EE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1168</Words>
  <Characters>6449</Characters>
  <Application>Microsoft Office Word</Application>
  <DocSecurity>0</DocSecurity>
  <Lines>156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Agreement between the Commonwealth of Australia and the Northern Territory on the National Disability Insurance Scheme</dc:title>
  <dc:subject/>
  <cp:keywords/>
  <dc:description/>
  <dcterms:created xsi:type="dcterms:W3CDTF">2026-01-30T06:39:00Z</dcterms:created>
  <dcterms:modified xsi:type="dcterms:W3CDTF">2026-03-02T02:17:00Z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9bf00d9,3dff5bff,4e1bd7c9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57590a3,e7140ed,65c949d3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2026-01-21T07:12:43Z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4cbdf374-ef96-4644-8cef-176b8d7af356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ESearchTags">
    <vt:lpwstr/>
  </property>
  <property fmtid="{D5CDD505-2E9C-101B-9397-08002B2CF9AE}" pid="17" name="MediaServiceImageTags">
    <vt:lpwstr/>
  </property>
  <property fmtid="{D5CDD505-2E9C-101B-9397-08002B2CF9AE}" pid="18" name="ContentTypeId">
    <vt:lpwstr>0x0101004F285619428CBE4886618267E9F1076D</vt:lpwstr>
  </property>
  <property fmtid="{D5CDD505-2E9C-101B-9397-08002B2CF9AE}" pid="19" name="HPRMSecurityLevel">
    <vt:lpwstr>1;#UNCLASSIFIED|9c49a7c7-17c7-412f-8077-62dec89b9196</vt:lpwstr>
  </property>
  <property fmtid="{D5CDD505-2E9C-101B-9397-08002B2CF9AE}" pid="20" name="docLang">
    <vt:lpwstr>en</vt:lpwstr>
  </property>
  <property fmtid="{D5CDD505-2E9C-101B-9397-08002B2CF9AE}" pid="21" name="HPRMSecurityCaveat">
    <vt:lpwstr/>
  </property>
  <property fmtid="{D5CDD505-2E9C-101B-9397-08002B2CF9AE}" pid="22" name="SecurityClassification">
    <vt:lpwstr>4;#OFFICIAL|9e0ec9cb-4e7f-4d4a-bd32-1ee7525c6d87</vt:lpwstr>
  </property>
  <property fmtid="{D5CDD505-2E9C-101B-9397-08002B2CF9AE}" pid="23" name="_dlc_DocIdItemGuid">
    <vt:lpwstr>fe7fa013-6628-4e69-975e-abcc2e423d3d</vt:lpwstr>
  </property>
  <property fmtid="{D5CDD505-2E9C-101B-9397-08002B2CF9AE}" pid="24" name="TaxKeyword">
    <vt:lpwstr/>
  </property>
  <property fmtid="{D5CDD505-2E9C-101B-9397-08002B2CF9AE}" pid="25" name="InformationMarker">
    <vt:lpwstr/>
  </property>
</Properties>
</file>