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D3552" w14:textId="77777777" w:rsidR="00835ABE" w:rsidRDefault="00835ABE" w:rsidP="00A70546">
      <w:pPr>
        <w:pStyle w:val="BodyText"/>
      </w:pPr>
      <w:bookmarkStart w:id="0" w:name="_Toc1316840568"/>
      <w:bookmarkStart w:id="1" w:name="_Toc1506659597"/>
    </w:p>
    <w:p w14:paraId="28794606" w14:textId="53B2A051" w:rsidR="001D39B0" w:rsidRPr="001B7D5F" w:rsidRDefault="6FB29F1E" w:rsidP="00A70546">
      <w:pPr>
        <w:pStyle w:val="Heading1"/>
      </w:pPr>
      <w:r w:rsidRPr="001B7D5F">
        <w:t>I</w:t>
      </w:r>
      <w:r w:rsidR="57CA8C87" w:rsidRPr="001B7D5F">
        <w:t xml:space="preserve">ntergovernmental </w:t>
      </w:r>
      <w:r w:rsidRPr="001B7D5F">
        <w:t xml:space="preserve">Agreement </w:t>
      </w:r>
      <w:r w:rsidR="14BFB453" w:rsidRPr="001B7D5F">
        <w:t>on</w:t>
      </w:r>
      <w:r w:rsidRPr="001B7D5F">
        <w:t xml:space="preserve"> N</w:t>
      </w:r>
      <w:r w:rsidR="57CA8C87" w:rsidRPr="001B7D5F">
        <w:t xml:space="preserve">ational </w:t>
      </w:r>
      <w:r w:rsidRPr="001B7D5F">
        <w:t>D</w:t>
      </w:r>
      <w:r w:rsidR="57CA8C87" w:rsidRPr="001B7D5F">
        <w:t xml:space="preserve">igital </w:t>
      </w:r>
      <w:r w:rsidRPr="001B7D5F">
        <w:t>H</w:t>
      </w:r>
      <w:r w:rsidR="57CA8C87" w:rsidRPr="001B7D5F">
        <w:t>ealth</w:t>
      </w:r>
      <w:r w:rsidR="14BFB453" w:rsidRPr="001B7D5F">
        <w:t xml:space="preserve"> 2023-2027</w:t>
      </w:r>
      <w:bookmarkEnd w:id="0"/>
      <w:bookmarkEnd w:id="1"/>
    </w:p>
    <w:p w14:paraId="5FAB550F" w14:textId="777AB607" w:rsidR="003F1446" w:rsidRPr="001B7D5F" w:rsidRDefault="003F1446" w:rsidP="00A70546">
      <w:pPr>
        <w:spacing w:after="0" w:line="240" w:lineRule="auto"/>
        <w:rPr>
          <w:rFonts w:asciiTheme="majorHAnsi" w:hAnsiTheme="majorHAnsi"/>
          <w:sz w:val="28"/>
          <w:szCs w:val="28"/>
        </w:rPr>
      </w:pPr>
      <w:r w:rsidRPr="001B7D5F">
        <w:rPr>
          <w:rFonts w:asciiTheme="majorHAnsi" w:hAnsiTheme="majorHAnsi"/>
          <w:sz w:val="28"/>
          <w:szCs w:val="28"/>
        </w:rPr>
        <w:t xml:space="preserve">An Agreement </w:t>
      </w:r>
      <w:r w:rsidR="002D6292" w:rsidRPr="001B7D5F">
        <w:rPr>
          <w:rFonts w:asciiTheme="majorHAnsi" w:hAnsiTheme="majorHAnsi"/>
          <w:sz w:val="28"/>
          <w:szCs w:val="28"/>
        </w:rPr>
        <w:t xml:space="preserve">to </w:t>
      </w:r>
      <w:r w:rsidR="000A2FF5" w:rsidRPr="001B7D5F">
        <w:rPr>
          <w:rFonts w:asciiTheme="majorHAnsi" w:hAnsiTheme="majorHAnsi"/>
          <w:sz w:val="28"/>
          <w:szCs w:val="28"/>
        </w:rPr>
        <w:t xml:space="preserve">enable </w:t>
      </w:r>
      <w:r w:rsidR="002D6292" w:rsidRPr="001B7D5F">
        <w:rPr>
          <w:rFonts w:asciiTheme="majorHAnsi" w:hAnsiTheme="majorHAnsi"/>
          <w:sz w:val="28"/>
          <w:szCs w:val="28"/>
        </w:rPr>
        <w:t xml:space="preserve">interoperability and connected data across Australia’s </w:t>
      </w:r>
      <w:r w:rsidR="00EC285D" w:rsidRPr="001B7D5F">
        <w:rPr>
          <w:rFonts w:asciiTheme="majorHAnsi" w:hAnsiTheme="majorHAnsi"/>
          <w:sz w:val="28"/>
          <w:szCs w:val="28"/>
        </w:rPr>
        <w:t xml:space="preserve">health </w:t>
      </w:r>
      <w:r w:rsidR="002D6292" w:rsidRPr="001B7D5F">
        <w:rPr>
          <w:rFonts w:asciiTheme="majorHAnsi" w:hAnsiTheme="majorHAnsi"/>
          <w:sz w:val="28"/>
          <w:szCs w:val="28"/>
        </w:rPr>
        <w:t>care settings</w:t>
      </w:r>
      <w:r w:rsidR="000A2FF5" w:rsidRPr="001B7D5F">
        <w:rPr>
          <w:rFonts w:asciiTheme="majorHAnsi" w:hAnsiTheme="majorHAnsi"/>
          <w:sz w:val="28"/>
          <w:szCs w:val="28"/>
        </w:rPr>
        <w:t xml:space="preserve"> to support high quality patient care and improve the efficiency and sustainability of the </w:t>
      </w:r>
      <w:r w:rsidR="00EC285D" w:rsidRPr="001B7D5F">
        <w:rPr>
          <w:rFonts w:asciiTheme="majorHAnsi" w:hAnsiTheme="majorHAnsi"/>
          <w:sz w:val="28"/>
          <w:szCs w:val="28"/>
        </w:rPr>
        <w:t xml:space="preserve">health care </w:t>
      </w:r>
      <w:r w:rsidR="000A2FF5" w:rsidRPr="001B7D5F">
        <w:rPr>
          <w:rFonts w:asciiTheme="majorHAnsi" w:hAnsiTheme="majorHAnsi"/>
          <w:sz w:val="28"/>
          <w:szCs w:val="28"/>
        </w:rPr>
        <w:t>system</w:t>
      </w:r>
      <w:r w:rsidR="002D6292" w:rsidRPr="001B7D5F">
        <w:rPr>
          <w:rFonts w:asciiTheme="majorHAnsi" w:hAnsiTheme="majorHAnsi"/>
          <w:sz w:val="28"/>
          <w:szCs w:val="28"/>
        </w:rPr>
        <w:t>.</w:t>
      </w:r>
    </w:p>
    <w:p w14:paraId="2AD6FDB4" w14:textId="77777777" w:rsidR="002D6292" w:rsidRPr="001B7D5F" w:rsidRDefault="2F2AAC14" w:rsidP="00A70546">
      <w:pPr>
        <w:pStyle w:val="Heading2"/>
      </w:pPr>
      <w:bookmarkStart w:id="2" w:name="_Toc253818912"/>
      <w:bookmarkStart w:id="3" w:name="_Toc508761128"/>
      <w:r w:rsidRPr="001B7D5F">
        <w:t>Parties</w:t>
      </w:r>
      <w:bookmarkEnd w:id="2"/>
      <w:bookmarkEnd w:id="3"/>
    </w:p>
    <w:p w14:paraId="41E24E0C" w14:textId="77777777" w:rsidR="002D6292" w:rsidRPr="001B7D5F" w:rsidRDefault="002D6292" w:rsidP="00A70546">
      <w:pPr>
        <w:pStyle w:val="BodyText"/>
      </w:pPr>
      <w:r w:rsidRPr="001B7D5F">
        <w:t>This Agreement is between</w:t>
      </w:r>
    </w:p>
    <w:p w14:paraId="21D8E858" w14:textId="77777777" w:rsidR="002D6292" w:rsidRPr="001B7D5F" w:rsidRDefault="002D6292" w:rsidP="00A70546">
      <w:pPr>
        <w:pStyle w:val="BodyText"/>
        <w:numPr>
          <w:ilvl w:val="0"/>
          <w:numId w:val="13"/>
        </w:numPr>
      </w:pPr>
      <w:r w:rsidRPr="001B7D5F">
        <w:t xml:space="preserve">the Commonwealth of Australia; and </w:t>
      </w:r>
    </w:p>
    <w:p w14:paraId="19564479" w14:textId="5DF6CAF0" w:rsidR="002D6292" w:rsidRPr="001B7D5F" w:rsidRDefault="002D6292" w:rsidP="00A70546">
      <w:pPr>
        <w:pStyle w:val="BodyText"/>
        <w:numPr>
          <w:ilvl w:val="0"/>
          <w:numId w:val="13"/>
        </w:numPr>
      </w:pPr>
      <w:r w:rsidRPr="001B7D5F">
        <w:t xml:space="preserve">the </w:t>
      </w:r>
      <w:r w:rsidR="001D2C9E" w:rsidRPr="001B7D5F">
        <w:t>s</w:t>
      </w:r>
      <w:r w:rsidRPr="001B7D5F">
        <w:t xml:space="preserve">tates and </w:t>
      </w:r>
      <w:r w:rsidR="001D2C9E" w:rsidRPr="001B7D5F">
        <w:t>t</w:t>
      </w:r>
      <w:r w:rsidRPr="001B7D5F">
        <w:t>erritories, being</w:t>
      </w:r>
    </w:p>
    <w:p w14:paraId="1D8D9AE5" w14:textId="77777777" w:rsidR="002D6292" w:rsidRPr="001B7D5F" w:rsidRDefault="002D6292" w:rsidP="00A70546">
      <w:pPr>
        <w:pStyle w:val="BodyText"/>
        <w:numPr>
          <w:ilvl w:val="1"/>
          <w:numId w:val="13"/>
        </w:numPr>
      </w:pPr>
      <w:r w:rsidRPr="001B7D5F">
        <w:t>The State of New South Wales</w:t>
      </w:r>
    </w:p>
    <w:p w14:paraId="5C7BFADD" w14:textId="77777777" w:rsidR="002D6292" w:rsidRPr="001B7D5F" w:rsidRDefault="002D6292" w:rsidP="00A70546">
      <w:pPr>
        <w:pStyle w:val="BodyText"/>
        <w:numPr>
          <w:ilvl w:val="1"/>
          <w:numId w:val="13"/>
        </w:numPr>
      </w:pPr>
      <w:r w:rsidRPr="001B7D5F">
        <w:t>The State of Victoria</w:t>
      </w:r>
    </w:p>
    <w:p w14:paraId="1B53C88E" w14:textId="77777777" w:rsidR="002D6292" w:rsidRPr="001B7D5F" w:rsidRDefault="002D6292" w:rsidP="00A70546">
      <w:pPr>
        <w:pStyle w:val="BodyText"/>
        <w:numPr>
          <w:ilvl w:val="1"/>
          <w:numId w:val="13"/>
        </w:numPr>
      </w:pPr>
      <w:r w:rsidRPr="001B7D5F">
        <w:t>The State of Queensland</w:t>
      </w:r>
    </w:p>
    <w:p w14:paraId="37201287" w14:textId="77777777" w:rsidR="00602AB5" w:rsidRDefault="0071022B" w:rsidP="00A70546">
      <w:pPr>
        <w:pStyle w:val="BodyText"/>
        <w:numPr>
          <w:ilvl w:val="1"/>
          <w:numId w:val="13"/>
        </w:numPr>
      </w:pPr>
      <w:r w:rsidRPr="001B7D5F">
        <w:t>The State of Western Australia</w:t>
      </w:r>
    </w:p>
    <w:p w14:paraId="7841A202" w14:textId="03538B9F" w:rsidR="002D6292" w:rsidRPr="001B7D5F" w:rsidRDefault="002D6292" w:rsidP="00A70546">
      <w:pPr>
        <w:pStyle w:val="BodyText"/>
        <w:numPr>
          <w:ilvl w:val="1"/>
          <w:numId w:val="13"/>
        </w:numPr>
      </w:pPr>
      <w:r w:rsidRPr="001B7D5F">
        <w:t>The State of South Australia</w:t>
      </w:r>
    </w:p>
    <w:p w14:paraId="27D699F8" w14:textId="77777777" w:rsidR="002D6292" w:rsidRPr="001B7D5F" w:rsidRDefault="002D6292" w:rsidP="00A70546">
      <w:pPr>
        <w:pStyle w:val="BodyText"/>
        <w:numPr>
          <w:ilvl w:val="1"/>
          <w:numId w:val="13"/>
        </w:numPr>
      </w:pPr>
      <w:r w:rsidRPr="001B7D5F">
        <w:t>The State of Tasmania</w:t>
      </w:r>
    </w:p>
    <w:p w14:paraId="6EDD8812" w14:textId="77777777" w:rsidR="002D6292" w:rsidRPr="001B7D5F" w:rsidRDefault="002D6292" w:rsidP="00A70546">
      <w:pPr>
        <w:pStyle w:val="BodyText"/>
        <w:numPr>
          <w:ilvl w:val="1"/>
          <w:numId w:val="13"/>
        </w:numPr>
      </w:pPr>
      <w:r w:rsidRPr="001B7D5F">
        <w:t>The Australian Capital Territory</w:t>
      </w:r>
    </w:p>
    <w:p w14:paraId="23651B8C" w14:textId="7F73E858" w:rsidR="00520C6A" w:rsidRPr="001B7D5F" w:rsidRDefault="002D6292" w:rsidP="00A70546">
      <w:pPr>
        <w:pStyle w:val="BodyText"/>
        <w:numPr>
          <w:ilvl w:val="1"/>
          <w:numId w:val="13"/>
        </w:numPr>
      </w:pPr>
      <w:r w:rsidRPr="001B7D5F">
        <w:t xml:space="preserve">The Northern Territory of Australia. </w:t>
      </w:r>
    </w:p>
    <w:p w14:paraId="11CD3186" w14:textId="3A032BEF" w:rsidR="00412D47" w:rsidRPr="001B7D5F" w:rsidRDefault="147AF4C8" w:rsidP="00FE6209">
      <w:pPr>
        <w:pStyle w:val="Heading2"/>
        <w:pageBreakBefore/>
      </w:pPr>
      <w:bookmarkStart w:id="4" w:name="_Toc1257666681"/>
      <w:bookmarkStart w:id="5" w:name="_Toc833878549"/>
      <w:r w:rsidRPr="001B7D5F">
        <w:lastRenderedPageBreak/>
        <w:t xml:space="preserve">1. </w:t>
      </w:r>
      <w:r w:rsidR="333B3D73" w:rsidRPr="001B7D5F">
        <w:t>Definitions</w:t>
      </w:r>
      <w:bookmarkEnd w:id="4"/>
      <w:bookmarkEnd w:id="5"/>
    </w:p>
    <w:p w14:paraId="07F18C05" w14:textId="77777777" w:rsidR="00412D47" w:rsidRPr="001B7D5F" w:rsidRDefault="00412D47" w:rsidP="00A70546">
      <w:pPr>
        <w:pStyle w:val="BodyText"/>
      </w:pPr>
      <w:r w:rsidRPr="001B7D5F">
        <w:t>In this Agreement, unless the contrary intention appears:</w:t>
      </w:r>
    </w:p>
    <w:p w14:paraId="589540FB" w14:textId="7DD8042B" w:rsidR="00412D47" w:rsidRPr="001B7D5F" w:rsidRDefault="00412D47" w:rsidP="00A70546">
      <w:pPr>
        <w:pStyle w:val="BodyText"/>
        <w:ind w:left="360"/>
      </w:pPr>
      <w:r w:rsidRPr="001B7D5F">
        <w:rPr>
          <w:b/>
          <w:bCs/>
        </w:rPr>
        <w:t xml:space="preserve">‘Agreement’ </w:t>
      </w:r>
      <w:r w:rsidRPr="001B7D5F">
        <w:t>means this document and includes the Schedules and any attachments.</w:t>
      </w:r>
    </w:p>
    <w:p w14:paraId="6324D38A" w14:textId="59741B52" w:rsidR="001226F0" w:rsidRPr="001B7D5F" w:rsidRDefault="001226F0" w:rsidP="00A70546">
      <w:pPr>
        <w:pStyle w:val="BodyText"/>
        <w:ind w:left="360"/>
      </w:pPr>
      <w:r w:rsidRPr="001B7D5F">
        <w:rPr>
          <w:b/>
          <w:bCs/>
        </w:rPr>
        <w:t>‘The Agency’</w:t>
      </w:r>
      <w:r w:rsidRPr="001B7D5F">
        <w:t xml:space="preserve"> refers to the Australian Digital Health Agency.</w:t>
      </w:r>
      <w:r w:rsidRPr="001B7D5F">
        <w:rPr>
          <w:b/>
          <w:bCs/>
        </w:rPr>
        <w:t xml:space="preserve"> </w:t>
      </w:r>
    </w:p>
    <w:p w14:paraId="5740CD9F" w14:textId="1A6343C6" w:rsidR="009A1C02" w:rsidRPr="001B7D5F" w:rsidRDefault="009A1C02" w:rsidP="00A70546">
      <w:pPr>
        <w:pStyle w:val="BodyText"/>
        <w:ind w:left="360"/>
      </w:pPr>
      <w:r w:rsidRPr="001B7D5F">
        <w:rPr>
          <w:b/>
          <w:bCs/>
        </w:rPr>
        <w:t xml:space="preserve">‘The </w:t>
      </w:r>
      <w:r w:rsidR="005C2165" w:rsidRPr="001B7D5F">
        <w:rPr>
          <w:b/>
          <w:bCs/>
        </w:rPr>
        <w:t xml:space="preserve">Agency </w:t>
      </w:r>
      <w:r w:rsidRPr="001B7D5F">
        <w:rPr>
          <w:b/>
          <w:bCs/>
        </w:rPr>
        <w:t xml:space="preserve">Board’ </w:t>
      </w:r>
      <w:r w:rsidRPr="001B7D5F">
        <w:t xml:space="preserve">has the same meaning as given to it in the Rule. </w:t>
      </w:r>
    </w:p>
    <w:p w14:paraId="70EABA9E" w14:textId="6379EB32" w:rsidR="00412D47" w:rsidRPr="001B7D5F" w:rsidRDefault="00412D47" w:rsidP="00A70546">
      <w:pPr>
        <w:pStyle w:val="BodyText"/>
        <w:ind w:left="360"/>
      </w:pPr>
      <w:r w:rsidRPr="001B7D5F">
        <w:rPr>
          <w:b/>
          <w:bCs/>
        </w:rPr>
        <w:t xml:space="preserve">‘Data Standards’ </w:t>
      </w:r>
      <w:r w:rsidRPr="001B7D5F">
        <w:t>means the definitions, classifications and terminologies to enable the consistent exchange of health data between one health IT system and another in a way that preserves the clinical or operational meaning and purpose of the data.</w:t>
      </w:r>
    </w:p>
    <w:p w14:paraId="78062CA4" w14:textId="0D773549" w:rsidR="00412D47" w:rsidRPr="001B7D5F" w:rsidRDefault="00412D47" w:rsidP="00A70546">
      <w:pPr>
        <w:pStyle w:val="BodyText"/>
        <w:ind w:left="360"/>
      </w:pPr>
      <w:bookmarkStart w:id="6" w:name="_Hlk126931271"/>
      <w:r w:rsidRPr="001B7D5F">
        <w:rPr>
          <w:b/>
          <w:bCs/>
        </w:rPr>
        <w:t>‘Delivery Partner</w:t>
      </w:r>
      <w:r w:rsidR="00B87182" w:rsidRPr="001B7D5F">
        <w:rPr>
          <w:b/>
          <w:bCs/>
        </w:rPr>
        <w:t>s</w:t>
      </w:r>
      <w:r w:rsidRPr="001B7D5F">
        <w:rPr>
          <w:b/>
          <w:bCs/>
        </w:rPr>
        <w:t xml:space="preserve">’ </w:t>
      </w:r>
      <w:r w:rsidRPr="001B7D5F">
        <w:t xml:space="preserve">means </w:t>
      </w:r>
      <w:r w:rsidR="00840F2E" w:rsidRPr="001B7D5F">
        <w:t>entities</w:t>
      </w:r>
      <w:r w:rsidRPr="001B7D5F">
        <w:t xml:space="preserve"> which support the </w:t>
      </w:r>
      <w:r w:rsidR="000165BC" w:rsidRPr="001B7D5F">
        <w:t xml:space="preserve">objectives of this Agreement, including </w:t>
      </w:r>
      <w:r w:rsidRPr="001B7D5F">
        <w:t xml:space="preserve">development, operation or support of </w:t>
      </w:r>
      <w:r w:rsidR="00025042" w:rsidRPr="001B7D5F">
        <w:t>Foundation Services, National Services</w:t>
      </w:r>
      <w:r w:rsidR="00385E7A" w:rsidRPr="001B7D5F">
        <w:t>, Strategic Priorit</w:t>
      </w:r>
      <w:r w:rsidR="00F76B6E">
        <w:t>y Projects</w:t>
      </w:r>
      <w:r w:rsidRPr="001B7D5F">
        <w:t xml:space="preserve"> </w:t>
      </w:r>
      <w:r w:rsidR="00025042" w:rsidRPr="001B7D5F">
        <w:t>and other digital health initiatives</w:t>
      </w:r>
      <w:r w:rsidR="000165BC" w:rsidRPr="001B7D5F">
        <w:t>.</w:t>
      </w:r>
      <w:r w:rsidR="00025042" w:rsidRPr="001B7D5F">
        <w:t xml:space="preserve"> </w:t>
      </w:r>
      <w:r w:rsidR="000165BC" w:rsidRPr="001B7D5F">
        <w:t xml:space="preserve">Delivery Partners </w:t>
      </w:r>
      <w:r w:rsidRPr="001B7D5F">
        <w:t>are no</w:t>
      </w:r>
      <w:r w:rsidR="002B14ED" w:rsidRPr="001B7D5F">
        <w:t>t</w:t>
      </w:r>
      <w:r w:rsidRPr="001B7D5F">
        <w:t xml:space="preserve"> </w:t>
      </w:r>
      <w:r w:rsidR="0089022F" w:rsidRPr="001B7D5F">
        <w:t>P</w:t>
      </w:r>
      <w:r w:rsidRPr="001B7D5F">
        <w:t>arties to this</w:t>
      </w:r>
      <w:r w:rsidR="000165BC" w:rsidRPr="001B7D5F">
        <w:t xml:space="preserve"> Agreement and may or may not be provided funding under this Agreement.</w:t>
      </w:r>
    </w:p>
    <w:p w14:paraId="1FEB897D" w14:textId="4359F9C7" w:rsidR="00412D47" w:rsidRPr="001B7D5F" w:rsidRDefault="00412D47" w:rsidP="00A70546">
      <w:pPr>
        <w:pStyle w:val="BodyText"/>
        <w:ind w:left="360"/>
      </w:pPr>
      <w:bookmarkStart w:id="7" w:name="_Hlk126931933"/>
      <w:bookmarkEnd w:id="6"/>
      <w:r w:rsidRPr="001B7D5F">
        <w:rPr>
          <w:b/>
          <w:bCs/>
        </w:rPr>
        <w:t xml:space="preserve">‘Foundation Services’ </w:t>
      </w:r>
      <w:r w:rsidRPr="001B7D5F">
        <w:t>means</w:t>
      </w:r>
      <w:r w:rsidRPr="001B7D5F">
        <w:rPr>
          <w:b/>
          <w:bCs/>
        </w:rPr>
        <w:t xml:space="preserve"> </w:t>
      </w:r>
      <w:r w:rsidRPr="001B7D5F">
        <w:t xml:space="preserve">the services, tools and systems that provide the basis for a nationally connected health system. They are available for industry and all eligible healthcare providers to use and provide the functional capability to share clinical information between providers. </w:t>
      </w:r>
      <w:bookmarkEnd w:id="7"/>
      <w:r w:rsidRPr="001B7D5F">
        <w:t xml:space="preserve">Foundation </w:t>
      </w:r>
      <w:r w:rsidR="00C93388" w:rsidRPr="001B7D5F">
        <w:t>S</w:t>
      </w:r>
      <w:r w:rsidRPr="001B7D5F">
        <w:t>ervices</w:t>
      </w:r>
      <w:r w:rsidR="005F02B8" w:rsidRPr="001B7D5F">
        <w:t xml:space="preserve">, including those not </w:t>
      </w:r>
      <w:r w:rsidR="00C93388" w:rsidRPr="001B7D5F">
        <w:t>funded through this Agreement</w:t>
      </w:r>
      <w:r w:rsidR="005F02B8" w:rsidRPr="001B7D5F">
        <w:t>,</w:t>
      </w:r>
      <w:r w:rsidR="00C93388" w:rsidRPr="001B7D5F">
        <w:t xml:space="preserve"> are </w:t>
      </w:r>
      <w:r w:rsidR="00243410" w:rsidRPr="001B7D5F">
        <w:t>defined</w:t>
      </w:r>
      <w:r w:rsidR="00C93388" w:rsidRPr="001B7D5F">
        <w:t xml:space="preserve"> in </w:t>
      </w:r>
      <w:r w:rsidR="002D1869" w:rsidRPr="001B7D5F">
        <w:br/>
      </w:r>
      <w:r w:rsidR="00C93388" w:rsidRPr="001B7D5F">
        <w:t xml:space="preserve">Schedule </w:t>
      </w:r>
      <w:r w:rsidR="00BB2E75" w:rsidRPr="001B7D5F">
        <w:t>A</w:t>
      </w:r>
      <w:r w:rsidR="00C93388" w:rsidRPr="001B7D5F">
        <w:t>.</w:t>
      </w:r>
    </w:p>
    <w:p w14:paraId="4E0A5432" w14:textId="0A92BB45" w:rsidR="00BB2E75" w:rsidRPr="001B7D5F" w:rsidRDefault="00412D47" w:rsidP="00A70546">
      <w:pPr>
        <w:pStyle w:val="BodyText"/>
        <w:ind w:left="360"/>
      </w:pPr>
      <w:r w:rsidRPr="001B7D5F">
        <w:rPr>
          <w:b/>
          <w:bCs/>
        </w:rPr>
        <w:t xml:space="preserve">‘Funding Stream’ </w:t>
      </w:r>
      <w:r w:rsidRPr="001B7D5F">
        <w:t>means</w:t>
      </w:r>
      <w:r w:rsidRPr="001B7D5F">
        <w:rPr>
          <w:b/>
          <w:bCs/>
        </w:rPr>
        <w:t xml:space="preserve"> </w:t>
      </w:r>
      <w:r w:rsidRPr="001B7D5F">
        <w:t xml:space="preserve">the funding allocated under this Agreement to </w:t>
      </w:r>
      <w:r w:rsidR="00025042" w:rsidRPr="001B7D5F">
        <w:t>N</w:t>
      </w:r>
      <w:r w:rsidRPr="001B7D5F">
        <w:t xml:space="preserve">ational </w:t>
      </w:r>
      <w:r w:rsidR="00025042" w:rsidRPr="001B7D5F">
        <w:t>S</w:t>
      </w:r>
      <w:r w:rsidRPr="001B7D5F">
        <w:t xml:space="preserve">ervices, </w:t>
      </w:r>
      <w:r w:rsidR="00025042" w:rsidRPr="001B7D5F">
        <w:t>F</w:t>
      </w:r>
      <w:r w:rsidRPr="001B7D5F">
        <w:t xml:space="preserve">oundation </w:t>
      </w:r>
      <w:r w:rsidR="00025042" w:rsidRPr="001B7D5F">
        <w:t>S</w:t>
      </w:r>
      <w:r w:rsidRPr="001B7D5F">
        <w:t xml:space="preserve">ervices and </w:t>
      </w:r>
      <w:r w:rsidR="00025042" w:rsidRPr="001B7D5F">
        <w:t>S</w:t>
      </w:r>
      <w:r w:rsidRPr="001B7D5F">
        <w:t xml:space="preserve">trategic </w:t>
      </w:r>
      <w:r w:rsidR="00025042" w:rsidRPr="001B7D5F">
        <w:t>P</w:t>
      </w:r>
      <w:r w:rsidRPr="001B7D5F">
        <w:t>riorit</w:t>
      </w:r>
      <w:r w:rsidR="00F76B6E">
        <w:t>y Projects</w:t>
      </w:r>
      <w:r w:rsidRPr="001B7D5F">
        <w:t>.</w:t>
      </w:r>
    </w:p>
    <w:p w14:paraId="4E0F39F6" w14:textId="0CD528AE" w:rsidR="00412D47" w:rsidRPr="001B7D5F" w:rsidRDefault="00412D47" w:rsidP="00A70546">
      <w:pPr>
        <w:pStyle w:val="BodyText"/>
        <w:ind w:left="360"/>
      </w:pPr>
      <w:r w:rsidRPr="001B7D5F">
        <w:rPr>
          <w:b/>
          <w:bCs/>
        </w:rPr>
        <w:t>‘Funds’</w:t>
      </w:r>
      <w:r w:rsidRPr="001B7D5F">
        <w:t xml:space="preserve"> means the amounts payable by </w:t>
      </w:r>
      <w:r w:rsidR="00025042" w:rsidRPr="001B7D5F">
        <w:t>Parties</w:t>
      </w:r>
      <w:r w:rsidRPr="001B7D5F">
        <w:t xml:space="preserve"> as specified in Schedule </w:t>
      </w:r>
      <w:r w:rsidR="00BB2E75" w:rsidRPr="001B7D5F">
        <w:t>C</w:t>
      </w:r>
      <w:r w:rsidR="00124436" w:rsidRPr="001B7D5F">
        <w:t>.</w:t>
      </w:r>
      <w:r w:rsidRPr="001B7D5F">
        <w:t xml:space="preserve"> </w:t>
      </w:r>
    </w:p>
    <w:p w14:paraId="406F6FA0" w14:textId="23C3556D" w:rsidR="00AB5E96" w:rsidRPr="001B7D5F" w:rsidRDefault="00AB5E96" w:rsidP="00A70546">
      <w:pPr>
        <w:pStyle w:val="BodyText"/>
        <w:ind w:left="360"/>
      </w:pPr>
      <w:r w:rsidRPr="001B7D5F">
        <w:rPr>
          <w:b/>
          <w:bCs/>
        </w:rPr>
        <w:t xml:space="preserve">‘Health Chief Executives’ </w:t>
      </w:r>
      <w:r w:rsidRPr="001B7D5F">
        <w:t xml:space="preserve">means </w:t>
      </w:r>
      <w:r w:rsidR="00124436" w:rsidRPr="001B7D5F">
        <w:t>the chief executive officers from each Australian government health department.</w:t>
      </w:r>
    </w:p>
    <w:p w14:paraId="01CABCEA" w14:textId="45A342D4" w:rsidR="009C77B4" w:rsidRPr="001B7D5F" w:rsidRDefault="009C77B4" w:rsidP="00A70546">
      <w:pPr>
        <w:pStyle w:val="BodyText"/>
        <w:ind w:left="360"/>
      </w:pPr>
      <w:r w:rsidRPr="001B7D5F">
        <w:rPr>
          <w:b/>
          <w:bCs/>
        </w:rPr>
        <w:t xml:space="preserve">‘Health Ministers’ </w:t>
      </w:r>
      <w:r w:rsidR="00AB5E96" w:rsidRPr="001B7D5F">
        <w:t>means</w:t>
      </w:r>
      <w:r w:rsidR="00AB5E96" w:rsidRPr="001B7D5F">
        <w:rPr>
          <w:b/>
          <w:bCs/>
        </w:rPr>
        <w:t xml:space="preserve"> </w:t>
      </w:r>
      <w:r w:rsidRPr="001B7D5F">
        <w:t xml:space="preserve">the Ministers of the Commonwealth and each </w:t>
      </w:r>
      <w:r w:rsidR="001D2C9E" w:rsidRPr="001B7D5F">
        <w:t>s</w:t>
      </w:r>
      <w:r w:rsidRPr="001B7D5F">
        <w:t xml:space="preserve">tate and </w:t>
      </w:r>
      <w:r w:rsidR="001D2C9E" w:rsidRPr="001B7D5F">
        <w:t>t</w:t>
      </w:r>
      <w:r w:rsidRPr="001B7D5F">
        <w:t>erritory with responsibility for health matters.</w:t>
      </w:r>
    </w:p>
    <w:p w14:paraId="392F635E" w14:textId="023AF67C" w:rsidR="00412D47" w:rsidRPr="001B7D5F" w:rsidRDefault="00412D47" w:rsidP="00A70546">
      <w:pPr>
        <w:pStyle w:val="BodyText"/>
        <w:ind w:left="360"/>
      </w:pPr>
      <w:r w:rsidRPr="001B7D5F">
        <w:rPr>
          <w:b/>
          <w:bCs/>
        </w:rPr>
        <w:t xml:space="preserve">‘Interoperability’ </w:t>
      </w:r>
      <w:r w:rsidRPr="001B7D5F">
        <w:t xml:space="preserve">means the ability of a system or product </w:t>
      </w:r>
      <w:r w:rsidRPr="001B7D5F">
        <w:rPr>
          <w:color w:val="auto"/>
        </w:rPr>
        <w:t xml:space="preserve">to transfer the meaning of information within and between systems or products without special effort on the part of the user. It is made possible by the implementation of standards that support the consistent </w:t>
      </w:r>
      <w:r w:rsidR="0080589B" w:rsidRPr="001B7D5F">
        <w:rPr>
          <w:color w:val="auto"/>
        </w:rPr>
        <w:t xml:space="preserve">recording, </w:t>
      </w:r>
      <w:r w:rsidRPr="001B7D5F">
        <w:rPr>
          <w:color w:val="auto"/>
        </w:rPr>
        <w:t>use</w:t>
      </w:r>
      <w:r w:rsidR="0080589B" w:rsidRPr="001B7D5F">
        <w:rPr>
          <w:color w:val="auto"/>
        </w:rPr>
        <w:t xml:space="preserve"> and exchange</w:t>
      </w:r>
      <w:r w:rsidRPr="001B7D5F">
        <w:rPr>
          <w:color w:val="auto"/>
        </w:rPr>
        <w:t xml:space="preserve"> of data</w:t>
      </w:r>
      <w:r w:rsidR="0080589B" w:rsidRPr="001B7D5F">
        <w:rPr>
          <w:color w:val="auto"/>
        </w:rPr>
        <w:t xml:space="preserve"> within context</w:t>
      </w:r>
      <w:r w:rsidRPr="001B7D5F">
        <w:rPr>
          <w:color w:val="auto"/>
        </w:rPr>
        <w:t>.</w:t>
      </w:r>
    </w:p>
    <w:p w14:paraId="6A03CE2F" w14:textId="76A4688A" w:rsidR="00412D47" w:rsidRPr="001B7D5F" w:rsidRDefault="00412D47" w:rsidP="00A70546">
      <w:pPr>
        <w:pStyle w:val="BodyText"/>
        <w:ind w:left="360"/>
      </w:pPr>
      <w:r w:rsidRPr="001B7D5F">
        <w:rPr>
          <w:b/>
          <w:bCs/>
        </w:rPr>
        <w:t xml:space="preserve">‘Jurisdictional Advisory </w:t>
      </w:r>
      <w:r w:rsidR="00025042" w:rsidRPr="001B7D5F">
        <w:rPr>
          <w:b/>
          <w:bCs/>
        </w:rPr>
        <w:t>Committee’</w:t>
      </w:r>
      <w:r w:rsidRPr="001B7D5F">
        <w:rPr>
          <w:b/>
          <w:bCs/>
        </w:rPr>
        <w:t xml:space="preserve"> </w:t>
      </w:r>
      <w:r w:rsidR="00025042" w:rsidRPr="001B7D5F">
        <w:t xml:space="preserve">has the </w:t>
      </w:r>
      <w:r w:rsidR="00E11F5A" w:rsidRPr="001B7D5F">
        <w:t>same meaning as given to it in the Rule.</w:t>
      </w:r>
    </w:p>
    <w:p w14:paraId="44EC623B" w14:textId="0A597964" w:rsidR="00422523" w:rsidRPr="001B7D5F" w:rsidRDefault="00422523" w:rsidP="00A70546">
      <w:pPr>
        <w:pStyle w:val="BodyText"/>
        <w:ind w:left="360"/>
      </w:pPr>
      <w:r w:rsidRPr="001B7D5F">
        <w:rPr>
          <w:b/>
          <w:bCs/>
        </w:rPr>
        <w:t xml:space="preserve">‘Members’ </w:t>
      </w:r>
      <w:r w:rsidR="005F02B8" w:rsidRPr="001B7D5F">
        <w:t>refers to</w:t>
      </w:r>
      <w:r w:rsidRPr="001B7D5F">
        <w:t xml:space="preserve"> the </w:t>
      </w:r>
      <w:r w:rsidR="005F02B8" w:rsidRPr="001B7D5F">
        <w:t>r</w:t>
      </w:r>
      <w:r w:rsidRPr="001B7D5F">
        <w:t>epresentatives of each jurisdiction who have been appointed to sit on the Oversight Committee.</w:t>
      </w:r>
    </w:p>
    <w:p w14:paraId="2F09D464" w14:textId="5CA0F302" w:rsidR="00412D47" w:rsidRPr="001B7D5F" w:rsidRDefault="00412D47" w:rsidP="00A70546">
      <w:pPr>
        <w:pStyle w:val="BodyText"/>
        <w:ind w:left="360"/>
        <w:rPr>
          <w:b/>
          <w:bCs/>
        </w:rPr>
      </w:pPr>
      <w:r w:rsidRPr="001B7D5F">
        <w:rPr>
          <w:b/>
          <w:bCs/>
        </w:rPr>
        <w:t xml:space="preserve">‘National Services’ </w:t>
      </w:r>
      <w:r w:rsidRPr="001B7D5F">
        <w:t xml:space="preserve">means </w:t>
      </w:r>
      <w:r w:rsidRPr="001B7D5F">
        <w:rPr>
          <w:rFonts w:cstheme="minorHAnsi"/>
          <w:szCs w:val="22"/>
        </w:rPr>
        <w:t xml:space="preserve">the national systems that have been developed to support healthcare, and either have a significant role in enabling interoperability, and/or are themselves dependent on being interoperable with other components. </w:t>
      </w:r>
      <w:r w:rsidR="006C1D66" w:rsidRPr="001B7D5F">
        <w:rPr>
          <w:rFonts w:cstheme="minorHAnsi"/>
          <w:szCs w:val="22"/>
        </w:rPr>
        <w:t>National Services</w:t>
      </w:r>
      <w:r w:rsidRPr="001B7D5F">
        <w:rPr>
          <w:rFonts w:cstheme="minorHAnsi"/>
          <w:szCs w:val="22"/>
        </w:rPr>
        <w:t xml:space="preserve"> leverage Foundation Services to provide a functional capability to support the delivery of healthcare across Australia.</w:t>
      </w:r>
      <w:r w:rsidR="006C1D66" w:rsidRPr="001B7D5F">
        <w:rPr>
          <w:rFonts w:cstheme="minorHAnsi"/>
          <w:szCs w:val="22"/>
        </w:rPr>
        <w:t xml:space="preserve"> National Services</w:t>
      </w:r>
      <w:r w:rsidR="005F02B8" w:rsidRPr="001B7D5F">
        <w:rPr>
          <w:rFonts w:cstheme="minorHAnsi"/>
          <w:szCs w:val="22"/>
        </w:rPr>
        <w:t xml:space="preserve">, including those not </w:t>
      </w:r>
      <w:r w:rsidR="006C1D66" w:rsidRPr="001B7D5F">
        <w:rPr>
          <w:rFonts w:cstheme="minorHAnsi"/>
          <w:szCs w:val="22"/>
        </w:rPr>
        <w:t>funded through this Agreement</w:t>
      </w:r>
      <w:r w:rsidR="005F02B8" w:rsidRPr="001B7D5F">
        <w:rPr>
          <w:rFonts w:cstheme="minorHAnsi"/>
          <w:szCs w:val="22"/>
        </w:rPr>
        <w:t>,</w:t>
      </w:r>
      <w:r w:rsidR="006C1D66" w:rsidRPr="001B7D5F">
        <w:rPr>
          <w:rFonts w:cstheme="minorHAnsi"/>
          <w:szCs w:val="22"/>
        </w:rPr>
        <w:t xml:space="preserve"> are </w:t>
      </w:r>
      <w:r w:rsidR="00243410" w:rsidRPr="001B7D5F">
        <w:rPr>
          <w:rFonts w:cstheme="minorHAnsi"/>
          <w:szCs w:val="22"/>
        </w:rPr>
        <w:t>defined</w:t>
      </w:r>
      <w:r w:rsidR="006C1D66" w:rsidRPr="001B7D5F">
        <w:rPr>
          <w:rFonts w:cstheme="minorHAnsi"/>
          <w:szCs w:val="22"/>
        </w:rPr>
        <w:t xml:space="preserve"> in Schedule </w:t>
      </w:r>
      <w:r w:rsidR="00BB2E75" w:rsidRPr="001B7D5F">
        <w:rPr>
          <w:rFonts w:cstheme="minorHAnsi"/>
          <w:szCs w:val="22"/>
        </w:rPr>
        <w:t>A</w:t>
      </w:r>
      <w:r w:rsidR="006C1D66" w:rsidRPr="001B7D5F">
        <w:rPr>
          <w:rFonts w:cstheme="minorHAnsi"/>
          <w:szCs w:val="22"/>
        </w:rPr>
        <w:t xml:space="preserve">. </w:t>
      </w:r>
    </w:p>
    <w:p w14:paraId="2725C8B6" w14:textId="026417C0" w:rsidR="00412D47" w:rsidRPr="001B7D5F" w:rsidRDefault="00412D47" w:rsidP="00A70546">
      <w:pPr>
        <w:pStyle w:val="BodyText"/>
        <w:ind w:left="360"/>
        <w:rPr>
          <w:rFonts w:cstheme="minorHAnsi"/>
          <w:szCs w:val="22"/>
        </w:rPr>
      </w:pPr>
      <w:r w:rsidRPr="001B7D5F">
        <w:rPr>
          <w:rFonts w:cstheme="minorHAnsi"/>
          <w:b/>
          <w:bCs/>
          <w:szCs w:val="22"/>
        </w:rPr>
        <w:t xml:space="preserve">‘National Digital Health Strategy’ </w:t>
      </w:r>
      <w:r w:rsidRPr="001B7D5F">
        <w:rPr>
          <w:rFonts w:cstheme="minorHAnsi"/>
          <w:szCs w:val="22"/>
        </w:rPr>
        <w:t xml:space="preserve">means the forward strategy developed by the Australian Digital Health Agency </w:t>
      </w:r>
      <w:r w:rsidR="00AA0143" w:rsidRPr="001B7D5F">
        <w:rPr>
          <w:rFonts w:cstheme="minorHAnsi"/>
          <w:szCs w:val="22"/>
        </w:rPr>
        <w:t>on behalf of all Australian governments to outline the key national priorities for investment and development of digital health in Australia</w:t>
      </w:r>
      <w:r w:rsidRPr="001B7D5F">
        <w:rPr>
          <w:rFonts w:cstheme="minorHAnsi"/>
          <w:szCs w:val="22"/>
        </w:rPr>
        <w:t>.</w:t>
      </w:r>
    </w:p>
    <w:p w14:paraId="6F91B36C" w14:textId="04E603EB" w:rsidR="00412D47" w:rsidRPr="001B7D5F" w:rsidRDefault="00412D47" w:rsidP="00A70546">
      <w:pPr>
        <w:pStyle w:val="BodyText"/>
        <w:ind w:left="360"/>
        <w:rPr>
          <w:rFonts w:cstheme="minorHAnsi"/>
          <w:szCs w:val="22"/>
        </w:rPr>
      </w:pPr>
      <w:r w:rsidRPr="001B7D5F">
        <w:rPr>
          <w:rFonts w:cstheme="minorHAnsi"/>
          <w:b/>
          <w:bCs/>
          <w:szCs w:val="22"/>
        </w:rPr>
        <w:lastRenderedPageBreak/>
        <w:t xml:space="preserve">‘Oversight Committee’ </w:t>
      </w:r>
      <w:r w:rsidRPr="001B7D5F">
        <w:rPr>
          <w:rFonts w:cstheme="minorHAnsi"/>
          <w:szCs w:val="22"/>
        </w:rPr>
        <w:t xml:space="preserve">means the governance group that will </w:t>
      </w:r>
      <w:r w:rsidR="00422523" w:rsidRPr="001B7D5F">
        <w:rPr>
          <w:rFonts w:cstheme="minorHAnsi"/>
          <w:szCs w:val="22"/>
        </w:rPr>
        <w:t xml:space="preserve">oversee the implementation of the Agreement and </w:t>
      </w:r>
      <w:r w:rsidRPr="001B7D5F">
        <w:rPr>
          <w:rFonts w:cstheme="minorHAnsi"/>
          <w:szCs w:val="22"/>
        </w:rPr>
        <w:t xml:space="preserve">provide direction and oversight to the </w:t>
      </w:r>
      <w:r w:rsidR="00F4344C" w:rsidRPr="001B7D5F">
        <w:rPr>
          <w:rFonts w:cstheme="minorHAnsi"/>
          <w:szCs w:val="22"/>
        </w:rPr>
        <w:t>S</w:t>
      </w:r>
      <w:r w:rsidRPr="001B7D5F">
        <w:rPr>
          <w:rFonts w:cstheme="minorHAnsi"/>
          <w:szCs w:val="22"/>
        </w:rPr>
        <w:t xml:space="preserve">ervices and </w:t>
      </w:r>
      <w:r w:rsidR="00F4344C" w:rsidRPr="001B7D5F">
        <w:rPr>
          <w:rFonts w:cstheme="minorHAnsi"/>
          <w:szCs w:val="22"/>
        </w:rPr>
        <w:t>S</w:t>
      </w:r>
      <w:r w:rsidRPr="001B7D5F">
        <w:rPr>
          <w:rFonts w:cstheme="minorHAnsi"/>
          <w:szCs w:val="22"/>
        </w:rPr>
        <w:t xml:space="preserve">trategic </w:t>
      </w:r>
      <w:r w:rsidR="00DB366C" w:rsidRPr="001B7D5F">
        <w:rPr>
          <w:rFonts w:cstheme="minorHAnsi"/>
          <w:szCs w:val="22"/>
        </w:rPr>
        <w:t>Priorit</w:t>
      </w:r>
      <w:r w:rsidR="00DB366C">
        <w:rPr>
          <w:rFonts w:cstheme="minorHAnsi"/>
          <w:szCs w:val="22"/>
        </w:rPr>
        <w:t>y Projects</w:t>
      </w:r>
      <w:r w:rsidR="00DB366C" w:rsidRPr="001B7D5F">
        <w:rPr>
          <w:rFonts w:cstheme="minorHAnsi"/>
          <w:szCs w:val="22"/>
        </w:rPr>
        <w:t xml:space="preserve"> </w:t>
      </w:r>
      <w:r w:rsidRPr="001B7D5F">
        <w:rPr>
          <w:rFonts w:cstheme="minorHAnsi"/>
          <w:szCs w:val="22"/>
        </w:rPr>
        <w:t xml:space="preserve">funded by jurisdictions </w:t>
      </w:r>
      <w:r w:rsidR="00E11F5A" w:rsidRPr="001B7D5F">
        <w:rPr>
          <w:rFonts w:cstheme="minorHAnsi"/>
          <w:szCs w:val="22"/>
        </w:rPr>
        <w:t>under this Agreement</w:t>
      </w:r>
      <w:r w:rsidRPr="001B7D5F">
        <w:rPr>
          <w:rFonts w:cstheme="minorHAnsi"/>
          <w:szCs w:val="22"/>
        </w:rPr>
        <w:t>.</w:t>
      </w:r>
    </w:p>
    <w:p w14:paraId="439D371C" w14:textId="77777777" w:rsidR="00412D47" w:rsidRPr="001B7D5F" w:rsidRDefault="00412D47" w:rsidP="00A70546">
      <w:pPr>
        <w:pStyle w:val="BodyText"/>
        <w:ind w:left="360"/>
        <w:rPr>
          <w:rFonts w:cstheme="minorHAnsi"/>
          <w:b/>
          <w:bCs/>
          <w:szCs w:val="22"/>
        </w:rPr>
      </w:pPr>
      <w:r w:rsidRPr="001B7D5F">
        <w:rPr>
          <w:rFonts w:cstheme="minorHAnsi"/>
          <w:b/>
          <w:bCs/>
          <w:szCs w:val="22"/>
        </w:rPr>
        <w:t xml:space="preserve">‘PGPA Act’ </w:t>
      </w:r>
      <w:r w:rsidRPr="001B7D5F">
        <w:rPr>
          <w:rFonts w:cstheme="minorHAnsi"/>
          <w:szCs w:val="22"/>
        </w:rPr>
        <w:t>means the</w:t>
      </w:r>
      <w:r w:rsidRPr="001B7D5F">
        <w:rPr>
          <w:rFonts w:cstheme="minorHAnsi"/>
          <w:b/>
          <w:bCs/>
          <w:szCs w:val="22"/>
        </w:rPr>
        <w:t xml:space="preserve"> </w:t>
      </w:r>
      <w:r w:rsidRPr="001B7D5F">
        <w:rPr>
          <w:rFonts w:cstheme="minorHAnsi"/>
          <w:i/>
          <w:iCs/>
          <w:szCs w:val="22"/>
          <w:lang w:eastAsia="en-AU"/>
        </w:rPr>
        <w:t>Public Governance Performance and Accountability</w:t>
      </w:r>
      <w:r w:rsidRPr="001B7D5F">
        <w:rPr>
          <w:rFonts w:cstheme="minorHAnsi"/>
          <w:szCs w:val="22"/>
          <w:lang w:eastAsia="en-AU"/>
        </w:rPr>
        <w:t xml:space="preserve"> </w:t>
      </w:r>
      <w:r w:rsidRPr="001B7D5F">
        <w:rPr>
          <w:rFonts w:cstheme="minorHAnsi"/>
          <w:i/>
          <w:iCs/>
          <w:szCs w:val="22"/>
          <w:lang w:eastAsia="en-AU"/>
        </w:rPr>
        <w:t>(PGPA) Act 2013 (Cth)</w:t>
      </w:r>
      <w:r w:rsidRPr="001B7D5F">
        <w:rPr>
          <w:rFonts w:cstheme="minorHAnsi"/>
          <w:szCs w:val="22"/>
          <w:lang w:eastAsia="en-AU"/>
        </w:rPr>
        <w:t>.</w:t>
      </w:r>
    </w:p>
    <w:p w14:paraId="01581733" w14:textId="03194933" w:rsidR="00412D47" w:rsidRPr="001B7D5F" w:rsidRDefault="00412D47" w:rsidP="00A70546">
      <w:pPr>
        <w:pStyle w:val="BodyText"/>
        <w:ind w:left="360"/>
        <w:rPr>
          <w:rFonts w:cstheme="minorHAnsi"/>
          <w:szCs w:val="22"/>
        </w:rPr>
      </w:pPr>
      <w:r w:rsidRPr="001B7D5F">
        <w:rPr>
          <w:rFonts w:cstheme="minorHAnsi"/>
          <w:b/>
          <w:bCs/>
          <w:szCs w:val="22"/>
        </w:rPr>
        <w:t>‘Rule’</w:t>
      </w:r>
      <w:r w:rsidRPr="001B7D5F">
        <w:rPr>
          <w:rFonts w:cstheme="minorHAnsi"/>
          <w:szCs w:val="22"/>
        </w:rPr>
        <w:t xml:space="preserve"> means the </w:t>
      </w:r>
      <w:hyperlink r:id="rId10" w:history="1">
        <w:r w:rsidRPr="001B7D5F">
          <w:rPr>
            <w:rFonts w:cstheme="minorHAnsi"/>
            <w:i/>
            <w:iCs/>
            <w:szCs w:val="22"/>
          </w:rPr>
          <w:t>Public Governance, Performance and Accountability (Establishing the Australian Digital Health Agency) Rule 2016</w:t>
        </w:r>
      </w:hyperlink>
      <w:r w:rsidRPr="001B7D5F">
        <w:rPr>
          <w:rFonts w:cstheme="minorHAnsi"/>
          <w:i/>
          <w:iCs/>
          <w:szCs w:val="22"/>
        </w:rPr>
        <w:t xml:space="preserve"> (Cth)</w:t>
      </w:r>
      <w:r w:rsidR="00E11F5A" w:rsidRPr="001B7D5F">
        <w:rPr>
          <w:rFonts w:cstheme="minorHAnsi"/>
          <w:szCs w:val="22"/>
        </w:rPr>
        <w:t>.</w:t>
      </w:r>
    </w:p>
    <w:p w14:paraId="58745494" w14:textId="0DFF1681" w:rsidR="00783523" w:rsidRPr="001B7D5F" w:rsidRDefault="00783523" w:rsidP="00A70546">
      <w:pPr>
        <w:pStyle w:val="BodyText"/>
        <w:ind w:left="360"/>
        <w:rPr>
          <w:rFonts w:cstheme="minorHAnsi"/>
          <w:b/>
          <w:bCs/>
          <w:szCs w:val="22"/>
        </w:rPr>
      </w:pPr>
      <w:r w:rsidRPr="001B7D5F">
        <w:rPr>
          <w:rFonts w:cstheme="minorHAnsi"/>
          <w:b/>
          <w:bCs/>
          <w:szCs w:val="22"/>
        </w:rPr>
        <w:t xml:space="preserve">‘Secure Messaging’ </w:t>
      </w:r>
      <w:r w:rsidRPr="001B7D5F">
        <w:rPr>
          <w:rFonts w:cstheme="minorHAnsi"/>
          <w:color w:val="000000"/>
          <w:shd w:val="clear" w:color="auto" w:fill="FFFFFF"/>
        </w:rPr>
        <w:t xml:space="preserve">is </w:t>
      </w:r>
      <w:r w:rsidR="00287738">
        <w:rPr>
          <w:rFonts w:cstheme="minorHAnsi"/>
          <w:color w:val="000000"/>
          <w:shd w:val="clear" w:color="auto" w:fill="FFFFFF"/>
        </w:rPr>
        <w:t xml:space="preserve">an ecosystem where any healthcare provider is able to </w:t>
      </w:r>
      <w:r w:rsidR="00DC577E">
        <w:rPr>
          <w:rFonts w:cstheme="minorHAnsi"/>
          <w:color w:val="000000"/>
          <w:shd w:val="clear" w:color="auto" w:fill="FFFFFF"/>
        </w:rPr>
        <w:t xml:space="preserve">send a message securely to another healthcare provider, irrespective of </w:t>
      </w:r>
      <w:r w:rsidR="00C62B0E">
        <w:rPr>
          <w:rFonts w:cstheme="minorHAnsi"/>
          <w:color w:val="000000"/>
          <w:shd w:val="clear" w:color="auto" w:fill="FFFFFF"/>
        </w:rPr>
        <w:t>secure messaging network or clinical information system</w:t>
      </w:r>
      <w:r w:rsidR="00786443" w:rsidRPr="001B7D5F">
        <w:rPr>
          <w:rFonts w:cstheme="minorHAnsi"/>
          <w:color w:val="000000"/>
          <w:shd w:val="clear" w:color="auto" w:fill="FFFFFF"/>
        </w:rPr>
        <w:t xml:space="preserve">. ‘Secure messages’ are sent either directly </w:t>
      </w:r>
      <w:r w:rsidR="002C1571" w:rsidRPr="001B7D5F">
        <w:rPr>
          <w:rFonts w:cstheme="minorHAnsi"/>
          <w:color w:val="000000"/>
          <w:shd w:val="clear" w:color="auto" w:fill="FFFFFF"/>
        </w:rPr>
        <w:t xml:space="preserve">(such as </w:t>
      </w:r>
      <w:r w:rsidR="002D1869" w:rsidRPr="001B7D5F">
        <w:rPr>
          <w:rFonts w:cstheme="minorHAnsi"/>
          <w:color w:val="000000"/>
          <w:shd w:val="clear" w:color="auto" w:fill="FFFFFF"/>
        </w:rPr>
        <w:t xml:space="preserve">via </w:t>
      </w:r>
      <w:r w:rsidR="00B05A97" w:rsidRPr="001B7D5F">
        <w:rPr>
          <w:rFonts w:cstheme="minorHAnsi"/>
          <w:color w:val="000000"/>
          <w:shd w:val="clear" w:color="auto" w:fill="FFFFFF"/>
        </w:rPr>
        <w:t xml:space="preserve">encrypted </w:t>
      </w:r>
      <w:r w:rsidR="002D1869" w:rsidRPr="001B7D5F">
        <w:rPr>
          <w:rFonts w:cstheme="minorHAnsi"/>
          <w:color w:val="000000"/>
          <w:shd w:val="clear" w:color="auto" w:fill="FFFFFF"/>
        </w:rPr>
        <w:t xml:space="preserve">email) </w:t>
      </w:r>
      <w:r w:rsidR="00786443" w:rsidRPr="001B7D5F">
        <w:rPr>
          <w:rFonts w:cstheme="minorHAnsi"/>
          <w:color w:val="000000"/>
          <w:shd w:val="clear" w:color="auto" w:fill="FFFFFF"/>
        </w:rPr>
        <w:t>or through one or more secure messaging provider</w:t>
      </w:r>
      <w:r w:rsidR="00477707" w:rsidRPr="001B7D5F">
        <w:rPr>
          <w:rFonts w:cstheme="minorHAnsi"/>
          <w:color w:val="000000"/>
          <w:shd w:val="clear" w:color="auto" w:fill="FFFFFF"/>
        </w:rPr>
        <w:t>s</w:t>
      </w:r>
      <w:r w:rsidR="00786443" w:rsidRPr="001B7D5F">
        <w:rPr>
          <w:rFonts w:cstheme="minorHAnsi"/>
          <w:color w:val="000000"/>
          <w:shd w:val="clear" w:color="auto" w:fill="FFFFFF"/>
        </w:rPr>
        <w:t xml:space="preserve"> and can be:</w:t>
      </w:r>
      <w:r w:rsidRPr="001B7D5F">
        <w:rPr>
          <w:rFonts w:cstheme="minorHAnsi"/>
          <w:color w:val="000000"/>
          <w:shd w:val="clear" w:color="auto" w:fill="FFFFFF"/>
        </w:rPr>
        <w:t xml:space="preserve"> delivery of </w:t>
      </w:r>
      <w:r w:rsidR="00E51A03" w:rsidRPr="001B7D5F">
        <w:rPr>
          <w:rFonts w:cstheme="minorHAnsi"/>
          <w:color w:val="000000"/>
          <w:shd w:val="clear" w:color="auto" w:fill="FFFFFF"/>
        </w:rPr>
        <w:t xml:space="preserve">a message containing text only, </w:t>
      </w:r>
      <w:r w:rsidR="00786443" w:rsidRPr="001B7D5F">
        <w:rPr>
          <w:rFonts w:cstheme="minorHAnsi"/>
          <w:color w:val="000000"/>
          <w:shd w:val="clear" w:color="auto" w:fill="FFFFFF"/>
        </w:rPr>
        <w:t>stand-alone clinical documents</w:t>
      </w:r>
      <w:r w:rsidR="00E51A03" w:rsidRPr="001B7D5F">
        <w:rPr>
          <w:rFonts w:cstheme="minorHAnsi"/>
          <w:color w:val="000000"/>
          <w:shd w:val="clear" w:color="auto" w:fill="FFFFFF"/>
        </w:rPr>
        <w:t xml:space="preserve"> or</w:t>
      </w:r>
      <w:r w:rsidR="00786443" w:rsidRPr="001B7D5F">
        <w:rPr>
          <w:rFonts w:cstheme="minorHAnsi"/>
          <w:color w:val="000000"/>
          <w:shd w:val="clear" w:color="auto" w:fill="FFFFFF"/>
        </w:rPr>
        <w:t xml:space="preserve"> </w:t>
      </w:r>
      <w:r w:rsidRPr="001B7D5F">
        <w:rPr>
          <w:rFonts w:cstheme="minorHAnsi"/>
          <w:color w:val="000000"/>
          <w:shd w:val="clear" w:color="auto" w:fill="FFFFFF"/>
        </w:rPr>
        <w:t xml:space="preserve">messages containing </w:t>
      </w:r>
      <w:r w:rsidR="00E51A03" w:rsidRPr="001B7D5F">
        <w:rPr>
          <w:rFonts w:cstheme="minorHAnsi"/>
          <w:color w:val="000000"/>
          <w:shd w:val="clear" w:color="auto" w:fill="FFFFFF"/>
        </w:rPr>
        <w:t xml:space="preserve">text and </w:t>
      </w:r>
      <w:r w:rsidRPr="001B7D5F">
        <w:rPr>
          <w:rFonts w:cstheme="minorHAnsi"/>
          <w:color w:val="000000"/>
          <w:shd w:val="clear" w:color="auto" w:fill="FFFFFF"/>
        </w:rPr>
        <w:t>clinical documents.</w:t>
      </w:r>
      <w:r w:rsidR="003813C1" w:rsidRPr="001B7D5F">
        <w:rPr>
          <w:rFonts w:cstheme="minorHAnsi"/>
          <w:color w:val="000000"/>
          <w:shd w:val="clear" w:color="auto" w:fill="FFFFFF"/>
        </w:rPr>
        <w:t xml:space="preserve"> </w:t>
      </w:r>
      <w:r w:rsidR="003813C1" w:rsidRPr="00C62B0E">
        <w:rPr>
          <w:rFonts w:cstheme="minorHAnsi"/>
          <w:color w:val="000000"/>
          <w:shd w:val="clear" w:color="auto" w:fill="FFFFFF"/>
        </w:rPr>
        <w:t>Secure Messaging can be intended to support real-time, conversational information exchange, or asynchronous, store and forward styles of interoperability.</w:t>
      </w:r>
      <w:r w:rsidR="00163026">
        <w:rPr>
          <w:rFonts w:cstheme="minorHAnsi"/>
          <w:color w:val="000000"/>
          <w:shd w:val="clear" w:color="auto" w:fill="FFFFFF"/>
        </w:rPr>
        <w:t xml:space="preserve"> </w:t>
      </w:r>
    </w:p>
    <w:p w14:paraId="2B7EB3D4" w14:textId="629FD605" w:rsidR="00412D47" w:rsidRPr="001B7D5F" w:rsidRDefault="00412D47" w:rsidP="00A70546">
      <w:pPr>
        <w:pStyle w:val="BodyText"/>
        <w:ind w:left="360"/>
        <w:rPr>
          <w:rFonts w:cstheme="minorHAnsi"/>
          <w:b/>
          <w:bCs/>
          <w:i/>
          <w:iCs/>
          <w:szCs w:val="22"/>
        </w:rPr>
      </w:pPr>
      <w:r w:rsidRPr="001B7D5F">
        <w:rPr>
          <w:b/>
          <w:bCs/>
          <w:i/>
          <w:iCs/>
        </w:rPr>
        <w:t>‘</w:t>
      </w:r>
      <w:r w:rsidRPr="001B7D5F">
        <w:rPr>
          <w:b/>
          <w:bCs/>
        </w:rPr>
        <w:t>Specifications’</w:t>
      </w:r>
      <w:r w:rsidRPr="001B7D5F">
        <w:rPr>
          <w:rFonts w:cstheme="minorHAnsi"/>
          <w:b/>
          <w:bCs/>
          <w:i/>
          <w:iCs/>
          <w:szCs w:val="22"/>
        </w:rPr>
        <w:t xml:space="preserve"> </w:t>
      </w:r>
      <w:r w:rsidRPr="001B7D5F">
        <w:rPr>
          <w:rFonts w:cstheme="minorHAnsi"/>
          <w:szCs w:val="22"/>
        </w:rPr>
        <w:t xml:space="preserve">refers to the data and data exchange </w:t>
      </w:r>
      <w:r w:rsidR="00977CFC" w:rsidRPr="001B7D5F">
        <w:rPr>
          <w:rFonts w:cstheme="minorHAnsi"/>
          <w:szCs w:val="22"/>
        </w:rPr>
        <w:t xml:space="preserve">parameters or technical requirements </w:t>
      </w:r>
      <w:r w:rsidRPr="001B7D5F">
        <w:rPr>
          <w:rFonts w:cstheme="minorHAnsi"/>
          <w:szCs w:val="22"/>
        </w:rPr>
        <w:t>created to support integration with a system or service. Specifications are created by an individual organisation or a community of interest, not a standards development organisation, and are therefore not standards.</w:t>
      </w:r>
    </w:p>
    <w:p w14:paraId="36C59D9D" w14:textId="1C08045A" w:rsidR="00412D47" w:rsidRPr="001B7D5F" w:rsidRDefault="00412D47" w:rsidP="00A70546">
      <w:pPr>
        <w:pStyle w:val="BodyText"/>
        <w:ind w:left="360"/>
        <w:rPr>
          <w:bCs/>
        </w:rPr>
      </w:pPr>
      <w:r w:rsidRPr="001B7D5F">
        <w:rPr>
          <w:b/>
          <w:bCs/>
        </w:rPr>
        <w:t>‘Strategic</w:t>
      </w:r>
      <w:r w:rsidRPr="001B7D5F">
        <w:rPr>
          <w:rFonts w:cstheme="minorHAnsi"/>
          <w:b/>
          <w:bCs/>
          <w:szCs w:val="22"/>
        </w:rPr>
        <w:t xml:space="preserve"> Priori</w:t>
      </w:r>
      <w:r w:rsidR="00FD4B01" w:rsidRPr="001B7D5F">
        <w:rPr>
          <w:rFonts w:cstheme="minorHAnsi"/>
          <w:b/>
          <w:bCs/>
          <w:szCs w:val="22"/>
        </w:rPr>
        <w:t>ty Projects</w:t>
      </w:r>
      <w:r w:rsidRPr="001B7D5F">
        <w:rPr>
          <w:rFonts w:cstheme="minorHAnsi"/>
          <w:b/>
          <w:bCs/>
          <w:szCs w:val="22"/>
        </w:rPr>
        <w:t xml:space="preserve">’ </w:t>
      </w:r>
      <w:r w:rsidRPr="001B7D5F">
        <w:rPr>
          <w:rFonts w:cstheme="minorHAnsi"/>
          <w:szCs w:val="22"/>
        </w:rPr>
        <w:t xml:space="preserve">means the priorities agreed by all Parties to be funded through this Agreement and implemented </w:t>
      </w:r>
      <w:r w:rsidR="005C4C79" w:rsidRPr="001B7D5F">
        <w:rPr>
          <w:rFonts w:cstheme="minorHAnsi"/>
          <w:szCs w:val="22"/>
        </w:rPr>
        <w:t xml:space="preserve">by </w:t>
      </w:r>
      <w:r w:rsidR="00051689">
        <w:rPr>
          <w:rFonts w:cstheme="minorHAnsi"/>
          <w:szCs w:val="22"/>
        </w:rPr>
        <w:t>D</w:t>
      </w:r>
      <w:r w:rsidR="00051689" w:rsidRPr="001B7D5F">
        <w:rPr>
          <w:rFonts w:cstheme="minorHAnsi"/>
          <w:szCs w:val="22"/>
        </w:rPr>
        <w:t xml:space="preserve">elivery </w:t>
      </w:r>
      <w:r w:rsidR="00051689">
        <w:rPr>
          <w:rFonts w:cstheme="minorHAnsi"/>
          <w:szCs w:val="22"/>
        </w:rPr>
        <w:t>P</w:t>
      </w:r>
      <w:r w:rsidR="00051689" w:rsidRPr="001B7D5F">
        <w:rPr>
          <w:rFonts w:cstheme="minorHAnsi"/>
          <w:szCs w:val="22"/>
        </w:rPr>
        <w:t xml:space="preserve">artners </w:t>
      </w:r>
      <w:r w:rsidRPr="001B7D5F">
        <w:rPr>
          <w:rFonts w:cstheme="minorHAnsi"/>
          <w:szCs w:val="22"/>
        </w:rPr>
        <w:t xml:space="preserve">in collaboration with the </w:t>
      </w:r>
      <w:r w:rsidRPr="001B7D5F">
        <w:rPr>
          <w:bCs/>
        </w:rPr>
        <w:t xml:space="preserve">Commonwealth, </w:t>
      </w:r>
      <w:r w:rsidR="001D2C9E" w:rsidRPr="001B7D5F">
        <w:rPr>
          <w:bCs/>
        </w:rPr>
        <w:t>s</w:t>
      </w:r>
      <w:r w:rsidRPr="001B7D5F">
        <w:rPr>
          <w:bCs/>
        </w:rPr>
        <w:t xml:space="preserve">tates and </w:t>
      </w:r>
      <w:r w:rsidR="001D2C9E" w:rsidRPr="001B7D5F">
        <w:rPr>
          <w:bCs/>
        </w:rPr>
        <w:t>t</w:t>
      </w:r>
      <w:r w:rsidRPr="001B7D5F">
        <w:rPr>
          <w:bCs/>
        </w:rPr>
        <w:t>erritories to enable implementation of</w:t>
      </w:r>
      <w:r w:rsidR="00F4344C" w:rsidRPr="001B7D5F">
        <w:rPr>
          <w:bCs/>
        </w:rPr>
        <w:t xml:space="preserve"> elements of</w:t>
      </w:r>
      <w:r w:rsidRPr="001B7D5F">
        <w:rPr>
          <w:bCs/>
        </w:rPr>
        <w:t xml:space="preserve"> the National Digital Health Strategy</w:t>
      </w:r>
      <w:r w:rsidR="00E11F5A" w:rsidRPr="001B7D5F">
        <w:rPr>
          <w:bCs/>
        </w:rPr>
        <w:t xml:space="preserve"> and other national priorities as determined by all Parties</w:t>
      </w:r>
      <w:r w:rsidR="00C268AB" w:rsidRPr="001B7D5F">
        <w:rPr>
          <w:bCs/>
        </w:rPr>
        <w:t>.</w:t>
      </w:r>
    </w:p>
    <w:p w14:paraId="563C6DF5" w14:textId="2C86C5B0" w:rsidR="00412D47" w:rsidRPr="001B7D5F" w:rsidRDefault="00412D47" w:rsidP="00A70546">
      <w:pPr>
        <w:pStyle w:val="BodyText"/>
        <w:ind w:left="360"/>
        <w:rPr>
          <w:rFonts w:cstheme="minorHAnsi"/>
          <w:szCs w:val="22"/>
        </w:rPr>
      </w:pPr>
      <w:r w:rsidRPr="001B7D5F">
        <w:rPr>
          <w:b/>
          <w:bCs/>
        </w:rPr>
        <w:t xml:space="preserve">‘Strategy </w:t>
      </w:r>
      <w:r w:rsidR="00E11F5A" w:rsidRPr="001B7D5F">
        <w:rPr>
          <w:b/>
          <w:bCs/>
        </w:rPr>
        <w:t>Delivery</w:t>
      </w:r>
      <w:r w:rsidRPr="001B7D5F">
        <w:rPr>
          <w:b/>
          <w:bCs/>
        </w:rPr>
        <w:t xml:space="preserve"> Roadmap’ </w:t>
      </w:r>
      <w:r w:rsidRPr="001B7D5F">
        <w:t xml:space="preserve">means the </w:t>
      </w:r>
      <w:r w:rsidR="00E11F5A" w:rsidRPr="001B7D5F">
        <w:t>Roadmap that will provide guidance on the key initiatives</w:t>
      </w:r>
      <w:r w:rsidRPr="001B7D5F">
        <w:t xml:space="preserve"> </w:t>
      </w:r>
      <w:r w:rsidR="007F3901" w:rsidRPr="001B7D5F">
        <w:t>required to implement</w:t>
      </w:r>
      <w:r w:rsidRPr="001B7D5F">
        <w:t xml:space="preserve"> the National Digital Health Strategy</w:t>
      </w:r>
      <w:r w:rsidR="00150D3C" w:rsidRPr="001B7D5F">
        <w:t>.</w:t>
      </w:r>
      <w:r w:rsidR="00B44226" w:rsidRPr="001B7D5F">
        <w:t xml:space="preserve"> </w:t>
      </w:r>
    </w:p>
    <w:p w14:paraId="675330F6" w14:textId="4C3AE1F4" w:rsidR="00412D47" w:rsidRPr="001B7D5F" w:rsidRDefault="00412D47" w:rsidP="00A70546">
      <w:pPr>
        <w:pStyle w:val="BodyText"/>
        <w:ind w:left="360"/>
        <w:rPr>
          <w:rFonts w:cstheme="minorHAnsi"/>
          <w:szCs w:val="22"/>
        </w:rPr>
      </w:pPr>
      <w:r w:rsidRPr="001B7D5F">
        <w:rPr>
          <w:b/>
          <w:bCs/>
        </w:rPr>
        <w:t xml:space="preserve">‘Terminology’ </w:t>
      </w:r>
      <w:r w:rsidRPr="001B7D5F">
        <w:t xml:space="preserve">means </w:t>
      </w:r>
      <w:r w:rsidRPr="001B7D5F">
        <w:rPr>
          <w:rFonts w:cstheme="minorHAnsi"/>
          <w:szCs w:val="22"/>
        </w:rPr>
        <w:t xml:space="preserve">the </w:t>
      </w:r>
      <w:r w:rsidR="00D32C4E" w:rsidRPr="001B7D5F">
        <w:rPr>
          <w:rFonts w:cstheme="minorHAnsi"/>
          <w:szCs w:val="22"/>
        </w:rPr>
        <w:t xml:space="preserve">agreed code sets or agreed nomenclature to </w:t>
      </w:r>
      <w:r w:rsidR="000D1349" w:rsidRPr="001B7D5F">
        <w:rPr>
          <w:rFonts w:cstheme="minorHAnsi"/>
          <w:szCs w:val="22"/>
        </w:rPr>
        <w:t>allow</w:t>
      </w:r>
      <w:r w:rsidRPr="001B7D5F">
        <w:rPr>
          <w:rFonts w:cstheme="minorHAnsi"/>
          <w:szCs w:val="22"/>
        </w:rPr>
        <w:t xml:space="preserve"> map</w:t>
      </w:r>
      <w:r w:rsidR="000D1349" w:rsidRPr="001B7D5F">
        <w:rPr>
          <w:rFonts w:cstheme="minorHAnsi"/>
          <w:szCs w:val="22"/>
        </w:rPr>
        <w:t>ping</w:t>
      </w:r>
      <w:r w:rsidRPr="001B7D5F">
        <w:rPr>
          <w:rFonts w:cstheme="minorHAnsi"/>
          <w:szCs w:val="22"/>
        </w:rPr>
        <w:t xml:space="preserve"> between code sets and to provide ‘translations’ to conform with standardised data formats for sharing information between systems.</w:t>
      </w:r>
    </w:p>
    <w:p w14:paraId="3DB54C4B" w14:textId="68451F9F" w:rsidR="002B14ED" w:rsidRPr="001B7D5F" w:rsidRDefault="00412D47" w:rsidP="00FE6209">
      <w:pPr>
        <w:pStyle w:val="BodyText"/>
        <w:ind w:left="360"/>
        <w:rPr>
          <w:rFonts w:asciiTheme="majorHAnsi" w:eastAsiaTheme="majorEastAsia" w:hAnsiTheme="majorHAnsi" w:cstheme="majorBidi"/>
          <w:b/>
          <w:color w:val="014463" w:themeColor="text2"/>
          <w:sz w:val="40"/>
          <w:szCs w:val="40"/>
        </w:rPr>
      </w:pPr>
      <w:r w:rsidRPr="001B7D5F">
        <w:rPr>
          <w:b/>
          <w:bCs/>
        </w:rPr>
        <w:t>‘Work P</w:t>
      </w:r>
      <w:r w:rsidR="00E11F5A" w:rsidRPr="001B7D5F">
        <w:rPr>
          <w:b/>
          <w:bCs/>
        </w:rPr>
        <w:t>lan</w:t>
      </w:r>
      <w:r w:rsidRPr="001B7D5F">
        <w:rPr>
          <w:b/>
          <w:bCs/>
        </w:rPr>
        <w:t xml:space="preserve">’ </w:t>
      </w:r>
      <w:r w:rsidR="00E11F5A" w:rsidRPr="001B7D5F">
        <w:t>has the same meaning as ‘national digital health work program’ under the Rule</w:t>
      </w:r>
      <w:r w:rsidRPr="001B7D5F">
        <w:t>.</w:t>
      </w:r>
      <w:r w:rsidR="00E11F5A" w:rsidRPr="001B7D5F">
        <w:t xml:space="preserve"> The Work Plan will define implementation activities to support delivery of the Strategy Delivery Roadmap</w:t>
      </w:r>
      <w:r w:rsidR="007F5435" w:rsidRPr="001B7D5F">
        <w:t xml:space="preserve"> and National Digital Health Strategy.</w:t>
      </w:r>
    </w:p>
    <w:p w14:paraId="0F2E8ABF" w14:textId="7F45E1EB" w:rsidR="002D6292" w:rsidRPr="001B7D5F" w:rsidRDefault="147AF4C8" w:rsidP="00FE6209">
      <w:pPr>
        <w:pStyle w:val="Heading2"/>
        <w:pageBreakBefore/>
        <w:ind w:left="567" w:hanging="567"/>
      </w:pPr>
      <w:bookmarkStart w:id="8" w:name="_Toc118357349"/>
      <w:bookmarkStart w:id="9" w:name="_Toc422725741"/>
      <w:r w:rsidRPr="001B7D5F">
        <w:lastRenderedPageBreak/>
        <w:t xml:space="preserve">2. </w:t>
      </w:r>
      <w:r w:rsidR="2F2AAC14" w:rsidRPr="001B7D5F">
        <w:t>Preliminaries</w:t>
      </w:r>
      <w:bookmarkEnd w:id="8"/>
      <w:bookmarkEnd w:id="9"/>
    </w:p>
    <w:p w14:paraId="22AE39FF" w14:textId="55B89EEF" w:rsidR="002C4417" w:rsidRPr="001B7D5F" w:rsidRDefault="0061263C" w:rsidP="00A70546">
      <w:pPr>
        <w:pStyle w:val="BodyText"/>
        <w:numPr>
          <w:ilvl w:val="1"/>
          <w:numId w:val="14"/>
        </w:numPr>
        <w:ind w:left="567" w:hanging="567"/>
      </w:pPr>
      <w:r w:rsidRPr="001B7D5F">
        <w:t>This</w:t>
      </w:r>
      <w:r w:rsidR="00AD4A03" w:rsidRPr="001B7D5F">
        <w:t xml:space="preserve"> Agreement </w:t>
      </w:r>
      <w:r w:rsidR="00B64E19" w:rsidRPr="001B7D5F">
        <w:t>replaces the</w:t>
      </w:r>
      <w:r w:rsidR="00AD4A03" w:rsidRPr="001B7D5F">
        <w:t xml:space="preserve"> previous </w:t>
      </w:r>
      <w:r w:rsidR="00AD4A03" w:rsidRPr="001B7D5F">
        <w:rPr>
          <w:i/>
          <w:iCs/>
        </w:rPr>
        <w:t>Intergovernmental Agreement on National Digital Health</w:t>
      </w:r>
      <w:r w:rsidR="00AD4A03" w:rsidRPr="001B7D5F">
        <w:t xml:space="preserve"> </w:t>
      </w:r>
      <w:r w:rsidR="00B44226" w:rsidRPr="001B7D5F">
        <w:t>and</w:t>
      </w:r>
      <w:r w:rsidR="00B64E19" w:rsidRPr="001B7D5F">
        <w:t xml:space="preserve"> buil</w:t>
      </w:r>
      <w:r w:rsidR="00B44226" w:rsidRPr="001B7D5F">
        <w:t>d</w:t>
      </w:r>
      <w:r w:rsidR="00C93388" w:rsidRPr="001B7D5F">
        <w:t>s</w:t>
      </w:r>
      <w:r w:rsidR="00B64E19" w:rsidRPr="001B7D5F">
        <w:t xml:space="preserve"> on</w:t>
      </w:r>
      <w:r w:rsidR="00AD4A03" w:rsidRPr="001B7D5F">
        <w:t xml:space="preserve"> </w:t>
      </w:r>
      <w:r w:rsidR="007F3901" w:rsidRPr="001B7D5F">
        <w:t>successive</w:t>
      </w:r>
      <w:r w:rsidR="00B64E19" w:rsidRPr="001B7D5F">
        <w:t xml:space="preserve"> joint</w:t>
      </w:r>
      <w:r w:rsidR="007F3901" w:rsidRPr="001B7D5F">
        <w:t xml:space="preserve"> </w:t>
      </w:r>
      <w:r w:rsidR="00B64E19" w:rsidRPr="001B7D5F">
        <w:t xml:space="preserve">funding arrangements </w:t>
      </w:r>
      <w:r w:rsidR="007762B5" w:rsidRPr="001B7D5F">
        <w:t>since 2005</w:t>
      </w:r>
      <w:r w:rsidR="00B44226" w:rsidRPr="001B7D5F">
        <w:t xml:space="preserve">, reflecting the ongoing commitment </w:t>
      </w:r>
      <w:r w:rsidR="005C4C79" w:rsidRPr="001B7D5F">
        <w:t>by the Australia</w:t>
      </w:r>
      <w:r w:rsidR="00A13E08" w:rsidRPr="001B7D5F">
        <w:t>n, State and Territory Governments</w:t>
      </w:r>
      <w:r w:rsidR="00B44226" w:rsidRPr="001B7D5F">
        <w:t xml:space="preserve"> to digital health reform to improve the health and wellbeing of Australians.</w:t>
      </w:r>
      <w:r w:rsidR="007762B5" w:rsidRPr="001B7D5F">
        <w:t xml:space="preserve"> </w:t>
      </w:r>
    </w:p>
    <w:p w14:paraId="21665565" w14:textId="1787476A" w:rsidR="008B1408" w:rsidRPr="001B7D5F" w:rsidRDefault="007762B5" w:rsidP="00A70546">
      <w:pPr>
        <w:pStyle w:val="BodyText"/>
        <w:numPr>
          <w:ilvl w:val="1"/>
          <w:numId w:val="14"/>
        </w:numPr>
        <w:ind w:left="567" w:hanging="567"/>
      </w:pPr>
      <w:r w:rsidRPr="001B7D5F">
        <w:t>This Agreement focuse</w:t>
      </w:r>
      <w:r w:rsidR="00D67BB3" w:rsidRPr="001B7D5F">
        <w:t>s</w:t>
      </w:r>
      <w:r w:rsidRPr="001B7D5F">
        <w:t xml:space="preserve"> on enabling interoperability and the flow of data across care settings to support high quality care and </w:t>
      </w:r>
      <w:r w:rsidR="005B0593" w:rsidRPr="001B7D5F">
        <w:t>the</w:t>
      </w:r>
      <w:r w:rsidRPr="001B7D5F">
        <w:t xml:space="preserve"> efficiency, effectiveness and sustainability of the health system.</w:t>
      </w:r>
      <w:r w:rsidRPr="001B7D5F" w:rsidDel="007762B5">
        <w:t xml:space="preserve"> </w:t>
      </w:r>
      <w:bookmarkStart w:id="10" w:name="_Hlk124258105"/>
      <w:r w:rsidR="003E2EE2" w:rsidRPr="005E18C6">
        <w:t xml:space="preserve">This will be achieved through the development of options for national architecture and a roadmap to </w:t>
      </w:r>
      <w:r w:rsidR="003E2EE2" w:rsidRPr="00DC450B">
        <w:t>enable health information to be shared across the healthcare system, including connections for My Health Record</w:t>
      </w:r>
      <w:r w:rsidR="004D0699" w:rsidRPr="00DC450B">
        <w:t xml:space="preserve">. </w:t>
      </w:r>
      <w:r w:rsidR="00442759" w:rsidRPr="00DC450B">
        <w:t>This work will</w:t>
      </w:r>
      <w:r w:rsidR="002A50C9" w:rsidRPr="00DC450B">
        <w:t xml:space="preserve"> inform </w:t>
      </w:r>
      <w:r w:rsidR="00442759" w:rsidRPr="00DC450B">
        <w:t xml:space="preserve">future decisions about </w:t>
      </w:r>
      <w:r w:rsidR="002A50C9" w:rsidRPr="00DC450B">
        <w:t>collective investment</w:t>
      </w:r>
      <w:r w:rsidR="00442759" w:rsidRPr="00DC450B">
        <w:t xml:space="preserve"> to realise a capability where a </w:t>
      </w:r>
      <w:r w:rsidR="005215BC" w:rsidRPr="00DC450B">
        <w:t xml:space="preserve">consumer’s </w:t>
      </w:r>
      <w:r w:rsidR="00442759" w:rsidRPr="00DC450B">
        <w:t xml:space="preserve">health information </w:t>
      </w:r>
      <w:r w:rsidR="0080589B" w:rsidRPr="00DC450B">
        <w:t>can</w:t>
      </w:r>
      <w:r w:rsidR="00442759" w:rsidRPr="00DC450B">
        <w:t xml:space="preserve"> be</w:t>
      </w:r>
      <w:r w:rsidR="001D2C9E" w:rsidRPr="00DC450B">
        <w:t xml:space="preserve"> securely and</w:t>
      </w:r>
      <w:r w:rsidR="00442759" w:rsidRPr="00DC450B">
        <w:t xml:space="preserve"> easily shared and </w:t>
      </w:r>
      <w:r w:rsidR="008B7FD8" w:rsidRPr="00DC450B">
        <w:t xml:space="preserve">accessed </w:t>
      </w:r>
      <w:r w:rsidR="0014430B" w:rsidRPr="00DC450B">
        <w:t>when and where required</w:t>
      </w:r>
      <w:r w:rsidR="002A50C9" w:rsidRPr="00DC450B">
        <w:t>.</w:t>
      </w:r>
      <w:r w:rsidR="008B1408" w:rsidRPr="00DC450B">
        <w:t xml:space="preserve"> </w:t>
      </w:r>
    </w:p>
    <w:p w14:paraId="55F9E359" w14:textId="06290024" w:rsidR="005B0593" w:rsidRPr="001B7D5F" w:rsidRDefault="00D76AD6" w:rsidP="00A70546">
      <w:pPr>
        <w:pStyle w:val="BodyText"/>
        <w:numPr>
          <w:ilvl w:val="1"/>
          <w:numId w:val="14"/>
        </w:numPr>
        <w:ind w:left="567" w:hanging="567"/>
      </w:pPr>
      <w:r w:rsidRPr="001B7D5F">
        <w:t xml:space="preserve">The </w:t>
      </w:r>
      <w:r w:rsidR="00E21543" w:rsidRPr="001B7D5F">
        <w:t>F</w:t>
      </w:r>
      <w:r w:rsidR="00800624" w:rsidRPr="001B7D5F">
        <w:t xml:space="preserve">oundation </w:t>
      </w:r>
      <w:r w:rsidR="00E21543" w:rsidRPr="001B7D5F">
        <w:t xml:space="preserve">Services </w:t>
      </w:r>
      <w:r w:rsidR="00800624" w:rsidRPr="001B7D5F">
        <w:t xml:space="preserve">and </w:t>
      </w:r>
      <w:r w:rsidR="00E21543" w:rsidRPr="001B7D5F">
        <w:t>N</w:t>
      </w:r>
      <w:r w:rsidR="00800624" w:rsidRPr="001B7D5F">
        <w:t xml:space="preserve">ational </w:t>
      </w:r>
      <w:r w:rsidR="00E21543" w:rsidRPr="001B7D5F">
        <w:t>S</w:t>
      </w:r>
      <w:r w:rsidR="00800624" w:rsidRPr="001B7D5F">
        <w:t xml:space="preserve">ervices funded </w:t>
      </w:r>
      <w:r w:rsidR="00550704" w:rsidRPr="001B7D5F">
        <w:t xml:space="preserve">under the Agreement </w:t>
      </w:r>
      <w:r w:rsidR="00800624" w:rsidRPr="001B7D5F">
        <w:t>are critical to enabling real</w:t>
      </w:r>
      <w:r w:rsidR="003110C7" w:rsidRPr="001B7D5F">
        <w:t>-</w:t>
      </w:r>
      <w:r w:rsidR="00800624" w:rsidRPr="001B7D5F">
        <w:t xml:space="preserve">time information sharing that </w:t>
      </w:r>
      <w:r w:rsidR="00484ACC" w:rsidRPr="001B7D5F">
        <w:t xml:space="preserve">is core to improving integration of services across the health system and placing </w:t>
      </w:r>
      <w:r w:rsidR="009A6B72" w:rsidRPr="001B7D5F">
        <w:t xml:space="preserve">consumers </w:t>
      </w:r>
      <w:r w:rsidR="00484ACC" w:rsidRPr="001B7D5F">
        <w:t>at the centre of their care</w:t>
      </w:r>
      <w:r w:rsidR="00A12DF8" w:rsidRPr="001B7D5F">
        <w:t xml:space="preserve">. </w:t>
      </w:r>
      <w:bookmarkEnd w:id="10"/>
    </w:p>
    <w:p w14:paraId="27FFEFD2" w14:textId="7A9BC4D6" w:rsidR="005362A2" w:rsidRPr="001B7D5F" w:rsidRDefault="002C4417" w:rsidP="00A70546">
      <w:pPr>
        <w:pStyle w:val="BodyText"/>
        <w:numPr>
          <w:ilvl w:val="1"/>
          <w:numId w:val="14"/>
        </w:numPr>
        <w:ind w:left="567" w:hanging="567"/>
      </w:pPr>
      <w:r w:rsidRPr="001B7D5F">
        <w:t>S</w:t>
      </w:r>
      <w:r w:rsidR="00A12DF8" w:rsidRPr="001B7D5F">
        <w:t xml:space="preserve">trategic </w:t>
      </w:r>
      <w:r w:rsidR="00645424" w:rsidRPr="001B7D5F">
        <w:t>Priorit</w:t>
      </w:r>
      <w:r w:rsidR="00051689">
        <w:t>y Projects</w:t>
      </w:r>
      <w:r w:rsidR="00A12DF8" w:rsidRPr="001B7D5F">
        <w:t xml:space="preserve"> that </w:t>
      </w:r>
      <w:r w:rsidR="00C82912" w:rsidRPr="001B7D5F">
        <w:t>are</w:t>
      </w:r>
      <w:r w:rsidR="005362A2" w:rsidRPr="001B7D5F">
        <w:t xml:space="preserve"> funded under this </w:t>
      </w:r>
      <w:r w:rsidR="00E21543" w:rsidRPr="001B7D5F">
        <w:t>A</w:t>
      </w:r>
      <w:r w:rsidR="005362A2" w:rsidRPr="001B7D5F">
        <w:t xml:space="preserve">greement </w:t>
      </w:r>
      <w:r w:rsidR="000A2CBB" w:rsidRPr="001B7D5F">
        <w:t xml:space="preserve">will be focused on </w:t>
      </w:r>
      <w:r w:rsidR="006D37ED" w:rsidRPr="001B7D5F">
        <w:t xml:space="preserve">supporting </w:t>
      </w:r>
      <w:r w:rsidR="00037449" w:rsidRPr="001B7D5F">
        <w:t xml:space="preserve">consumers </w:t>
      </w:r>
      <w:r w:rsidR="006D37ED" w:rsidRPr="001B7D5F">
        <w:t>as they move between care settings</w:t>
      </w:r>
      <w:r w:rsidR="00B3457A" w:rsidRPr="001B7D5F">
        <w:t>,</w:t>
      </w:r>
      <w:r w:rsidR="0067039F" w:rsidRPr="001B7D5F">
        <w:t xml:space="preserve"> ensuring that their health information follows </w:t>
      </w:r>
      <w:r w:rsidR="00B3457A" w:rsidRPr="001B7D5F">
        <w:t xml:space="preserve">them </w:t>
      </w:r>
      <w:r w:rsidR="0067039F" w:rsidRPr="001B7D5F">
        <w:t>through th</w:t>
      </w:r>
      <w:r w:rsidR="0080589B" w:rsidRPr="001B7D5F">
        <w:t xml:space="preserve">eir health </w:t>
      </w:r>
      <w:r w:rsidR="0067039F" w:rsidRPr="001B7D5F">
        <w:t>journey</w:t>
      </w:r>
      <w:r w:rsidR="00B44226" w:rsidRPr="001B7D5F">
        <w:t xml:space="preserve"> to support safe</w:t>
      </w:r>
      <w:r w:rsidR="003110C7" w:rsidRPr="001B7D5F">
        <w:t xml:space="preserve"> and high-quality care</w:t>
      </w:r>
      <w:r w:rsidR="0067039F" w:rsidRPr="001B7D5F">
        <w:t xml:space="preserve">. </w:t>
      </w:r>
      <w:r w:rsidR="00791559" w:rsidRPr="001B7D5F">
        <w:t xml:space="preserve">Standards and terminologies </w:t>
      </w:r>
      <w:r w:rsidR="006B7AD3" w:rsidRPr="001B7D5F">
        <w:t>funded by the Agreement will ensure that</w:t>
      </w:r>
      <w:r w:rsidR="00A13E08" w:rsidRPr="001B7D5F">
        <w:t xml:space="preserve"> </w:t>
      </w:r>
      <w:r w:rsidR="004B3D1C" w:rsidRPr="001B7D5F">
        <w:t xml:space="preserve">this </w:t>
      </w:r>
      <w:r w:rsidR="00A13E08" w:rsidRPr="001B7D5F">
        <w:t>health</w:t>
      </w:r>
      <w:r w:rsidR="006B7AD3" w:rsidRPr="001B7D5F">
        <w:t xml:space="preserve"> information is </w:t>
      </w:r>
      <w:r w:rsidR="001A0055" w:rsidRPr="001B7D5F">
        <w:t xml:space="preserve">consistent and high quality to support </w:t>
      </w:r>
      <w:r w:rsidR="004B3D1C" w:rsidRPr="001B7D5F">
        <w:t>quality care, drive best practice and</w:t>
      </w:r>
      <w:r w:rsidR="00566C00" w:rsidRPr="001B7D5F">
        <w:t xml:space="preserve"> support </w:t>
      </w:r>
      <w:r w:rsidR="001A0055" w:rsidRPr="001B7D5F">
        <w:t>research</w:t>
      </w:r>
      <w:r w:rsidR="00BE3857" w:rsidRPr="001B7D5F">
        <w:t>,</w:t>
      </w:r>
      <w:r w:rsidR="006D37ED" w:rsidRPr="001B7D5F">
        <w:t xml:space="preserve"> </w:t>
      </w:r>
      <w:r w:rsidR="00BE3857" w:rsidRPr="001B7D5F">
        <w:t>supporting</w:t>
      </w:r>
      <w:r w:rsidR="005362A2" w:rsidRPr="001B7D5F">
        <w:t xml:space="preserve"> the objectives and priorities of the National Health Reform Agreement.  </w:t>
      </w:r>
    </w:p>
    <w:p w14:paraId="754786DB" w14:textId="2EB0E011" w:rsidR="00D93C88" w:rsidRPr="001B7D5F" w:rsidRDefault="007B3AD2" w:rsidP="00A70546">
      <w:pPr>
        <w:pStyle w:val="BodyText"/>
        <w:numPr>
          <w:ilvl w:val="1"/>
          <w:numId w:val="14"/>
        </w:numPr>
        <w:ind w:left="567" w:hanging="567"/>
      </w:pPr>
      <w:r w:rsidRPr="001B7D5F">
        <w:t xml:space="preserve">The Agreement provides a framework for all governments to work together </w:t>
      </w:r>
      <w:r w:rsidR="00D93C88" w:rsidRPr="001B7D5F">
        <w:t xml:space="preserve">to </w:t>
      </w:r>
      <w:r w:rsidR="004A1996" w:rsidRPr="001B7D5F">
        <w:t>drive connectivity across all care settings and borders to deliver</w:t>
      </w:r>
      <w:r w:rsidRPr="001B7D5F">
        <w:t xml:space="preserve"> more personalised</w:t>
      </w:r>
      <w:r w:rsidR="004A1996" w:rsidRPr="001B7D5F">
        <w:t xml:space="preserve"> </w:t>
      </w:r>
      <w:r w:rsidR="003110C7" w:rsidRPr="001B7D5F">
        <w:t xml:space="preserve">holistic </w:t>
      </w:r>
      <w:r w:rsidRPr="001B7D5F">
        <w:t>care and better health and wellbeing outcomes for all Australians</w:t>
      </w:r>
      <w:r w:rsidR="004A1996" w:rsidRPr="001B7D5F">
        <w:t>.</w:t>
      </w:r>
    </w:p>
    <w:p w14:paraId="1AE58031" w14:textId="25926CB3" w:rsidR="00AD4A03" w:rsidRPr="001B7D5F" w:rsidRDefault="00AD4A03" w:rsidP="00A70546">
      <w:pPr>
        <w:pStyle w:val="BodyText"/>
        <w:numPr>
          <w:ilvl w:val="1"/>
          <w:numId w:val="14"/>
        </w:numPr>
        <w:ind w:left="567" w:hanging="567"/>
      </w:pPr>
      <w:r w:rsidRPr="001B7D5F">
        <w:t xml:space="preserve">In entering into this Agreement, all Parties commit to </w:t>
      </w:r>
      <w:r w:rsidR="00311206" w:rsidRPr="001B7D5F">
        <w:t xml:space="preserve">the change and adoption required to drive </w:t>
      </w:r>
      <w:r w:rsidR="007668A6" w:rsidRPr="001B7D5F">
        <w:t>reform</w:t>
      </w:r>
      <w:r w:rsidR="00311206" w:rsidRPr="001B7D5F">
        <w:t xml:space="preserve"> and deliver </w:t>
      </w:r>
      <w:r w:rsidR="003110C7" w:rsidRPr="001B7D5F">
        <w:t xml:space="preserve">an </w:t>
      </w:r>
      <w:r w:rsidRPr="001B7D5F">
        <w:t xml:space="preserve">interoperable health system. The Parties also commit to working together to enable the real-time sharing of </w:t>
      </w:r>
      <w:r w:rsidR="007E76A3" w:rsidRPr="001B7D5F">
        <w:t>health</w:t>
      </w:r>
      <w:r w:rsidRPr="001B7D5F">
        <w:t xml:space="preserve"> information to support healthcare providers’ </w:t>
      </w:r>
      <w:r w:rsidR="0080589B" w:rsidRPr="001B7D5F">
        <w:t>clinical decision</w:t>
      </w:r>
      <w:r w:rsidR="00461134" w:rsidRPr="001B7D5F">
        <w:t>-</w:t>
      </w:r>
      <w:r w:rsidR="0080589B" w:rsidRPr="001B7D5F">
        <w:t xml:space="preserve">making </w:t>
      </w:r>
      <w:r w:rsidRPr="001B7D5F">
        <w:t xml:space="preserve">ability </w:t>
      </w:r>
      <w:r w:rsidR="0080589B" w:rsidRPr="001B7D5F">
        <w:t>and</w:t>
      </w:r>
      <w:r w:rsidRPr="001B7D5F">
        <w:t xml:space="preserve"> facilitate information </w:t>
      </w:r>
      <w:r w:rsidR="006A53F2" w:rsidRPr="001B7D5F">
        <w:t xml:space="preserve">sharing </w:t>
      </w:r>
      <w:r w:rsidRPr="001B7D5F">
        <w:t>across</w:t>
      </w:r>
      <w:r w:rsidR="00094633" w:rsidRPr="001B7D5F">
        <w:t xml:space="preserve"> care settings throughout a patient’s</w:t>
      </w:r>
      <w:r w:rsidRPr="001B7D5F">
        <w:t xml:space="preserve"> </w:t>
      </w:r>
      <w:r w:rsidR="0080589B" w:rsidRPr="001B7D5F">
        <w:t xml:space="preserve">health </w:t>
      </w:r>
      <w:r w:rsidRPr="001B7D5F">
        <w:t>care journey, minimis</w:t>
      </w:r>
      <w:r w:rsidR="00094633" w:rsidRPr="001B7D5F">
        <w:t>ing</w:t>
      </w:r>
      <w:r w:rsidRPr="001B7D5F">
        <w:t xml:space="preserve"> the pressure on hospitals and support</w:t>
      </w:r>
      <w:r w:rsidR="00094633" w:rsidRPr="001B7D5F">
        <w:t>ing</w:t>
      </w:r>
      <w:r w:rsidRPr="001B7D5F">
        <w:t xml:space="preserve"> </w:t>
      </w:r>
      <w:r w:rsidR="007E76A3" w:rsidRPr="001B7D5F">
        <w:t>Australia’s health reform objectives</w:t>
      </w:r>
      <w:r w:rsidRPr="001B7D5F">
        <w:t>.</w:t>
      </w:r>
      <w:r w:rsidR="00110CF9" w:rsidRPr="001B7D5F">
        <w:t xml:space="preserve"> </w:t>
      </w:r>
      <w:r w:rsidR="000F794A" w:rsidRPr="001B7D5F">
        <w:t>This outcome will be enabled through the work of the Agency</w:t>
      </w:r>
      <w:r w:rsidR="001D2C9E" w:rsidRPr="001B7D5F">
        <w:t>,</w:t>
      </w:r>
      <w:r w:rsidR="0061267F" w:rsidRPr="001B7D5F">
        <w:t xml:space="preserve"> other Delivery Partners</w:t>
      </w:r>
      <w:r w:rsidR="000F794A" w:rsidRPr="001B7D5F">
        <w:t xml:space="preserve"> and the collective efforts of </w:t>
      </w:r>
      <w:r w:rsidR="0061267F" w:rsidRPr="001B7D5F">
        <w:t>all Parties.</w:t>
      </w:r>
    </w:p>
    <w:p w14:paraId="466D0AB1" w14:textId="44DB4545" w:rsidR="0003767B" w:rsidRPr="001B7D5F" w:rsidRDefault="000F794A" w:rsidP="00A70546">
      <w:pPr>
        <w:pStyle w:val="BodyText"/>
        <w:numPr>
          <w:ilvl w:val="1"/>
          <w:numId w:val="14"/>
        </w:numPr>
        <w:ind w:left="567" w:hanging="567"/>
      </w:pPr>
      <w:r w:rsidRPr="001B7D5F">
        <w:t>To this end, t</w:t>
      </w:r>
      <w:r w:rsidR="003701D5" w:rsidRPr="001B7D5F">
        <w:t>he</w:t>
      </w:r>
      <w:r w:rsidR="004A1996" w:rsidRPr="001B7D5F">
        <w:t xml:space="preserve"> Parties commit to shared funding to support the delivery of </w:t>
      </w:r>
      <w:r w:rsidR="001822E3" w:rsidRPr="001B7D5F">
        <w:t>F</w:t>
      </w:r>
      <w:r w:rsidR="00F62E53" w:rsidRPr="001B7D5F">
        <w:t xml:space="preserve">oundation </w:t>
      </w:r>
      <w:r w:rsidR="001822E3" w:rsidRPr="001B7D5F">
        <w:t>S</w:t>
      </w:r>
      <w:r w:rsidR="00F62E53" w:rsidRPr="001B7D5F">
        <w:t xml:space="preserve">ervices </w:t>
      </w:r>
      <w:r w:rsidR="004A1996" w:rsidRPr="001B7D5F">
        <w:t xml:space="preserve">and </w:t>
      </w:r>
      <w:r w:rsidR="001822E3" w:rsidRPr="001B7D5F">
        <w:t>N</w:t>
      </w:r>
      <w:r w:rsidR="00F62E53" w:rsidRPr="001B7D5F">
        <w:t xml:space="preserve">ational </w:t>
      </w:r>
      <w:r w:rsidR="001822E3" w:rsidRPr="001B7D5F">
        <w:t>S</w:t>
      </w:r>
      <w:r w:rsidR="004A1996" w:rsidRPr="001B7D5F">
        <w:t>ervices progressed under this Agreement</w:t>
      </w:r>
      <w:r w:rsidR="00F61F5C" w:rsidRPr="001B7D5F">
        <w:t xml:space="preserve">, as well as </w:t>
      </w:r>
      <w:r w:rsidR="001822E3" w:rsidRPr="001B7D5F">
        <w:t>S</w:t>
      </w:r>
      <w:r w:rsidR="00F61F5C" w:rsidRPr="001B7D5F">
        <w:t xml:space="preserve">trategic </w:t>
      </w:r>
      <w:r w:rsidR="001822E3" w:rsidRPr="001B7D5F">
        <w:t>P</w:t>
      </w:r>
      <w:r w:rsidR="00F61F5C" w:rsidRPr="001B7D5F">
        <w:t>r</w:t>
      </w:r>
      <w:r w:rsidR="00B25242" w:rsidRPr="001B7D5F">
        <w:t>iorit</w:t>
      </w:r>
      <w:r w:rsidR="00051689">
        <w:t>y Projects</w:t>
      </w:r>
      <w:r w:rsidR="00F61F5C" w:rsidRPr="001B7D5F">
        <w:t xml:space="preserve"> to deliver </w:t>
      </w:r>
      <w:r w:rsidR="00754164" w:rsidRPr="001B7D5F">
        <w:t>health outcomes</w:t>
      </w:r>
      <w:r w:rsidR="004A1996" w:rsidRPr="001B7D5F">
        <w:t xml:space="preserve">. </w:t>
      </w:r>
      <w:r w:rsidR="0003767B" w:rsidRPr="001B7D5F">
        <w:t xml:space="preserve">Activities to be funded under this Agreement align with the </w:t>
      </w:r>
      <w:r w:rsidR="00760A7E" w:rsidRPr="001B7D5F">
        <w:t xml:space="preserve">guiding </w:t>
      </w:r>
      <w:r w:rsidR="00871D47" w:rsidRPr="001B7D5F">
        <w:t>p</w:t>
      </w:r>
      <w:r w:rsidR="0003767B" w:rsidRPr="001B7D5F">
        <w:t xml:space="preserve">rinciples outlined </w:t>
      </w:r>
      <w:r w:rsidR="00760A7E" w:rsidRPr="001B7D5F">
        <w:t>below</w:t>
      </w:r>
      <w:r w:rsidR="0003767B" w:rsidRPr="001B7D5F">
        <w:t>.</w:t>
      </w:r>
      <w:r w:rsidR="00C74309" w:rsidRPr="001B7D5F">
        <w:t xml:space="preserve"> </w:t>
      </w:r>
    </w:p>
    <w:p w14:paraId="788216A9" w14:textId="1A876545" w:rsidR="00AD4A03" w:rsidRPr="001B7D5F" w:rsidRDefault="00AD4A03" w:rsidP="00A70546">
      <w:pPr>
        <w:pStyle w:val="BodyText"/>
        <w:numPr>
          <w:ilvl w:val="1"/>
          <w:numId w:val="14"/>
        </w:numPr>
        <w:ind w:left="567" w:hanging="567"/>
      </w:pPr>
      <w:r w:rsidRPr="001B7D5F">
        <w:t xml:space="preserve">The Parties recognise the following </w:t>
      </w:r>
      <w:r w:rsidR="00695841" w:rsidRPr="001B7D5F">
        <w:t xml:space="preserve">have been identified </w:t>
      </w:r>
      <w:r w:rsidR="000C706E" w:rsidRPr="001B7D5F">
        <w:t xml:space="preserve">at </w:t>
      </w:r>
      <w:r w:rsidR="00A52E19" w:rsidRPr="001B7D5F">
        <w:t>commencement</w:t>
      </w:r>
      <w:r w:rsidR="000C706E" w:rsidRPr="001B7D5F">
        <w:t xml:space="preserve"> of this Agreement </w:t>
      </w:r>
      <w:r w:rsidRPr="001B7D5F">
        <w:t xml:space="preserve">as critical </w:t>
      </w:r>
      <w:r w:rsidR="009740B9" w:rsidRPr="001B7D5F">
        <w:t>national infrastructure an</w:t>
      </w:r>
      <w:r w:rsidR="00FF1094">
        <w:t>d</w:t>
      </w:r>
      <w:r w:rsidR="009740B9" w:rsidRPr="001B7D5F">
        <w:t xml:space="preserve"> services</w:t>
      </w:r>
      <w:r w:rsidR="00311206" w:rsidRPr="001B7D5F">
        <w:t>.</w:t>
      </w:r>
      <w:r w:rsidR="006D7DF0" w:rsidRPr="001B7D5F">
        <w:t xml:space="preserve"> </w:t>
      </w:r>
      <w:r w:rsidR="00311206" w:rsidRPr="001B7D5F">
        <w:t xml:space="preserve">Noting not all </w:t>
      </w:r>
      <w:r w:rsidR="0061267F" w:rsidRPr="001B7D5F">
        <w:t xml:space="preserve">Foundation Services or National Services </w:t>
      </w:r>
      <w:r w:rsidR="00311206" w:rsidRPr="001B7D5F">
        <w:t xml:space="preserve">are managed or funded under this Agreement, Parties nevertheless </w:t>
      </w:r>
      <w:r w:rsidRPr="001B7D5F">
        <w:t>confirm</w:t>
      </w:r>
      <w:r w:rsidR="006D7DF0" w:rsidRPr="001B7D5F">
        <w:t xml:space="preserve"> a continued</w:t>
      </w:r>
      <w:r w:rsidRPr="001B7D5F">
        <w:t xml:space="preserve"> commitment</w:t>
      </w:r>
      <w:r w:rsidR="006D7DF0" w:rsidRPr="001B7D5F">
        <w:t xml:space="preserve"> </w:t>
      </w:r>
      <w:r w:rsidRPr="001B7D5F">
        <w:t>t</w:t>
      </w:r>
      <w:r w:rsidR="006D7DF0" w:rsidRPr="001B7D5F">
        <w:t>o</w:t>
      </w:r>
      <w:r w:rsidRPr="001B7D5F">
        <w:t>:</w:t>
      </w:r>
    </w:p>
    <w:p w14:paraId="2D538AA9" w14:textId="2F863EEC" w:rsidR="00AA0143" w:rsidRPr="001B7D5F" w:rsidRDefault="00AA0143" w:rsidP="00A70546">
      <w:pPr>
        <w:pStyle w:val="ListParagraph"/>
        <w:numPr>
          <w:ilvl w:val="0"/>
          <w:numId w:val="5"/>
        </w:numPr>
        <w:spacing w:after="120" w:line="256" w:lineRule="auto"/>
        <w:ind w:left="993" w:hanging="426"/>
        <w:rPr>
          <w:sz w:val="22"/>
          <w:szCs w:val="22"/>
        </w:rPr>
      </w:pPr>
      <w:r w:rsidRPr="001B7D5F">
        <w:rPr>
          <w:sz w:val="22"/>
          <w:szCs w:val="22"/>
        </w:rPr>
        <w:t>Funding and use of Electronic Prescribing</w:t>
      </w:r>
    </w:p>
    <w:p w14:paraId="1A9F7267" w14:textId="39E01473" w:rsidR="00AA0143" w:rsidRPr="001B7D5F" w:rsidRDefault="00AA0143" w:rsidP="00A70546">
      <w:pPr>
        <w:pStyle w:val="ListParagraph"/>
        <w:numPr>
          <w:ilvl w:val="0"/>
          <w:numId w:val="5"/>
        </w:numPr>
        <w:spacing w:after="120" w:line="256" w:lineRule="auto"/>
        <w:ind w:left="993" w:hanging="426"/>
        <w:rPr>
          <w:sz w:val="22"/>
          <w:szCs w:val="22"/>
        </w:rPr>
      </w:pPr>
      <w:r w:rsidRPr="001B7D5F">
        <w:rPr>
          <w:sz w:val="22"/>
          <w:szCs w:val="22"/>
        </w:rPr>
        <w:t>Funding</w:t>
      </w:r>
      <w:r w:rsidR="00965672" w:rsidRPr="001B7D5F">
        <w:rPr>
          <w:sz w:val="22"/>
          <w:szCs w:val="22"/>
        </w:rPr>
        <w:t xml:space="preserve">, </w:t>
      </w:r>
      <w:r w:rsidRPr="001B7D5F">
        <w:rPr>
          <w:sz w:val="22"/>
          <w:szCs w:val="22"/>
        </w:rPr>
        <w:t xml:space="preserve">use </w:t>
      </w:r>
      <w:r w:rsidR="00965672" w:rsidRPr="001B7D5F">
        <w:rPr>
          <w:sz w:val="22"/>
          <w:szCs w:val="22"/>
        </w:rPr>
        <w:t xml:space="preserve">and increased adoption </w:t>
      </w:r>
      <w:r w:rsidRPr="001B7D5F">
        <w:rPr>
          <w:sz w:val="22"/>
          <w:szCs w:val="22"/>
        </w:rPr>
        <w:t>of the Healthcare Identifiers Service</w:t>
      </w:r>
    </w:p>
    <w:p w14:paraId="15C05D44" w14:textId="2EC17462" w:rsidR="00AA0143" w:rsidRPr="001B7D5F" w:rsidRDefault="00AA0143" w:rsidP="00A70546">
      <w:pPr>
        <w:pStyle w:val="ListParagraph"/>
        <w:numPr>
          <w:ilvl w:val="0"/>
          <w:numId w:val="5"/>
        </w:numPr>
        <w:spacing w:after="120" w:line="256" w:lineRule="auto"/>
        <w:ind w:left="993" w:hanging="426"/>
        <w:rPr>
          <w:sz w:val="22"/>
          <w:szCs w:val="22"/>
        </w:rPr>
      </w:pPr>
      <w:r w:rsidRPr="001B7D5F">
        <w:rPr>
          <w:sz w:val="22"/>
          <w:szCs w:val="22"/>
        </w:rPr>
        <w:t>Funding and use of the Healthcare Information Provider Service</w:t>
      </w:r>
    </w:p>
    <w:p w14:paraId="31AC4A8E" w14:textId="01935D11" w:rsidR="00AD4A03" w:rsidRPr="001B7D5F" w:rsidRDefault="00311206" w:rsidP="00A70546">
      <w:pPr>
        <w:pStyle w:val="ListParagraph"/>
        <w:numPr>
          <w:ilvl w:val="0"/>
          <w:numId w:val="5"/>
        </w:numPr>
        <w:spacing w:after="120" w:line="256" w:lineRule="auto"/>
        <w:ind w:left="993" w:hanging="426"/>
        <w:rPr>
          <w:sz w:val="22"/>
          <w:szCs w:val="22"/>
        </w:rPr>
      </w:pPr>
      <w:r w:rsidRPr="001B7D5F">
        <w:rPr>
          <w:sz w:val="22"/>
          <w:szCs w:val="22"/>
        </w:rPr>
        <w:lastRenderedPageBreak/>
        <w:t xml:space="preserve">Supporting the </w:t>
      </w:r>
      <w:r w:rsidR="001D2C9E" w:rsidRPr="001B7D5F">
        <w:rPr>
          <w:sz w:val="22"/>
          <w:szCs w:val="22"/>
        </w:rPr>
        <w:t>increased use</w:t>
      </w:r>
      <w:r w:rsidRPr="001B7D5F">
        <w:rPr>
          <w:sz w:val="22"/>
          <w:szCs w:val="22"/>
        </w:rPr>
        <w:t xml:space="preserve"> of </w:t>
      </w:r>
      <w:r w:rsidR="003110C7" w:rsidRPr="001B7D5F">
        <w:rPr>
          <w:sz w:val="22"/>
          <w:szCs w:val="22"/>
        </w:rPr>
        <w:t xml:space="preserve">the </w:t>
      </w:r>
      <w:r w:rsidR="00AD4A03" w:rsidRPr="001B7D5F">
        <w:rPr>
          <w:sz w:val="22"/>
          <w:szCs w:val="22"/>
        </w:rPr>
        <w:t>My Health Record</w:t>
      </w:r>
    </w:p>
    <w:p w14:paraId="50C40C08" w14:textId="64952DF2" w:rsidR="006D7DF0" w:rsidRPr="001B7D5F" w:rsidRDefault="00311206" w:rsidP="00A70546">
      <w:pPr>
        <w:pStyle w:val="ListParagraph"/>
        <w:numPr>
          <w:ilvl w:val="0"/>
          <w:numId w:val="5"/>
        </w:numPr>
        <w:spacing w:after="120" w:line="256" w:lineRule="auto"/>
        <w:ind w:left="993" w:hanging="426"/>
        <w:rPr>
          <w:sz w:val="22"/>
          <w:szCs w:val="22"/>
        </w:rPr>
      </w:pPr>
      <w:r w:rsidRPr="001B7D5F">
        <w:rPr>
          <w:sz w:val="22"/>
          <w:szCs w:val="22"/>
        </w:rPr>
        <w:t xml:space="preserve">Funding and use of </w:t>
      </w:r>
      <w:r w:rsidR="003110C7" w:rsidRPr="001B7D5F">
        <w:rPr>
          <w:sz w:val="22"/>
          <w:szCs w:val="22"/>
        </w:rPr>
        <w:t xml:space="preserve">the </w:t>
      </w:r>
      <w:r w:rsidR="00AD4A03" w:rsidRPr="001B7D5F">
        <w:rPr>
          <w:sz w:val="22"/>
          <w:szCs w:val="22"/>
        </w:rPr>
        <w:t>N</w:t>
      </w:r>
      <w:r w:rsidR="006D7DF0" w:rsidRPr="001B7D5F">
        <w:rPr>
          <w:sz w:val="22"/>
          <w:szCs w:val="22"/>
        </w:rPr>
        <w:t xml:space="preserve">ational Authentication Service for </w:t>
      </w:r>
      <w:r w:rsidR="00AD4A03" w:rsidRPr="001B7D5F">
        <w:rPr>
          <w:sz w:val="22"/>
          <w:szCs w:val="22"/>
        </w:rPr>
        <w:t>H</w:t>
      </w:r>
      <w:r w:rsidR="006D7DF0" w:rsidRPr="001B7D5F">
        <w:rPr>
          <w:sz w:val="22"/>
          <w:szCs w:val="22"/>
        </w:rPr>
        <w:t>ealth</w:t>
      </w:r>
      <w:r w:rsidR="00AD4A03" w:rsidRPr="001B7D5F">
        <w:rPr>
          <w:sz w:val="22"/>
          <w:szCs w:val="22"/>
        </w:rPr>
        <w:t xml:space="preserve">  </w:t>
      </w:r>
    </w:p>
    <w:p w14:paraId="39B4F87C" w14:textId="4825D116" w:rsidR="00AD4A03" w:rsidRPr="001B7D5F" w:rsidRDefault="00311206" w:rsidP="00A70546">
      <w:pPr>
        <w:pStyle w:val="ListParagraph"/>
        <w:numPr>
          <w:ilvl w:val="0"/>
          <w:numId w:val="5"/>
        </w:numPr>
        <w:spacing w:after="120" w:line="256" w:lineRule="auto"/>
        <w:ind w:left="993" w:hanging="426"/>
        <w:rPr>
          <w:sz w:val="22"/>
          <w:szCs w:val="22"/>
        </w:rPr>
      </w:pPr>
      <w:r w:rsidRPr="001B7D5F">
        <w:rPr>
          <w:sz w:val="22"/>
          <w:szCs w:val="22"/>
        </w:rPr>
        <w:t xml:space="preserve">Funding and use of </w:t>
      </w:r>
      <w:r w:rsidR="003110C7" w:rsidRPr="001B7D5F">
        <w:rPr>
          <w:sz w:val="22"/>
          <w:szCs w:val="22"/>
        </w:rPr>
        <w:t xml:space="preserve">the </w:t>
      </w:r>
      <w:r w:rsidR="0061263C" w:rsidRPr="001B7D5F">
        <w:rPr>
          <w:sz w:val="22"/>
          <w:szCs w:val="22"/>
        </w:rPr>
        <w:t xml:space="preserve">National </w:t>
      </w:r>
      <w:r w:rsidR="00AD4A03" w:rsidRPr="001B7D5F">
        <w:rPr>
          <w:sz w:val="22"/>
          <w:szCs w:val="22"/>
        </w:rPr>
        <w:t>Clinical Terminology Service</w:t>
      </w:r>
    </w:p>
    <w:p w14:paraId="6EAD9126" w14:textId="698D4A20" w:rsidR="00AD4A03" w:rsidRPr="001B7D5F" w:rsidRDefault="00311206" w:rsidP="00A70546">
      <w:pPr>
        <w:pStyle w:val="ListParagraph"/>
        <w:numPr>
          <w:ilvl w:val="0"/>
          <w:numId w:val="5"/>
        </w:numPr>
        <w:spacing w:after="120" w:line="256" w:lineRule="auto"/>
        <w:ind w:left="993" w:hanging="426"/>
        <w:rPr>
          <w:sz w:val="22"/>
          <w:szCs w:val="22"/>
        </w:rPr>
      </w:pPr>
      <w:r w:rsidRPr="001B7D5F">
        <w:rPr>
          <w:sz w:val="22"/>
          <w:szCs w:val="22"/>
        </w:rPr>
        <w:t xml:space="preserve">Funding and use of </w:t>
      </w:r>
      <w:r w:rsidR="003110C7" w:rsidRPr="001B7D5F">
        <w:rPr>
          <w:sz w:val="22"/>
          <w:szCs w:val="22"/>
        </w:rPr>
        <w:t xml:space="preserve">the </w:t>
      </w:r>
      <w:r w:rsidR="00AD4A03" w:rsidRPr="001B7D5F">
        <w:rPr>
          <w:sz w:val="22"/>
          <w:szCs w:val="22"/>
        </w:rPr>
        <w:t xml:space="preserve">National Health Services Directory </w:t>
      </w:r>
    </w:p>
    <w:p w14:paraId="13A6526C" w14:textId="4A3974E5" w:rsidR="00AD4A03" w:rsidRPr="001B7D5F" w:rsidRDefault="00311206" w:rsidP="00A70546">
      <w:pPr>
        <w:pStyle w:val="ListParagraph"/>
        <w:numPr>
          <w:ilvl w:val="0"/>
          <w:numId w:val="5"/>
        </w:numPr>
        <w:spacing w:after="120" w:line="256" w:lineRule="auto"/>
        <w:ind w:left="993" w:hanging="426"/>
        <w:rPr>
          <w:sz w:val="22"/>
          <w:szCs w:val="22"/>
        </w:rPr>
      </w:pPr>
      <w:r w:rsidRPr="001B7D5F">
        <w:rPr>
          <w:sz w:val="22"/>
          <w:szCs w:val="22"/>
        </w:rPr>
        <w:t xml:space="preserve">Funding and use of </w:t>
      </w:r>
      <w:r w:rsidR="00AD4A03" w:rsidRPr="001B7D5F">
        <w:rPr>
          <w:sz w:val="22"/>
          <w:szCs w:val="22"/>
        </w:rPr>
        <w:t>Provider Connect Australia</w:t>
      </w:r>
    </w:p>
    <w:p w14:paraId="6EB4B733" w14:textId="2FE98969" w:rsidR="00AD4A03" w:rsidRPr="001B7D5F" w:rsidRDefault="00311206" w:rsidP="00A70546">
      <w:pPr>
        <w:pStyle w:val="ListParagraph"/>
        <w:numPr>
          <w:ilvl w:val="0"/>
          <w:numId w:val="5"/>
        </w:numPr>
        <w:spacing w:after="120" w:line="256" w:lineRule="auto"/>
        <w:ind w:left="993" w:hanging="426"/>
        <w:rPr>
          <w:sz w:val="22"/>
          <w:szCs w:val="22"/>
        </w:rPr>
      </w:pPr>
      <w:r w:rsidRPr="001B7D5F">
        <w:rPr>
          <w:sz w:val="22"/>
          <w:szCs w:val="22"/>
        </w:rPr>
        <w:t xml:space="preserve">Funding and use of </w:t>
      </w:r>
      <w:r w:rsidR="00AD4A03" w:rsidRPr="001B7D5F">
        <w:rPr>
          <w:sz w:val="22"/>
          <w:szCs w:val="22"/>
        </w:rPr>
        <w:t>Real Time Prescription Monitoring</w:t>
      </w:r>
    </w:p>
    <w:p w14:paraId="231457A8" w14:textId="5744C402" w:rsidR="00EF2B17" w:rsidRPr="001B7D5F" w:rsidRDefault="00EF2B17" w:rsidP="00A70546">
      <w:pPr>
        <w:pStyle w:val="ListParagraph"/>
        <w:numPr>
          <w:ilvl w:val="0"/>
          <w:numId w:val="5"/>
        </w:numPr>
        <w:spacing w:after="120" w:line="256" w:lineRule="auto"/>
        <w:ind w:left="993" w:hanging="426"/>
        <w:rPr>
          <w:sz w:val="22"/>
          <w:szCs w:val="22"/>
        </w:rPr>
      </w:pPr>
      <w:r w:rsidRPr="001B7D5F">
        <w:rPr>
          <w:sz w:val="22"/>
          <w:szCs w:val="22"/>
        </w:rPr>
        <w:t xml:space="preserve">Funding, adoption and use of standards and guidelines that promote national </w:t>
      </w:r>
      <w:r w:rsidR="00667815" w:rsidRPr="001B7D5F">
        <w:rPr>
          <w:sz w:val="22"/>
          <w:szCs w:val="22"/>
        </w:rPr>
        <w:t>interoperability.</w:t>
      </w:r>
    </w:p>
    <w:p w14:paraId="11857851" w14:textId="717839EE" w:rsidR="00A65331" w:rsidRPr="001B7D5F" w:rsidRDefault="00A65331" w:rsidP="00A70546">
      <w:pPr>
        <w:pStyle w:val="BodyText"/>
        <w:numPr>
          <w:ilvl w:val="1"/>
          <w:numId w:val="14"/>
        </w:numPr>
        <w:ind w:left="567" w:hanging="567"/>
      </w:pPr>
      <w:r w:rsidRPr="001B7D5F">
        <w:t>Descriptions of these</w:t>
      </w:r>
      <w:r w:rsidR="003110C7" w:rsidRPr="001B7D5F">
        <w:t xml:space="preserve"> </w:t>
      </w:r>
      <w:r w:rsidR="006C1D66" w:rsidRPr="001B7D5F">
        <w:t>National</w:t>
      </w:r>
      <w:r w:rsidRPr="001B7D5F">
        <w:t xml:space="preserve"> </w:t>
      </w:r>
      <w:r w:rsidR="006C1D66" w:rsidRPr="001B7D5F">
        <w:t>S</w:t>
      </w:r>
      <w:r w:rsidRPr="001B7D5F">
        <w:t>ervices</w:t>
      </w:r>
      <w:r w:rsidR="006C1D66" w:rsidRPr="001B7D5F">
        <w:t xml:space="preserve"> and Foundation Services </w:t>
      </w:r>
      <w:r w:rsidRPr="001B7D5F">
        <w:t xml:space="preserve">are outlined in Schedule </w:t>
      </w:r>
      <w:r w:rsidR="008207B9" w:rsidRPr="001B7D5F">
        <w:t>A</w:t>
      </w:r>
      <w:r w:rsidRPr="001B7D5F">
        <w:t>.</w:t>
      </w:r>
    </w:p>
    <w:p w14:paraId="2D5E7539" w14:textId="0420668F" w:rsidR="002C4417" w:rsidRPr="001B7D5F" w:rsidRDefault="00AD4A03" w:rsidP="00A70546">
      <w:pPr>
        <w:pStyle w:val="BodyText"/>
        <w:numPr>
          <w:ilvl w:val="1"/>
          <w:numId w:val="14"/>
        </w:numPr>
        <w:ind w:left="567" w:hanging="567"/>
      </w:pPr>
      <w:r w:rsidRPr="001B7D5F">
        <w:t xml:space="preserve">In </w:t>
      </w:r>
      <w:r w:rsidR="00D67BB3" w:rsidRPr="001B7D5F">
        <w:t>signing this Agreement</w:t>
      </w:r>
      <w:r w:rsidRPr="001B7D5F">
        <w:t xml:space="preserve">, </w:t>
      </w:r>
      <w:r w:rsidR="00D67BB3" w:rsidRPr="001B7D5F">
        <w:t xml:space="preserve">Parties </w:t>
      </w:r>
      <w:r w:rsidRPr="001B7D5F">
        <w:t xml:space="preserve">commit in good faith to supporting the evolution of My Health Record </w:t>
      </w:r>
      <w:r w:rsidR="006D7DF0" w:rsidRPr="001B7D5F">
        <w:t xml:space="preserve">and </w:t>
      </w:r>
      <w:r w:rsidR="00AE5C05" w:rsidRPr="001B7D5F">
        <w:t>development of national</w:t>
      </w:r>
      <w:r w:rsidR="00067C35" w:rsidRPr="001B7D5F">
        <w:t xml:space="preserve"> </w:t>
      </w:r>
      <w:r w:rsidR="001D2C9E" w:rsidRPr="001B7D5F">
        <w:t xml:space="preserve">health </w:t>
      </w:r>
      <w:r w:rsidR="00067C35" w:rsidRPr="001B7D5F">
        <w:t>information exchange</w:t>
      </w:r>
      <w:r w:rsidR="00AE5C05" w:rsidRPr="001B7D5F">
        <w:t xml:space="preserve"> </w:t>
      </w:r>
      <w:r w:rsidR="0061267F" w:rsidRPr="001B7D5F">
        <w:t xml:space="preserve">capabilities </w:t>
      </w:r>
      <w:r w:rsidR="00067C35" w:rsidRPr="001B7D5F">
        <w:t>that support patients as the</w:t>
      </w:r>
      <w:r w:rsidR="00094633" w:rsidRPr="001B7D5F">
        <w:t>y</w:t>
      </w:r>
      <w:r w:rsidR="00067C35" w:rsidRPr="001B7D5F">
        <w:t xml:space="preserve"> transition through care</w:t>
      </w:r>
      <w:r w:rsidR="0061267F" w:rsidRPr="001B7D5F">
        <w:t xml:space="preserve"> </w:t>
      </w:r>
      <w:r w:rsidR="00067C35" w:rsidRPr="001B7D5F">
        <w:t>settings</w:t>
      </w:r>
      <w:r w:rsidRPr="001B7D5F">
        <w:t xml:space="preserve">, allowing </w:t>
      </w:r>
      <w:r w:rsidR="00AA0143" w:rsidRPr="001B7D5F">
        <w:t xml:space="preserve">the </w:t>
      </w:r>
      <w:r w:rsidR="001D2C9E" w:rsidRPr="001B7D5F">
        <w:t>secure</w:t>
      </w:r>
      <w:r w:rsidR="00EC227E" w:rsidRPr="001B7D5F">
        <w:t>,</w:t>
      </w:r>
      <w:r w:rsidR="001D2C9E" w:rsidRPr="001B7D5F">
        <w:t xml:space="preserve"> </w:t>
      </w:r>
      <w:r w:rsidR="00AA0143" w:rsidRPr="001B7D5F">
        <w:t>safe</w:t>
      </w:r>
      <w:r w:rsidR="00EC227E" w:rsidRPr="001B7D5F">
        <w:t xml:space="preserve"> and seamless</w:t>
      </w:r>
      <w:r w:rsidR="00AA0143" w:rsidRPr="001B7D5F">
        <w:t xml:space="preserve"> sharing of health</w:t>
      </w:r>
      <w:r w:rsidRPr="001B7D5F">
        <w:t xml:space="preserve"> information </w:t>
      </w:r>
      <w:r w:rsidR="007E76A3" w:rsidRPr="001B7D5F">
        <w:t>between</w:t>
      </w:r>
      <w:r w:rsidR="006D7DF0" w:rsidRPr="001B7D5F">
        <w:t xml:space="preserve"> all</w:t>
      </w:r>
      <w:r w:rsidR="007E76A3" w:rsidRPr="001B7D5F">
        <w:t xml:space="preserve"> jurisdictions</w:t>
      </w:r>
      <w:r w:rsidR="00AA0143" w:rsidRPr="001B7D5F">
        <w:t xml:space="preserve"> where it is required for healthcare delivery</w:t>
      </w:r>
      <w:r w:rsidRPr="001B7D5F">
        <w:t>.</w:t>
      </w:r>
    </w:p>
    <w:p w14:paraId="56666748" w14:textId="0277149D" w:rsidR="00AD4A03" w:rsidRPr="001B7D5F" w:rsidRDefault="00AD4A03" w:rsidP="00A70546">
      <w:pPr>
        <w:pStyle w:val="BodyText"/>
        <w:numPr>
          <w:ilvl w:val="1"/>
          <w:numId w:val="14"/>
        </w:numPr>
        <w:ind w:left="567" w:hanging="567"/>
      </w:pPr>
      <w:r w:rsidRPr="001B7D5F">
        <w:t>Parties also acknowledge and commit to promoting the following enabling elements of national digital health that sit outside the health portfolio</w:t>
      </w:r>
      <w:r w:rsidR="001822E3" w:rsidRPr="001B7D5F">
        <w:t xml:space="preserve"> including but not limited to</w:t>
      </w:r>
      <w:r w:rsidRPr="001B7D5F">
        <w:t>:</w:t>
      </w:r>
    </w:p>
    <w:p w14:paraId="319524BA" w14:textId="0C99D1BA" w:rsidR="00AD4A03" w:rsidRPr="001B7D5F" w:rsidRDefault="00AD4A03" w:rsidP="00A70546">
      <w:pPr>
        <w:pStyle w:val="ListParagraph"/>
        <w:numPr>
          <w:ilvl w:val="0"/>
          <w:numId w:val="5"/>
        </w:numPr>
        <w:spacing w:after="120" w:line="256" w:lineRule="auto"/>
        <w:ind w:left="993" w:hanging="426"/>
        <w:rPr>
          <w:sz w:val="22"/>
          <w:szCs w:val="22"/>
        </w:rPr>
      </w:pPr>
      <w:r w:rsidRPr="001B7D5F">
        <w:rPr>
          <w:sz w:val="22"/>
          <w:szCs w:val="22"/>
        </w:rPr>
        <w:t>Priorities of Data and Digital Ministers’ Meetings</w:t>
      </w:r>
    </w:p>
    <w:p w14:paraId="41AEB8CE" w14:textId="77777777" w:rsidR="00AD4A03" w:rsidRPr="001B7D5F" w:rsidRDefault="00AD4A03" w:rsidP="00A70546">
      <w:pPr>
        <w:pStyle w:val="ListParagraph"/>
        <w:numPr>
          <w:ilvl w:val="0"/>
          <w:numId w:val="5"/>
        </w:numPr>
        <w:spacing w:after="120" w:line="256" w:lineRule="auto"/>
        <w:ind w:left="993" w:hanging="426"/>
        <w:rPr>
          <w:sz w:val="22"/>
          <w:szCs w:val="22"/>
        </w:rPr>
      </w:pPr>
      <w:r w:rsidRPr="001B7D5F">
        <w:rPr>
          <w:sz w:val="22"/>
          <w:szCs w:val="22"/>
        </w:rPr>
        <w:t>Telecommunications network access</w:t>
      </w:r>
    </w:p>
    <w:p w14:paraId="4E6D9962" w14:textId="77777777" w:rsidR="00AD4A03" w:rsidRPr="001B7D5F" w:rsidRDefault="00AD4A03" w:rsidP="00A70546">
      <w:pPr>
        <w:pStyle w:val="ListParagraph"/>
        <w:numPr>
          <w:ilvl w:val="0"/>
          <w:numId w:val="5"/>
        </w:numPr>
        <w:spacing w:after="120" w:line="256" w:lineRule="auto"/>
        <w:ind w:left="993" w:hanging="426"/>
        <w:rPr>
          <w:sz w:val="22"/>
          <w:szCs w:val="22"/>
        </w:rPr>
      </w:pPr>
      <w:r w:rsidRPr="001B7D5F">
        <w:rPr>
          <w:sz w:val="22"/>
          <w:szCs w:val="22"/>
        </w:rPr>
        <w:t>Digital literacy</w:t>
      </w:r>
    </w:p>
    <w:p w14:paraId="5DA21EE3" w14:textId="6A0B29A7" w:rsidR="00AD4A03" w:rsidRPr="001B7D5F" w:rsidRDefault="006D7DF0" w:rsidP="00A70546">
      <w:pPr>
        <w:pStyle w:val="ListParagraph"/>
        <w:numPr>
          <w:ilvl w:val="0"/>
          <w:numId w:val="5"/>
        </w:numPr>
        <w:spacing w:after="120" w:line="256" w:lineRule="auto"/>
        <w:ind w:left="993" w:hanging="426"/>
        <w:rPr>
          <w:sz w:val="22"/>
          <w:szCs w:val="22"/>
        </w:rPr>
      </w:pPr>
      <w:r w:rsidRPr="001B7D5F">
        <w:rPr>
          <w:sz w:val="22"/>
          <w:szCs w:val="22"/>
        </w:rPr>
        <w:t>Broader p</w:t>
      </w:r>
      <w:r w:rsidR="00AD4A03" w:rsidRPr="001B7D5F">
        <w:rPr>
          <w:sz w:val="22"/>
          <w:szCs w:val="22"/>
        </w:rPr>
        <w:t>rivacy</w:t>
      </w:r>
      <w:r w:rsidR="001E0868" w:rsidRPr="001B7D5F">
        <w:rPr>
          <w:sz w:val="22"/>
          <w:szCs w:val="22"/>
        </w:rPr>
        <w:t>,</w:t>
      </w:r>
      <w:r w:rsidR="00AD4A03" w:rsidRPr="001B7D5F">
        <w:rPr>
          <w:sz w:val="22"/>
          <w:szCs w:val="22"/>
        </w:rPr>
        <w:t xml:space="preserve"> security</w:t>
      </w:r>
      <w:r w:rsidR="001E0868" w:rsidRPr="001B7D5F">
        <w:rPr>
          <w:sz w:val="22"/>
          <w:szCs w:val="22"/>
        </w:rPr>
        <w:t xml:space="preserve"> and data sharing</w:t>
      </w:r>
      <w:r w:rsidR="00AD4A03" w:rsidRPr="001B7D5F">
        <w:rPr>
          <w:sz w:val="22"/>
          <w:szCs w:val="22"/>
        </w:rPr>
        <w:t xml:space="preserve"> </w:t>
      </w:r>
      <w:r w:rsidRPr="001B7D5F">
        <w:rPr>
          <w:sz w:val="22"/>
          <w:szCs w:val="22"/>
        </w:rPr>
        <w:t>policy and legislation</w:t>
      </w:r>
    </w:p>
    <w:p w14:paraId="2F87E5F3" w14:textId="3FEF80B4" w:rsidR="00AD4A03" w:rsidRPr="001B7D5F" w:rsidRDefault="00AD4A03" w:rsidP="00A70546">
      <w:pPr>
        <w:pStyle w:val="ListParagraph"/>
        <w:numPr>
          <w:ilvl w:val="0"/>
          <w:numId w:val="5"/>
        </w:numPr>
        <w:spacing w:after="120" w:line="256" w:lineRule="auto"/>
        <w:ind w:left="993" w:hanging="426"/>
        <w:rPr>
          <w:sz w:val="22"/>
          <w:szCs w:val="22"/>
        </w:rPr>
      </w:pPr>
      <w:r w:rsidRPr="001B7D5F">
        <w:rPr>
          <w:sz w:val="22"/>
          <w:szCs w:val="22"/>
        </w:rPr>
        <w:t xml:space="preserve">Consumer </w:t>
      </w:r>
      <w:r w:rsidR="001822E3" w:rsidRPr="001B7D5F">
        <w:rPr>
          <w:sz w:val="22"/>
          <w:szCs w:val="22"/>
        </w:rPr>
        <w:t>D</w:t>
      </w:r>
      <w:r w:rsidRPr="001B7D5F">
        <w:rPr>
          <w:sz w:val="22"/>
          <w:szCs w:val="22"/>
        </w:rPr>
        <w:t xml:space="preserve">ata </w:t>
      </w:r>
      <w:r w:rsidR="001822E3" w:rsidRPr="001B7D5F">
        <w:rPr>
          <w:sz w:val="22"/>
          <w:szCs w:val="22"/>
        </w:rPr>
        <w:t>R</w:t>
      </w:r>
      <w:r w:rsidRPr="001B7D5F">
        <w:rPr>
          <w:sz w:val="22"/>
          <w:szCs w:val="22"/>
        </w:rPr>
        <w:t>ight</w:t>
      </w:r>
    </w:p>
    <w:p w14:paraId="2CC72D3E" w14:textId="62294E5C" w:rsidR="00D92F9E" w:rsidRPr="001B7D5F" w:rsidRDefault="00AD4A03" w:rsidP="00A70546">
      <w:pPr>
        <w:pStyle w:val="BodyText"/>
        <w:numPr>
          <w:ilvl w:val="1"/>
          <w:numId w:val="14"/>
        </w:numPr>
        <w:tabs>
          <w:tab w:val="left" w:pos="709"/>
        </w:tabs>
        <w:ind w:left="567" w:hanging="567"/>
      </w:pPr>
      <w:r w:rsidRPr="001B7D5F">
        <w:t>This Agreement establishes</w:t>
      </w:r>
      <w:r w:rsidR="00D92F9E" w:rsidRPr="001B7D5F">
        <w:t xml:space="preserve"> an agile and collaborat</w:t>
      </w:r>
      <w:r w:rsidR="00B21204" w:rsidRPr="001B7D5F">
        <w:t>ive</w:t>
      </w:r>
      <w:r w:rsidR="00850D45" w:rsidRPr="001B7D5F">
        <w:t xml:space="preserve"> governance</w:t>
      </w:r>
      <w:r w:rsidR="00D92F9E" w:rsidRPr="001B7D5F">
        <w:t xml:space="preserve"> framework that allows all Parties and Delivery Partners to work together to </w:t>
      </w:r>
      <w:r w:rsidR="0061263C" w:rsidRPr="001B7D5F">
        <w:t>leverage, build and connect all parts of the health</w:t>
      </w:r>
      <w:r w:rsidR="000C5168" w:rsidRPr="001B7D5F">
        <w:t xml:space="preserve"> </w:t>
      </w:r>
      <w:r w:rsidR="0061263C" w:rsidRPr="001B7D5F">
        <w:t>care system to support improved patient care and the overall efficiency and sustainability of the system</w:t>
      </w:r>
      <w:r w:rsidR="00D92F9E" w:rsidRPr="001B7D5F">
        <w:t xml:space="preserve">. The Parties agree to </w:t>
      </w:r>
      <w:r w:rsidR="0061263C" w:rsidRPr="001B7D5F">
        <w:t>actively</w:t>
      </w:r>
      <w:r w:rsidR="00D92F9E" w:rsidRPr="001B7D5F">
        <w:t xml:space="preserve"> </w:t>
      </w:r>
      <w:r w:rsidR="0061263C" w:rsidRPr="001B7D5F">
        <w:t>participate</w:t>
      </w:r>
      <w:r w:rsidR="00D92F9E" w:rsidRPr="001B7D5F">
        <w:t xml:space="preserve"> in the governance framework to support </w:t>
      </w:r>
      <w:r w:rsidR="00850D45" w:rsidRPr="001B7D5F">
        <w:t>these</w:t>
      </w:r>
      <w:r w:rsidR="0061267F" w:rsidRPr="001B7D5F">
        <w:t xml:space="preserve"> </w:t>
      </w:r>
      <w:r w:rsidR="0061263C" w:rsidRPr="001B7D5F">
        <w:t>objectives</w:t>
      </w:r>
      <w:r w:rsidR="00D92F9E" w:rsidRPr="001B7D5F">
        <w:t>.</w:t>
      </w:r>
    </w:p>
    <w:p w14:paraId="31F77918" w14:textId="12A80291" w:rsidR="000F794A" w:rsidRPr="001B7D5F" w:rsidRDefault="000F794A" w:rsidP="00A70546">
      <w:pPr>
        <w:pStyle w:val="BodyText"/>
        <w:numPr>
          <w:ilvl w:val="1"/>
          <w:numId w:val="14"/>
        </w:numPr>
        <w:ind w:left="567" w:hanging="567"/>
      </w:pPr>
      <w:r w:rsidRPr="001B7D5F">
        <w:t xml:space="preserve">As the primary agency for national digital health in Australia, the </w:t>
      </w:r>
      <w:r w:rsidR="000C5168" w:rsidRPr="001B7D5F">
        <w:t xml:space="preserve">Australian Digital Health </w:t>
      </w:r>
      <w:r w:rsidRPr="001B7D5F">
        <w:t xml:space="preserve">Agency will be the primary </w:t>
      </w:r>
      <w:r w:rsidR="00850D45" w:rsidRPr="001B7D5F">
        <w:t>D</w:t>
      </w:r>
      <w:r w:rsidRPr="001B7D5F">
        <w:t xml:space="preserve">elivery </w:t>
      </w:r>
      <w:r w:rsidR="00850D45" w:rsidRPr="001B7D5F">
        <w:t>P</w:t>
      </w:r>
      <w:r w:rsidRPr="001B7D5F">
        <w:t xml:space="preserve">artner under this Agreement. The </w:t>
      </w:r>
      <w:r w:rsidR="001822E3" w:rsidRPr="001B7D5F">
        <w:t xml:space="preserve">Agency’s </w:t>
      </w:r>
      <w:r w:rsidRPr="001B7D5F">
        <w:t>functions</w:t>
      </w:r>
      <w:r w:rsidR="009C77B4" w:rsidRPr="001B7D5F">
        <w:t xml:space="preserve"> under the </w:t>
      </w:r>
      <w:bookmarkStart w:id="11" w:name="_Hlk126933094"/>
      <w:r w:rsidR="009C77B4" w:rsidRPr="001B7D5F">
        <w:t>Rule</w:t>
      </w:r>
      <w:r w:rsidRPr="001B7D5F">
        <w:t xml:space="preserve"> </w:t>
      </w:r>
      <w:r w:rsidR="0032528A" w:rsidRPr="001B7D5F">
        <w:t xml:space="preserve">include </w:t>
      </w:r>
      <w:r w:rsidR="00AA0143" w:rsidRPr="001B7D5F">
        <w:t>c</w:t>
      </w:r>
      <w:r w:rsidRPr="001B7D5F">
        <w:t>oordinat</w:t>
      </w:r>
      <w:r w:rsidR="00AA0143" w:rsidRPr="001B7D5F">
        <w:t xml:space="preserve">ing and contributing to developing </w:t>
      </w:r>
      <w:r w:rsidRPr="001B7D5F">
        <w:t>the National Digital Health Strategy</w:t>
      </w:r>
      <w:r w:rsidR="00AA0143" w:rsidRPr="001B7D5F">
        <w:t xml:space="preserve"> and i</w:t>
      </w:r>
      <w:r w:rsidRPr="001B7D5F">
        <w:t>mplement</w:t>
      </w:r>
      <w:r w:rsidR="00AA0143" w:rsidRPr="001B7D5F">
        <w:t xml:space="preserve">ing </w:t>
      </w:r>
      <w:r w:rsidRPr="001B7D5F">
        <w:t xml:space="preserve">those aspects of the Strategy </w:t>
      </w:r>
      <w:r w:rsidR="009C77B4" w:rsidRPr="001B7D5F">
        <w:t xml:space="preserve">as </w:t>
      </w:r>
      <w:r w:rsidRPr="001B7D5F">
        <w:t xml:space="preserve">directed by </w:t>
      </w:r>
      <w:r w:rsidR="0061267F" w:rsidRPr="001B7D5F">
        <w:t>Health Ministers</w:t>
      </w:r>
      <w:bookmarkEnd w:id="11"/>
      <w:r w:rsidR="009C77B4" w:rsidRPr="001B7D5F">
        <w:t>.</w:t>
      </w:r>
    </w:p>
    <w:p w14:paraId="202BA01B" w14:textId="5A55311D" w:rsidR="00C35973" w:rsidRPr="001B7D5F" w:rsidRDefault="00AA0143" w:rsidP="00A70546">
      <w:pPr>
        <w:pStyle w:val="BodyText"/>
        <w:numPr>
          <w:ilvl w:val="1"/>
          <w:numId w:val="14"/>
        </w:numPr>
        <w:ind w:left="567" w:hanging="567"/>
      </w:pPr>
      <w:r w:rsidRPr="001B7D5F">
        <w:t xml:space="preserve">The National Digital Health Strategy and </w:t>
      </w:r>
      <w:r w:rsidR="00ED7291" w:rsidRPr="001B7D5F">
        <w:t>the</w:t>
      </w:r>
      <w:r w:rsidRPr="001B7D5F">
        <w:t xml:space="preserve"> Strategy Delivery Roadmap</w:t>
      </w:r>
      <w:r w:rsidR="00C35973" w:rsidRPr="001B7D5F">
        <w:t xml:space="preserve">, when </w:t>
      </w:r>
      <w:r w:rsidR="002F4A46" w:rsidRPr="001B7D5F">
        <w:t>endorsed</w:t>
      </w:r>
      <w:r w:rsidR="00C35973" w:rsidRPr="001B7D5F">
        <w:t xml:space="preserve"> by all</w:t>
      </w:r>
      <w:r w:rsidR="002F4A46" w:rsidRPr="001B7D5F">
        <w:t xml:space="preserve"> </w:t>
      </w:r>
      <w:r w:rsidR="000C5168" w:rsidRPr="001B7D5F">
        <w:t>H</w:t>
      </w:r>
      <w:r w:rsidR="002F4A46" w:rsidRPr="001B7D5F">
        <w:t xml:space="preserve">ealth </w:t>
      </w:r>
      <w:r w:rsidR="000C5168" w:rsidRPr="001B7D5F">
        <w:t>M</w:t>
      </w:r>
      <w:r w:rsidR="002F4A46" w:rsidRPr="001B7D5F">
        <w:t>inisters</w:t>
      </w:r>
      <w:r w:rsidR="00C35973" w:rsidRPr="001B7D5F">
        <w:t xml:space="preserve">, </w:t>
      </w:r>
      <w:r w:rsidRPr="001B7D5F">
        <w:t>will outline the key national priorities for investment and development of digital health in Australia</w:t>
      </w:r>
      <w:r w:rsidR="00ED7291" w:rsidRPr="001B7D5F">
        <w:t xml:space="preserve">. </w:t>
      </w:r>
      <w:r w:rsidR="00C35973" w:rsidRPr="001B7D5F">
        <w:t>Parties commit in good faith to implementing</w:t>
      </w:r>
      <w:r w:rsidR="00E754FF" w:rsidRPr="001B7D5F">
        <w:t xml:space="preserve"> the relevant parts of the Strategy, separate to the commitments made under this Agreement.</w:t>
      </w:r>
      <w:r w:rsidR="00C35973" w:rsidRPr="001B7D5F">
        <w:t xml:space="preserve"> </w:t>
      </w:r>
    </w:p>
    <w:p w14:paraId="28DC1562" w14:textId="2AFD47E7" w:rsidR="004B7F2A" w:rsidRPr="001B7D5F" w:rsidRDefault="00850D45" w:rsidP="00A70546">
      <w:pPr>
        <w:pStyle w:val="BodyText"/>
        <w:numPr>
          <w:ilvl w:val="1"/>
          <w:numId w:val="14"/>
        </w:numPr>
        <w:ind w:left="567" w:hanging="567"/>
      </w:pPr>
      <w:r w:rsidRPr="001B7D5F">
        <w:t>In addition to funding the Foundation and National Services, t</w:t>
      </w:r>
      <w:r w:rsidR="001B7764" w:rsidRPr="001B7D5F">
        <w:t xml:space="preserve">his Agreement provides the funding and governance </w:t>
      </w:r>
      <w:r w:rsidR="00ED7291" w:rsidRPr="001B7D5F">
        <w:t>for</w:t>
      </w:r>
      <w:r w:rsidR="00D72776" w:rsidRPr="001B7D5F">
        <w:t xml:space="preserve"> </w:t>
      </w:r>
      <w:r w:rsidR="00ED7291" w:rsidRPr="001B7D5F">
        <w:t>the Strategic Priorit</w:t>
      </w:r>
      <w:r w:rsidR="00051689">
        <w:t>y Projects</w:t>
      </w:r>
      <w:r w:rsidR="001B7764" w:rsidRPr="001B7D5F">
        <w:t xml:space="preserve"> </w:t>
      </w:r>
      <w:r w:rsidR="001822E3" w:rsidRPr="001B7D5F">
        <w:t xml:space="preserve">to be funded by all </w:t>
      </w:r>
      <w:r w:rsidR="00ED7291" w:rsidRPr="001B7D5F">
        <w:t xml:space="preserve">Australian </w:t>
      </w:r>
      <w:r w:rsidR="001822E3" w:rsidRPr="001B7D5F">
        <w:t xml:space="preserve">governments </w:t>
      </w:r>
      <w:r w:rsidR="00ED7291" w:rsidRPr="001B7D5F">
        <w:t>and implemented by the Agency</w:t>
      </w:r>
      <w:r w:rsidRPr="001B7D5F">
        <w:t>,</w:t>
      </w:r>
      <w:r w:rsidR="00ED7291" w:rsidRPr="001B7D5F">
        <w:t xml:space="preserve"> in collaboration with all jurisdictions</w:t>
      </w:r>
      <w:r w:rsidRPr="001B7D5F">
        <w:t>,</w:t>
      </w:r>
      <w:r w:rsidR="00ED7291" w:rsidRPr="001B7D5F">
        <w:t xml:space="preserve"> to enable implementation of </w:t>
      </w:r>
      <w:r w:rsidR="00C93388" w:rsidRPr="001B7D5F">
        <w:t xml:space="preserve">elements of </w:t>
      </w:r>
      <w:r w:rsidR="00ED7291" w:rsidRPr="001B7D5F">
        <w:t>the National Digital Health Strategy and other national priorities as determined by all Parties.</w:t>
      </w:r>
    </w:p>
    <w:p w14:paraId="09183B22" w14:textId="6050AB50" w:rsidR="00DD3ADF" w:rsidRPr="001B7D5F" w:rsidRDefault="147AF4C8" w:rsidP="00A70546">
      <w:pPr>
        <w:pStyle w:val="Heading2"/>
      </w:pPr>
      <w:bookmarkStart w:id="12" w:name="_Toc1125847887"/>
      <w:bookmarkStart w:id="13" w:name="_Toc909777256"/>
      <w:r w:rsidRPr="001B7D5F">
        <w:lastRenderedPageBreak/>
        <w:t xml:space="preserve">3. </w:t>
      </w:r>
      <w:r w:rsidR="53E55C0C" w:rsidRPr="001B7D5F">
        <w:t>Guiding principles for this Agreement</w:t>
      </w:r>
      <w:bookmarkEnd w:id="12"/>
      <w:bookmarkEnd w:id="13"/>
    </w:p>
    <w:p w14:paraId="01A144A6" w14:textId="77777777" w:rsidR="00DD3ADF" w:rsidRPr="001B7D5F" w:rsidRDefault="00DD3ADF" w:rsidP="00A70546">
      <w:pPr>
        <w:pStyle w:val="BodyText"/>
      </w:pPr>
      <w:r w:rsidRPr="001B7D5F">
        <w:t>The following principles will guide future investment, development, and implementation of a national approach to digital health, including innovative and technological advances:</w:t>
      </w:r>
    </w:p>
    <w:p w14:paraId="22D337BF" w14:textId="0F2E05BD" w:rsidR="00DD3ADF" w:rsidRPr="001B7D5F" w:rsidRDefault="00DD3ADF" w:rsidP="00A70546">
      <w:pPr>
        <w:pStyle w:val="BodyText"/>
        <w:numPr>
          <w:ilvl w:val="1"/>
          <w:numId w:val="20"/>
        </w:numPr>
        <w:ind w:left="567" w:hanging="567"/>
      </w:pPr>
      <w:r w:rsidRPr="001B7D5F">
        <w:t>Support</w:t>
      </w:r>
      <w:r w:rsidRPr="001B7D5F">
        <w:rPr>
          <w:b/>
          <w:bCs/>
        </w:rPr>
        <w:t xml:space="preserve"> </w:t>
      </w:r>
      <w:r w:rsidRPr="001B7D5F">
        <w:t>health reform priorities – The Parties will prioritise activities that support the objectives of the National Health Reform Agreement, National Digital Health Strategy and other strategic health, aged care and disability priorities as directed by Health Ministers.</w:t>
      </w:r>
    </w:p>
    <w:p w14:paraId="1C0E7102" w14:textId="114A1A47" w:rsidR="00DD3ADF" w:rsidRPr="001B7D5F" w:rsidRDefault="00DD3ADF" w:rsidP="00A70546">
      <w:pPr>
        <w:pStyle w:val="BodyText"/>
        <w:numPr>
          <w:ilvl w:val="1"/>
          <w:numId w:val="20"/>
        </w:numPr>
        <w:ind w:left="567" w:hanging="567"/>
      </w:pPr>
      <w:r w:rsidRPr="001B7D5F">
        <w:t xml:space="preserve">Collaboration – The Parties will commit to collective building, use, reuse and enhancement of </w:t>
      </w:r>
      <w:r w:rsidR="008207B9" w:rsidRPr="001B7D5F">
        <w:t xml:space="preserve">Foundation and </w:t>
      </w:r>
      <w:r w:rsidRPr="001B7D5F">
        <w:t xml:space="preserve">National </w:t>
      </w:r>
      <w:r w:rsidR="008207B9" w:rsidRPr="001B7D5F">
        <w:t>S</w:t>
      </w:r>
      <w:r w:rsidRPr="001B7D5F">
        <w:t>ervices to support connected care.</w:t>
      </w:r>
    </w:p>
    <w:p w14:paraId="711217CD" w14:textId="51BC289B" w:rsidR="00DD3ADF" w:rsidRPr="001B7D5F" w:rsidRDefault="00DD3ADF" w:rsidP="00A70546">
      <w:pPr>
        <w:pStyle w:val="BodyText"/>
        <w:numPr>
          <w:ilvl w:val="1"/>
          <w:numId w:val="20"/>
        </w:numPr>
        <w:ind w:left="567" w:hanging="567"/>
      </w:pPr>
      <w:r w:rsidRPr="001B7D5F">
        <w:t xml:space="preserve">Funding – The Parties will commit to seek funding </w:t>
      </w:r>
      <w:r w:rsidR="001F7074" w:rsidRPr="001B7D5F">
        <w:t xml:space="preserve">in their respective cabinet processes </w:t>
      </w:r>
      <w:r w:rsidRPr="001B7D5F">
        <w:t>to support the agreed activities managed by Delivery Partners, the operation of Foundation and National Services and agreed Strategic Priorit</w:t>
      </w:r>
      <w:r w:rsidR="00051689">
        <w:t>y Projects</w:t>
      </w:r>
      <w:r w:rsidRPr="001B7D5F">
        <w:t>.</w:t>
      </w:r>
    </w:p>
    <w:p w14:paraId="5E281343" w14:textId="62DEC91E" w:rsidR="00DD3ADF" w:rsidRPr="001B7D5F" w:rsidRDefault="00DD3ADF" w:rsidP="00A70546">
      <w:pPr>
        <w:pStyle w:val="BodyText"/>
        <w:numPr>
          <w:ilvl w:val="1"/>
          <w:numId w:val="20"/>
        </w:numPr>
        <w:ind w:left="567" w:hanging="567"/>
      </w:pPr>
      <w:r w:rsidRPr="001B7D5F">
        <w:t xml:space="preserve">National infrastructure – Australia’s National Digital Health Strategy will guide the ongoing enhancement and adoption of the Foundation and National Services. </w:t>
      </w:r>
    </w:p>
    <w:p w14:paraId="4277D645" w14:textId="310FB44B" w:rsidR="00DD3ADF" w:rsidRPr="001B7D5F" w:rsidRDefault="00DD3ADF" w:rsidP="00A70546">
      <w:pPr>
        <w:pStyle w:val="BodyText"/>
        <w:numPr>
          <w:ilvl w:val="1"/>
          <w:numId w:val="20"/>
        </w:numPr>
        <w:ind w:left="567" w:hanging="567"/>
      </w:pPr>
      <w:r w:rsidRPr="001B7D5F">
        <w:t xml:space="preserve">Stakeholder engagement – </w:t>
      </w:r>
      <w:r w:rsidR="00D56807" w:rsidRPr="001B7D5F">
        <w:t>Delivery Partners and k</w:t>
      </w:r>
      <w:r w:rsidRPr="001B7D5F">
        <w:t>ey stakeholders will be included in the governance, design, usability, utility, and delivery of digital health solutions</w:t>
      </w:r>
      <w:r w:rsidR="00D56807" w:rsidRPr="001B7D5F">
        <w:t>.</w:t>
      </w:r>
    </w:p>
    <w:p w14:paraId="0A63E23F" w14:textId="77777777" w:rsidR="00DD3ADF" w:rsidRPr="001B7D5F" w:rsidRDefault="00DD3ADF" w:rsidP="00A70546">
      <w:pPr>
        <w:pStyle w:val="BodyText"/>
        <w:numPr>
          <w:ilvl w:val="1"/>
          <w:numId w:val="20"/>
        </w:numPr>
        <w:ind w:left="567" w:hanging="567"/>
      </w:pPr>
      <w:r w:rsidRPr="001B7D5F">
        <w:t>Managed approach – Long-term national digital health capability will be delivered in an incremental and pragmatic manner, with prioritised investment focussed in those areas that deliver the greatest benefits for healthcare recipients, healthcare providers and healthcare managers.</w:t>
      </w:r>
    </w:p>
    <w:p w14:paraId="34EB41CF" w14:textId="77777777" w:rsidR="00DD3ADF" w:rsidRPr="001B7D5F" w:rsidRDefault="00DD3ADF" w:rsidP="00A70546">
      <w:pPr>
        <w:pStyle w:val="BodyText"/>
        <w:numPr>
          <w:ilvl w:val="1"/>
          <w:numId w:val="20"/>
        </w:numPr>
        <w:ind w:left="567" w:hanging="567"/>
      </w:pPr>
      <w:r w:rsidRPr="001B7D5F">
        <w:t>Recognising different starting points – The Parties acknowledge that the level of infrastructure, digital capacity and capability and need for support varies across and within jurisdictions, healthcare providers and sectors. The Parties also acknowledge that consumers have varying levels of digital maturity and expectations that should be supported in the delivery of digital health solutions.</w:t>
      </w:r>
    </w:p>
    <w:p w14:paraId="40488182" w14:textId="0221B9B0" w:rsidR="00DD3ADF" w:rsidRPr="001B7D5F" w:rsidRDefault="00DD3ADF" w:rsidP="00A70546">
      <w:pPr>
        <w:pStyle w:val="BodyText"/>
        <w:numPr>
          <w:ilvl w:val="1"/>
          <w:numId w:val="20"/>
        </w:numPr>
        <w:ind w:left="567" w:hanging="567"/>
      </w:pPr>
      <w:r w:rsidRPr="001B7D5F">
        <w:t xml:space="preserve">Leverage – </w:t>
      </w:r>
      <w:r w:rsidR="001551D6" w:rsidRPr="001B7D5F">
        <w:t xml:space="preserve">The </w:t>
      </w:r>
      <w:r w:rsidR="003D4DF3" w:rsidRPr="001B7D5F">
        <w:t xml:space="preserve">Parties undertake to prioritise use </w:t>
      </w:r>
      <w:r w:rsidR="00D442F4" w:rsidRPr="001B7D5F">
        <w:t xml:space="preserve">(where relevant) </w:t>
      </w:r>
      <w:r w:rsidR="003D4DF3" w:rsidRPr="001B7D5F">
        <w:t xml:space="preserve">of existing </w:t>
      </w:r>
      <w:r w:rsidR="001551D6" w:rsidRPr="001B7D5F">
        <w:t>F</w:t>
      </w:r>
      <w:r w:rsidR="003D4DF3" w:rsidRPr="001B7D5F">
        <w:t xml:space="preserve">oundation </w:t>
      </w:r>
      <w:r w:rsidR="00B822C7" w:rsidRPr="001B7D5F">
        <w:t xml:space="preserve">and National </w:t>
      </w:r>
      <w:r w:rsidR="001551D6" w:rsidRPr="001B7D5F">
        <w:t>S</w:t>
      </w:r>
      <w:r w:rsidR="003D4DF3" w:rsidRPr="001B7D5F">
        <w:t>ervices in the delivery and expansion of digital health</w:t>
      </w:r>
      <w:r w:rsidR="00D442F4" w:rsidRPr="001B7D5F">
        <w:t xml:space="preserve"> solutions in their respective jurisdictions</w:t>
      </w:r>
      <w:r w:rsidRPr="001B7D5F">
        <w:t>.</w:t>
      </w:r>
    </w:p>
    <w:p w14:paraId="726EA0B9" w14:textId="5786347C" w:rsidR="00AB0DB8" w:rsidRPr="001B7D5F" w:rsidRDefault="00DD3ADF" w:rsidP="00A70546">
      <w:pPr>
        <w:pStyle w:val="BodyText"/>
        <w:numPr>
          <w:ilvl w:val="1"/>
          <w:numId w:val="20"/>
        </w:numPr>
        <w:ind w:left="567" w:hanging="567"/>
      </w:pPr>
      <w:r w:rsidRPr="001B7D5F">
        <w:t xml:space="preserve">Balancing alignment and independence – The Parties commit to the alignment of national digital health activities without constraining the ability of jurisdictions, healthcare participants and vendors to implement locally relevant solutions. </w:t>
      </w:r>
    </w:p>
    <w:p w14:paraId="01DB84BF" w14:textId="06B221B0" w:rsidR="00DD3ADF" w:rsidRPr="00DC450B" w:rsidRDefault="00DD3ADF" w:rsidP="00A70546">
      <w:pPr>
        <w:pStyle w:val="BodyText"/>
        <w:numPr>
          <w:ilvl w:val="1"/>
          <w:numId w:val="20"/>
        </w:numPr>
        <w:ind w:left="567" w:hanging="567"/>
      </w:pPr>
      <w:r w:rsidRPr="001B7D5F">
        <w:t xml:space="preserve">Promoting trust – </w:t>
      </w:r>
      <w:r w:rsidR="00DB5E17" w:rsidRPr="001B7D5F">
        <w:t xml:space="preserve">The Parties will </w:t>
      </w:r>
      <w:r w:rsidR="00DC33CC" w:rsidRPr="001B7D5F">
        <w:t>store and use</w:t>
      </w:r>
      <w:r w:rsidRPr="001B7D5F">
        <w:t xml:space="preserve"> health information in a way that is secure and consistent with legal and privacy requirements</w:t>
      </w:r>
      <w:r w:rsidR="00A07FCD" w:rsidRPr="001B7D5F">
        <w:t xml:space="preserve">, to promote the trust and confidence of digital </w:t>
      </w:r>
      <w:r w:rsidR="00A07FCD" w:rsidRPr="00DC450B">
        <w:t>health initiative users.</w:t>
      </w:r>
    </w:p>
    <w:p w14:paraId="27DDF458" w14:textId="3A6EAB49" w:rsidR="00121AE8" w:rsidRPr="00DC450B" w:rsidRDefault="00230686" w:rsidP="00A70546">
      <w:pPr>
        <w:pStyle w:val="BodyText"/>
        <w:numPr>
          <w:ilvl w:val="1"/>
          <w:numId w:val="20"/>
        </w:numPr>
        <w:ind w:left="567" w:hanging="567"/>
      </w:pPr>
      <w:r w:rsidRPr="00DC450B">
        <w:t xml:space="preserve">Ongoing sustainability </w:t>
      </w:r>
      <w:r w:rsidR="00051689" w:rsidRPr="001B7D5F">
        <w:t>–</w:t>
      </w:r>
      <w:r w:rsidRPr="00DC450B">
        <w:t xml:space="preserve"> </w:t>
      </w:r>
      <w:r w:rsidR="00950F46" w:rsidRPr="00DC450B">
        <w:t>the costs of transition and implementation</w:t>
      </w:r>
      <w:r w:rsidR="00A67228" w:rsidRPr="00DC450B">
        <w:t xml:space="preserve"> for all </w:t>
      </w:r>
      <w:r w:rsidR="00051689">
        <w:t>P</w:t>
      </w:r>
      <w:r w:rsidR="00051689" w:rsidRPr="00DC450B">
        <w:t>arties</w:t>
      </w:r>
      <w:r w:rsidR="00950F46" w:rsidRPr="00DC450B">
        <w:t xml:space="preserve">, and the ongoing costs of operating, maintaining, and enhancing digital health systems will be considered </w:t>
      </w:r>
      <w:r w:rsidR="00C36E61" w:rsidRPr="00DC450B">
        <w:t xml:space="preserve">through a gating process </w:t>
      </w:r>
      <w:r w:rsidR="00950F46" w:rsidRPr="00DC450B">
        <w:t>from initiation to inform decision making and ensure that sustainable funding mechanisms can be identified.</w:t>
      </w:r>
    </w:p>
    <w:p w14:paraId="5D805699" w14:textId="3E35915F" w:rsidR="00DD3ADF" w:rsidRPr="001B7D5F" w:rsidRDefault="00DD3ADF" w:rsidP="00A70546">
      <w:pPr>
        <w:pStyle w:val="BodyText"/>
        <w:numPr>
          <w:ilvl w:val="1"/>
          <w:numId w:val="20"/>
        </w:numPr>
        <w:ind w:left="567" w:hanging="567"/>
      </w:pPr>
      <w:r w:rsidRPr="001B7D5F">
        <w:t xml:space="preserve">Confidence – </w:t>
      </w:r>
      <w:r w:rsidR="00F10908" w:rsidRPr="001B7D5F">
        <w:t>The Parties commit to enabling h</w:t>
      </w:r>
      <w:r w:rsidRPr="001B7D5F">
        <w:t>ealthcare providers and healthcare recipients</w:t>
      </w:r>
      <w:r w:rsidR="00051689">
        <w:t xml:space="preserve"> to</w:t>
      </w:r>
      <w:r w:rsidRPr="001B7D5F">
        <w:t xml:space="preserve"> have confidence that the national digital health system provides information and technologies which are easy and safe to use and consistent with the quality data standards applied across the healthcare system.  </w:t>
      </w:r>
    </w:p>
    <w:p w14:paraId="14E27E4C" w14:textId="377351E3" w:rsidR="001A706C" w:rsidRPr="001B7D5F" w:rsidRDefault="147AF4C8" w:rsidP="00A70546">
      <w:pPr>
        <w:pStyle w:val="Heading2"/>
      </w:pPr>
      <w:bookmarkStart w:id="14" w:name="_Toc1349416517"/>
      <w:bookmarkStart w:id="15" w:name="_Toc1336394029"/>
      <w:r w:rsidRPr="001B7D5F">
        <w:lastRenderedPageBreak/>
        <w:t xml:space="preserve">4. </w:t>
      </w:r>
      <w:r w:rsidR="1FF0548A" w:rsidRPr="001B7D5F">
        <w:t>Objectives of this Agreement</w:t>
      </w:r>
      <w:bookmarkEnd w:id="14"/>
      <w:bookmarkEnd w:id="15"/>
    </w:p>
    <w:p w14:paraId="5013F3DD" w14:textId="3AF6B4C9" w:rsidR="001A706C" w:rsidRPr="001B7D5F" w:rsidRDefault="001A706C" w:rsidP="00A70546">
      <w:pPr>
        <w:pStyle w:val="BodyText"/>
      </w:pPr>
      <w:r w:rsidRPr="001B7D5F">
        <w:t xml:space="preserve">This Agreement aims to continue to enable interoperable health systems to deliver more </w:t>
      </w:r>
      <w:r w:rsidR="000C279F" w:rsidRPr="001B7D5F">
        <w:t>personalised and connected health and wellbeing experiences for all Australians</w:t>
      </w:r>
      <w:r w:rsidR="007B4623" w:rsidRPr="001B7D5F">
        <w:t xml:space="preserve"> by</w:t>
      </w:r>
      <w:r w:rsidRPr="001B7D5F">
        <w:t>:</w:t>
      </w:r>
    </w:p>
    <w:p w14:paraId="287F3F5A" w14:textId="79DD414C" w:rsidR="001A706C" w:rsidRPr="001B7D5F" w:rsidRDefault="001A706C" w:rsidP="00A70546">
      <w:pPr>
        <w:pStyle w:val="BodyText"/>
        <w:numPr>
          <w:ilvl w:val="1"/>
          <w:numId w:val="21"/>
        </w:numPr>
        <w:ind w:left="567" w:hanging="567"/>
      </w:pPr>
      <w:r w:rsidRPr="001B7D5F">
        <w:t>All Parties committing to the funding and the use</w:t>
      </w:r>
      <w:r w:rsidR="00DE0CFD" w:rsidRPr="001B7D5F">
        <w:t>, where appropriate,</w:t>
      </w:r>
      <w:r w:rsidRPr="001B7D5F">
        <w:t xml:space="preserve"> of Foundation Services</w:t>
      </w:r>
      <w:r w:rsidR="00E46EDC" w:rsidRPr="001B7D5F">
        <w:t>,</w:t>
      </w:r>
      <w:r w:rsidRPr="001B7D5F">
        <w:t xml:space="preserve"> National Services</w:t>
      </w:r>
      <w:r w:rsidR="00E46EDC" w:rsidRPr="001B7D5F">
        <w:t xml:space="preserve">, and Strategic </w:t>
      </w:r>
      <w:r w:rsidR="00051689" w:rsidRPr="001B7D5F">
        <w:t>Priorit</w:t>
      </w:r>
      <w:r w:rsidR="00051689">
        <w:t>y Projects</w:t>
      </w:r>
      <w:r w:rsidR="00051689" w:rsidRPr="001B7D5F">
        <w:t xml:space="preserve"> </w:t>
      </w:r>
      <w:r w:rsidRPr="001B7D5F">
        <w:t>progressed under this Agreement</w:t>
      </w:r>
      <w:r w:rsidR="004F6388" w:rsidRPr="001B7D5F">
        <w:t xml:space="preserve"> to </w:t>
      </w:r>
      <w:r w:rsidR="00797489" w:rsidRPr="001B7D5F">
        <w:t xml:space="preserve">support </w:t>
      </w:r>
      <w:r w:rsidR="004D7216" w:rsidRPr="001B7D5F">
        <w:t>the</w:t>
      </w:r>
      <w:r w:rsidR="00094633" w:rsidRPr="001B7D5F">
        <w:t xml:space="preserve"> </w:t>
      </w:r>
      <w:r w:rsidR="001D2C9E" w:rsidRPr="001B7D5F">
        <w:t xml:space="preserve">secure, </w:t>
      </w:r>
      <w:r w:rsidR="00094633" w:rsidRPr="001B7D5F">
        <w:t xml:space="preserve">safe, and </w:t>
      </w:r>
      <w:r w:rsidR="004D7216" w:rsidRPr="001B7D5F">
        <w:t>real</w:t>
      </w:r>
      <w:r w:rsidR="007E6871" w:rsidRPr="001B7D5F">
        <w:t>-</w:t>
      </w:r>
      <w:r w:rsidR="004D7216" w:rsidRPr="001B7D5F">
        <w:t xml:space="preserve">time </w:t>
      </w:r>
      <w:r w:rsidR="00094633" w:rsidRPr="001B7D5F">
        <w:t>sharing</w:t>
      </w:r>
      <w:r w:rsidR="004D7216" w:rsidRPr="001B7D5F">
        <w:t xml:space="preserve"> of information </w:t>
      </w:r>
      <w:r w:rsidR="00094633" w:rsidRPr="001B7D5F">
        <w:t>across</w:t>
      </w:r>
      <w:r w:rsidR="004D7216" w:rsidRPr="001B7D5F">
        <w:t xml:space="preserve"> health </w:t>
      </w:r>
      <w:r w:rsidR="00094633" w:rsidRPr="001B7D5F">
        <w:t>care settings</w:t>
      </w:r>
      <w:r w:rsidR="00F215D3" w:rsidRPr="001B7D5F">
        <w:t>.</w:t>
      </w:r>
    </w:p>
    <w:p w14:paraId="7FB827C8" w14:textId="1488ED6D" w:rsidR="00AB24BF" w:rsidRPr="001B7D5F" w:rsidRDefault="00AB24BF" w:rsidP="00A70546">
      <w:pPr>
        <w:pStyle w:val="BodyText"/>
        <w:numPr>
          <w:ilvl w:val="1"/>
          <w:numId w:val="21"/>
        </w:numPr>
        <w:ind w:left="567" w:hanging="567"/>
      </w:pPr>
      <w:r w:rsidRPr="001B7D5F">
        <w:t>Prioritising funding for Strategic Priorit</w:t>
      </w:r>
      <w:r w:rsidR="00051689">
        <w:t>y Projects</w:t>
      </w:r>
      <w:r w:rsidRPr="001B7D5F">
        <w:t xml:space="preserve"> that support</w:t>
      </w:r>
      <w:r w:rsidR="00DD28DB">
        <w:t>s</w:t>
      </w:r>
      <w:r w:rsidRPr="001B7D5F">
        <w:t xml:space="preserve"> the achievement of national, state, and local health system reform and the realisation of benefits </w:t>
      </w:r>
      <w:r w:rsidR="00F14232" w:rsidRPr="001B7D5F">
        <w:t xml:space="preserve">of </w:t>
      </w:r>
      <w:r w:rsidRPr="001B7D5F">
        <w:t xml:space="preserve">a connected health system, guided by Australia’s national health reform priorities and national digital health strategies. </w:t>
      </w:r>
    </w:p>
    <w:p w14:paraId="12FC0A13" w14:textId="40100968" w:rsidR="003B296E" w:rsidRPr="001B7D5F" w:rsidRDefault="003B296E" w:rsidP="00A70546">
      <w:pPr>
        <w:pStyle w:val="BodyText"/>
        <w:numPr>
          <w:ilvl w:val="1"/>
          <w:numId w:val="21"/>
        </w:numPr>
        <w:ind w:left="567" w:hanging="567"/>
      </w:pPr>
      <w:r w:rsidRPr="001B7D5F">
        <w:t xml:space="preserve">Prioritising </w:t>
      </w:r>
      <w:r w:rsidR="00AF47FB" w:rsidRPr="001B7D5F">
        <w:t>the development</w:t>
      </w:r>
      <w:r w:rsidR="007204E3" w:rsidRPr="001B7D5F">
        <w:t>, adoption</w:t>
      </w:r>
      <w:r w:rsidR="00AF47FB" w:rsidRPr="001B7D5F">
        <w:t xml:space="preserve"> and implementation of</w:t>
      </w:r>
      <w:r w:rsidR="000C279F" w:rsidRPr="001B7D5F">
        <w:t xml:space="preserve"> </w:t>
      </w:r>
      <w:r w:rsidR="00AF47FB" w:rsidRPr="001B7D5F">
        <w:t>standards, specifications</w:t>
      </w:r>
      <w:r w:rsidR="007204E3" w:rsidRPr="001B7D5F">
        <w:t>, implementation guides</w:t>
      </w:r>
      <w:r w:rsidR="00AF47FB" w:rsidRPr="001B7D5F">
        <w:t xml:space="preserve"> and terminologies that </w:t>
      </w:r>
      <w:r w:rsidR="00F5036B" w:rsidRPr="001B7D5F">
        <w:t>support national interoperability and connected care across health settings</w:t>
      </w:r>
      <w:r w:rsidR="00F215D3" w:rsidRPr="001B7D5F">
        <w:t>.</w:t>
      </w:r>
    </w:p>
    <w:p w14:paraId="34AE1FE9" w14:textId="34880CC5" w:rsidR="001A706C" w:rsidRPr="001B7D5F" w:rsidRDefault="001A706C" w:rsidP="00A70546">
      <w:pPr>
        <w:pStyle w:val="BodyText"/>
        <w:numPr>
          <w:ilvl w:val="1"/>
          <w:numId w:val="21"/>
        </w:numPr>
        <w:ind w:left="567" w:hanging="567"/>
      </w:pPr>
      <w:r w:rsidRPr="001B7D5F">
        <w:t xml:space="preserve">Establishing a governance arrangement under this </w:t>
      </w:r>
      <w:bookmarkStart w:id="16" w:name="_Hlk126934843"/>
      <w:r w:rsidRPr="001B7D5F">
        <w:t xml:space="preserve">Agreement that supports effective collaboration and coordinated action between all Parties and </w:t>
      </w:r>
      <w:r w:rsidR="00797489" w:rsidRPr="001B7D5F">
        <w:t>D</w:t>
      </w:r>
      <w:r w:rsidRPr="001B7D5F">
        <w:t xml:space="preserve">elivery </w:t>
      </w:r>
      <w:r w:rsidR="00797489" w:rsidRPr="001B7D5F">
        <w:t>P</w:t>
      </w:r>
      <w:r w:rsidRPr="001B7D5F">
        <w:t>artners</w:t>
      </w:r>
      <w:r w:rsidR="00D52E02" w:rsidRPr="001B7D5F">
        <w:t xml:space="preserve">, including placing funded activities under the Agreement within the broader context of all </w:t>
      </w:r>
      <w:r w:rsidR="00B430AB" w:rsidRPr="001B7D5F">
        <w:t>Parties’ digital health efforts</w:t>
      </w:r>
      <w:bookmarkEnd w:id="16"/>
      <w:r w:rsidRPr="001B7D5F">
        <w:t xml:space="preserve">. </w:t>
      </w:r>
    </w:p>
    <w:p w14:paraId="51A109ED" w14:textId="69D85721" w:rsidR="00A72665" w:rsidRPr="001B7D5F" w:rsidRDefault="00F14232" w:rsidP="00A70546">
      <w:pPr>
        <w:pStyle w:val="BodyText"/>
        <w:numPr>
          <w:ilvl w:val="1"/>
          <w:numId w:val="21"/>
        </w:numPr>
        <w:ind w:left="567" w:hanging="567"/>
      </w:pPr>
      <w:r w:rsidRPr="001B7D5F">
        <w:t xml:space="preserve">Developing </w:t>
      </w:r>
      <w:r w:rsidR="001D2CC7" w:rsidRPr="001B7D5F">
        <w:t xml:space="preserve">a </w:t>
      </w:r>
      <w:bookmarkStart w:id="17" w:name="_Hlk126935097"/>
      <w:r w:rsidR="001D2CC7" w:rsidRPr="001B7D5F">
        <w:t xml:space="preserve">framework </w:t>
      </w:r>
      <w:r w:rsidR="00590C52" w:rsidRPr="001B7D5F">
        <w:t xml:space="preserve">that supports </w:t>
      </w:r>
      <w:r w:rsidR="00D63474" w:rsidRPr="001B7D5F">
        <w:t xml:space="preserve">planning </w:t>
      </w:r>
      <w:r w:rsidR="00D52E02" w:rsidRPr="001B7D5F">
        <w:t xml:space="preserve">and review </w:t>
      </w:r>
      <w:r w:rsidR="00124436" w:rsidRPr="001B7D5F">
        <w:t>of</w:t>
      </w:r>
      <w:r w:rsidR="00A72665" w:rsidRPr="001B7D5F">
        <w:t xml:space="preserve"> </w:t>
      </w:r>
      <w:r w:rsidR="00AB24BF" w:rsidRPr="001B7D5F">
        <w:t>digital health activities</w:t>
      </w:r>
      <w:r w:rsidR="00D63474" w:rsidRPr="001B7D5F">
        <w:t xml:space="preserve"> under the Agreement</w:t>
      </w:r>
      <w:r w:rsidR="00D52E02" w:rsidRPr="001B7D5F">
        <w:t xml:space="preserve">, to drive </w:t>
      </w:r>
      <w:r w:rsidR="00A72665" w:rsidRPr="001B7D5F">
        <w:t>completion of</w:t>
      </w:r>
      <w:r w:rsidR="00D52E02" w:rsidRPr="001B7D5F">
        <w:t xml:space="preserve"> projects and support </w:t>
      </w:r>
      <w:r w:rsidR="00590C52" w:rsidRPr="001B7D5F">
        <w:t>transition of a strategic initiative into the operational phase</w:t>
      </w:r>
      <w:r w:rsidR="00A72665" w:rsidRPr="001B7D5F">
        <w:t xml:space="preserve"> or achievement of an objective</w:t>
      </w:r>
      <w:bookmarkEnd w:id="17"/>
      <w:r w:rsidR="00A72665" w:rsidRPr="001B7D5F">
        <w:t>.</w:t>
      </w:r>
    </w:p>
    <w:p w14:paraId="41FAD8DC" w14:textId="2B937C7C" w:rsidR="00D63474" w:rsidRPr="001B7D5F" w:rsidRDefault="00F14232" w:rsidP="00A70546">
      <w:pPr>
        <w:pStyle w:val="BodyText"/>
        <w:numPr>
          <w:ilvl w:val="1"/>
          <w:numId w:val="21"/>
        </w:numPr>
        <w:ind w:left="567" w:hanging="567"/>
      </w:pPr>
      <w:r w:rsidRPr="001B7D5F">
        <w:t>E</w:t>
      </w:r>
      <w:r w:rsidR="00D63474" w:rsidRPr="001B7D5F">
        <w:t xml:space="preserve">stablishing a performance framework </w:t>
      </w:r>
      <w:r w:rsidRPr="001B7D5F">
        <w:t>through the governance arrangement</w:t>
      </w:r>
      <w:r w:rsidR="00714D63" w:rsidRPr="001B7D5F">
        <w:t xml:space="preserve"> </w:t>
      </w:r>
      <w:r w:rsidR="00D63474" w:rsidRPr="001B7D5F">
        <w:t>to monitor the implementation of the Agreement, including delivery of projects by the Agency and the Parties’ respective implementation of their obligations.</w:t>
      </w:r>
    </w:p>
    <w:p w14:paraId="6A7F3DED" w14:textId="77777777" w:rsidR="001A706C" w:rsidRPr="001B7D5F" w:rsidRDefault="001A706C" w:rsidP="00A70546">
      <w:pPr>
        <w:pStyle w:val="BodyText"/>
        <w:numPr>
          <w:ilvl w:val="1"/>
          <w:numId w:val="21"/>
        </w:numPr>
        <w:ind w:left="567" w:hanging="567"/>
      </w:pPr>
      <w:r w:rsidRPr="001B7D5F">
        <w:t>Encouraging scalable innovation in digital health capabilities to deliver more efficient and effective healthcare services for both healthcare recipients and the healthcare sector.</w:t>
      </w:r>
    </w:p>
    <w:p w14:paraId="595355A1" w14:textId="27C78DAA" w:rsidR="001A706C" w:rsidRPr="001B7D5F" w:rsidRDefault="001A706C" w:rsidP="00A70546">
      <w:pPr>
        <w:pStyle w:val="BodyText"/>
        <w:numPr>
          <w:ilvl w:val="1"/>
          <w:numId w:val="21"/>
        </w:numPr>
        <w:ind w:left="567" w:hanging="567"/>
      </w:pPr>
      <w:bookmarkStart w:id="18" w:name="_Hlk126934973"/>
      <w:r w:rsidRPr="001B7D5F">
        <w:t xml:space="preserve">Consolidating and rationalising national digital health funding arrangements between the Commonwealth, </w:t>
      </w:r>
      <w:r w:rsidR="00094633" w:rsidRPr="001B7D5F">
        <w:t>s</w:t>
      </w:r>
      <w:r w:rsidRPr="001B7D5F">
        <w:t xml:space="preserve">tates and </w:t>
      </w:r>
      <w:r w:rsidR="00094633" w:rsidRPr="001B7D5F">
        <w:t>t</w:t>
      </w:r>
      <w:r w:rsidRPr="001B7D5F">
        <w:t>erritories to reduce funding complexity and streamline governance for national digital health, while maintaining transparency and accountability.</w:t>
      </w:r>
    </w:p>
    <w:p w14:paraId="7C998C01" w14:textId="2D927B5D" w:rsidR="00543E6F" w:rsidRPr="001B7D5F" w:rsidRDefault="147AF4C8" w:rsidP="00A70546">
      <w:pPr>
        <w:pStyle w:val="Heading2"/>
      </w:pPr>
      <w:bookmarkStart w:id="19" w:name="_Toc1215270963"/>
      <w:bookmarkStart w:id="20" w:name="_Toc1386395421"/>
      <w:bookmarkEnd w:id="18"/>
      <w:r w:rsidRPr="001B7D5F">
        <w:t>5</w:t>
      </w:r>
      <w:r w:rsidR="58744C11" w:rsidRPr="001B7D5F">
        <w:t>.</w:t>
      </w:r>
      <w:r w:rsidRPr="001B7D5F">
        <w:t xml:space="preserve"> </w:t>
      </w:r>
      <w:r w:rsidR="377C1DC1" w:rsidRPr="001B7D5F">
        <w:t>Operative Provisions</w:t>
      </w:r>
      <w:bookmarkEnd w:id="19"/>
      <w:bookmarkEnd w:id="20"/>
    </w:p>
    <w:p w14:paraId="299CFFCC" w14:textId="3FE49F92" w:rsidR="00543E6F" w:rsidRPr="001B7D5F" w:rsidRDefault="377C1DC1" w:rsidP="00A70546">
      <w:pPr>
        <w:pStyle w:val="Heading3"/>
        <w:numPr>
          <w:ilvl w:val="1"/>
          <w:numId w:val="15"/>
        </w:numPr>
        <w:ind w:left="567" w:hanging="567"/>
      </w:pPr>
      <w:bookmarkStart w:id="21" w:name="_Toc126920691"/>
      <w:bookmarkStart w:id="22" w:name="_Toc42906207"/>
      <w:bookmarkStart w:id="23" w:name="_Toc1759086941"/>
      <w:r w:rsidRPr="001B7D5F">
        <w:t>Commencement and term</w:t>
      </w:r>
      <w:bookmarkEnd w:id="21"/>
      <w:r w:rsidRPr="001B7D5F">
        <w:t xml:space="preserve"> </w:t>
      </w:r>
      <w:bookmarkEnd w:id="22"/>
      <w:bookmarkEnd w:id="23"/>
    </w:p>
    <w:p w14:paraId="070DEB49" w14:textId="4120C667" w:rsidR="00543E6F" w:rsidRPr="001B7D5F" w:rsidRDefault="00543E6F" w:rsidP="00A70546">
      <w:pPr>
        <w:pStyle w:val="BodyText"/>
        <w:numPr>
          <w:ilvl w:val="2"/>
          <w:numId w:val="15"/>
        </w:numPr>
      </w:pPr>
      <w:r w:rsidRPr="001B7D5F">
        <w:t>This Agreement will commence on 1 July 2023 and expir</w:t>
      </w:r>
      <w:r w:rsidR="00F037D5" w:rsidRPr="001B7D5F">
        <w:t>e</w:t>
      </w:r>
      <w:r w:rsidRPr="001B7D5F">
        <w:t xml:space="preserve"> on 30 June 2027, unless the Parties agree unanimously in writing to an early termination or to an extension of the Term.</w:t>
      </w:r>
    </w:p>
    <w:p w14:paraId="1C47CCB7" w14:textId="2418408B" w:rsidR="00543E6F" w:rsidRPr="001B7D5F" w:rsidRDefault="377C1DC1" w:rsidP="00A70546">
      <w:pPr>
        <w:pStyle w:val="Heading3"/>
        <w:numPr>
          <w:ilvl w:val="1"/>
          <w:numId w:val="15"/>
        </w:numPr>
        <w:ind w:left="567" w:hanging="567"/>
      </w:pPr>
      <w:bookmarkStart w:id="24" w:name="_Toc126920692"/>
      <w:bookmarkStart w:id="25" w:name="_Toc885090024"/>
      <w:bookmarkStart w:id="26" w:name="_Toc1135964714"/>
      <w:r w:rsidRPr="001B7D5F">
        <w:t>Variation/Amendment</w:t>
      </w:r>
      <w:bookmarkEnd w:id="24"/>
      <w:bookmarkEnd w:id="25"/>
      <w:bookmarkEnd w:id="26"/>
    </w:p>
    <w:p w14:paraId="313813FB" w14:textId="767A75DB" w:rsidR="00A15B7A" w:rsidRPr="001B7D5F" w:rsidRDefault="00543E6F" w:rsidP="00A70546">
      <w:pPr>
        <w:pStyle w:val="BodyText"/>
        <w:numPr>
          <w:ilvl w:val="2"/>
          <w:numId w:val="15"/>
        </w:numPr>
      </w:pPr>
      <w:r w:rsidRPr="001B7D5F">
        <w:t>This Agreement</w:t>
      </w:r>
      <w:r w:rsidR="00F037D5" w:rsidRPr="001B7D5F">
        <w:t xml:space="preserve"> </w:t>
      </w:r>
      <w:r w:rsidRPr="001B7D5F">
        <w:t xml:space="preserve">may be amended at any time by the unanimous decision of </w:t>
      </w:r>
      <w:r w:rsidR="005A49A9" w:rsidRPr="001B7D5F">
        <w:t xml:space="preserve">the </w:t>
      </w:r>
      <w:r w:rsidRPr="001B7D5F">
        <w:t xml:space="preserve">Parties. Any amendment must be made in writing and executed by </w:t>
      </w:r>
      <w:r w:rsidR="005A49A9" w:rsidRPr="001B7D5F">
        <w:t xml:space="preserve">the </w:t>
      </w:r>
      <w:r w:rsidRPr="001B7D5F">
        <w:t>Parties and will include the date on which the amendment will come into force.</w:t>
      </w:r>
    </w:p>
    <w:p w14:paraId="57A1D471" w14:textId="2EA5C8B3" w:rsidR="00543E6F" w:rsidRPr="001B7D5F" w:rsidRDefault="00E344BE" w:rsidP="00FE6209">
      <w:pPr>
        <w:pStyle w:val="Heading3"/>
        <w:pageBreakBefore/>
        <w:numPr>
          <w:ilvl w:val="1"/>
          <w:numId w:val="15"/>
        </w:numPr>
        <w:ind w:left="567" w:hanging="567"/>
      </w:pPr>
      <w:bookmarkStart w:id="27" w:name="_Toc126920693"/>
      <w:bookmarkStart w:id="28" w:name="_Toc403321666"/>
      <w:bookmarkStart w:id="29" w:name="_Toc1442258674"/>
      <w:r w:rsidRPr="001B7D5F">
        <w:lastRenderedPageBreak/>
        <w:t>Authority to Act</w:t>
      </w:r>
      <w:bookmarkEnd w:id="27"/>
      <w:bookmarkEnd w:id="28"/>
      <w:bookmarkEnd w:id="29"/>
    </w:p>
    <w:p w14:paraId="765FD880" w14:textId="1A020B91" w:rsidR="00543E6F" w:rsidRPr="001B7D5F" w:rsidRDefault="00543E6F" w:rsidP="00A70546">
      <w:pPr>
        <w:pStyle w:val="BodyText"/>
        <w:numPr>
          <w:ilvl w:val="2"/>
          <w:numId w:val="15"/>
        </w:numPr>
      </w:pPr>
      <w:r w:rsidRPr="001B7D5F">
        <w:t xml:space="preserve">Parties may authorise Health Chief Executives, or </w:t>
      </w:r>
      <w:r w:rsidR="164722AE" w:rsidRPr="001B7D5F">
        <w:t xml:space="preserve">another </w:t>
      </w:r>
      <w:r w:rsidR="00A97434" w:rsidRPr="001B7D5F">
        <w:t xml:space="preserve">official </w:t>
      </w:r>
      <w:r w:rsidR="6D632C18" w:rsidRPr="001B7D5F">
        <w:t>within the Party</w:t>
      </w:r>
      <w:r w:rsidR="00A97434" w:rsidRPr="001B7D5F">
        <w:t>,</w:t>
      </w:r>
      <w:r w:rsidRPr="001B7D5F">
        <w:t xml:space="preserve"> to </w:t>
      </w:r>
      <w:r w:rsidR="6F464980" w:rsidRPr="001B7D5F">
        <w:t xml:space="preserve">represent the Party for the purposes of this Agreement, which may include </w:t>
      </w:r>
      <w:r w:rsidR="05AF0FB2" w:rsidRPr="001B7D5F">
        <w:t>amend</w:t>
      </w:r>
      <w:r w:rsidR="136FA4F6" w:rsidRPr="001B7D5F">
        <w:t>ing</w:t>
      </w:r>
      <w:r w:rsidRPr="001B7D5F">
        <w:t xml:space="preserve"> this Agreement. </w:t>
      </w:r>
    </w:p>
    <w:p w14:paraId="5601A474" w14:textId="657722ED" w:rsidR="00543E6F" w:rsidRPr="001B7D5F" w:rsidRDefault="377C1DC1" w:rsidP="00A70546">
      <w:pPr>
        <w:pStyle w:val="Heading3"/>
        <w:numPr>
          <w:ilvl w:val="1"/>
          <w:numId w:val="15"/>
        </w:numPr>
        <w:ind w:left="567" w:hanging="567"/>
      </w:pPr>
      <w:bookmarkStart w:id="30" w:name="_Toc126920694"/>
      <w:bookmarkStart w:id="31" w:name="_Toc306228053"/>
      <w:bookmarkStart w:id="32" w:name="_Toc802322786"/>
      <w:r w:rsidRPr="001B7D5F">
        <w:t>Withdrawal</w:t>
      </w:r>
      <w:bookmarkEnd w:id="30"/>
      <w:bookmarkEnd w:id="31"/>
      <w:bookmarkEnd w:id="32"/>
    </w:p>
    <w:p w14:paraId="21163C5B" w14:textId="7854A68D" w:rsidR="002B1B49" w:rsidRPr="001B7D5F" w:rsidRDefault="00B9231F" w:rsidP="00A70546">
      <w:pPr>
        <w:pStyle w:val="BodyText"/>
        <w:numPr>
          <w:ilvl w:val="2"/>
          <w:numId w:val="15"/>
        </w:numPr>
      </w:pPr>
      <w:r w:rsidRPr="001B7D5F">
        <w:t>A</w:t>
      </w:r>
      <w:r w:rsidR="00543E6F" w:rsidRPr="001B7D5F">
        <w:t xml:space="preserve"> Party may withdraw from this Agreement by sending written notice to all other Parties. The withdrawal will become effective six months after the notice was sent and pro-rata financial contributions for that notice period will continue to be payable. A Party may revoke its withdrawal at any time prior to it becoming effective. </w:t>
      </w:r>
    </w:p>
    <w:p w14:paraId="180EDD05" w14:textId="70D336FE" w:rsidR="00543E6F" w:rsidRPr="001B7D5F" w:rsidRDefault="00543E6F" w:rsidP="00A70546">
      <w:pPr>
        <w:pStyle w:val="BodyText"/>
        <w:numPr>
          <w:ilvl w:val="2"/>
          <w:numId w:val="15"/>
        </w:numPr>
      </w:pPr>
      <w:r w:rsidRPr="001B7D5F">
        <w:t>If a Party withdraws from this Agreement, this Agreement will continue in force with respect to the remaining Parties</w:t>
      </w:r>
      <w:r w:rsidR="00345845" w:rsidRPr="001B7D5F">
        <w:t>,</w:t>
      </w:r>
      <w:r w:rsidR="00CB1B3A" w:rsidRPr="001B7D5F">
        <w:t xml:space="preserve"> and Funds will</w:t>
      </w:r>
      <w:r w:rsidR="00731262" w:rsidRPr="001B7D5F">
        <w:t xml:space="preserve"> </w:t>
      </w:r>
      <w:r w:rsidR="00461134" w:rsidRPr="001B7D5F">
        <w:t xml:space="preserve">be </w:t>
      </w:r>
      <w:r w:rsidR="00234095" w:rsidRPr="001B7D5F">
        <w:t>maintained at the</w:t>
      </w:r>
      <w:r w:rsidR="004C0B00" w:rsidRPr="001B7D5F">
        <w:t xml:space="preserve"> amounts payable </w:t>
      </w:r>
      <w:r w:rsidR="00CB1B3A" w:rsidRPr="001B7D5F">
        <w:t xml:space="preserve">for each Party </w:t>
      </w:r>
      <w:r w:rsidR="003670B2" w:rsidRPr="001B7D5F">
        <w:t xml:space="preserve">as outlined </w:t>
      </w:r>
      <w:r w:rsidR="004C0B00" w:rsidRPr="001B7D5F">
        <w:t xml:space="preserve">in Schedule </w:t>
      </w:r>
      <w:r w:rsidR="00345845" w:rsidRPr="001B7D5F">
        <w:t>C</w:t>
      </w:r>
      <w:r w:rsidR="003670B2" w:rsidRPr="001B7D5F">
        <w:t>,</w:t>
      </w:r>
      <w:r w:rsidR="004C0B00" w:rsidRPr="001B7D5F" w:rsidDel="004C0B00">
        <w:t xml:space="preserve"> </w:t>
      </w:r>
      <w:r w:rsidR="00731262" w:rsidRPr="001B7D5F">
        <w:t xml:space="preserve">unless all Parties unanimously agree to vary </w:t>
      </w:r>
      <w:r w:rsidR="003670B2" w:rsidRPr="001B7D5F">
        <w:t xml:space="preserve">funding under </w:t>
      </w:r>
      <w:r w:rsidR="00731262" w:rsidRPr="001B7D5F">
        <w:t>th</w:t>
      </w:r>
      <w:r w:rsidR="003670B2" w:rsidRPr="001B7D5F">
        <w:t>is</w:t>
      </w:r>
      <w:r w:rsidR="00731262" w:rsidRPr="001B7D5F">
        <w:t xml:space="preserve"> Agreement.</w:t>
      </w:r>
    </w:p>
    <w:p w14:paraId="0D41CB5B" w14:textId="43399116" w:rsidR="00543E6F" w:rsidRPr="001B7D5F" w:rsidRDefault="377C1DC1" w:rsidP="00A70546">
      <w:pPr>
        <w:pStyle w:val="Heading3"/>
        <w:numPr>
          <w:ilvl w:val="1"/>
          <w:numId w:val="15"/>
        </w:numPr>
        <w:ind w:left="567" w:hanging="567"/>
      </w:pPr>
      <w:bookmarkStart w:id="33" w:name="_Toc126920695"/>
      <w:bookmarkStart w:id="34" w:name="_Toc997558686"/>
      <w:bookmarkStart w:id="35" w:name="_Toc169135"/>
      <w:r w:rsidRPr="001B7D5F">
        <w:t>Dispute resolution</w:t>
      </w:r>
      <w:bookmarkEnd w:id="33"/>
      <w:bookmarkEnd w:id="34"/>
      <w:bookmarkEnd w:id="35"/>
    </w:p>
    <w:p w14:paraId="302320ED" w14:textId="7A5E965B" w:rsidR="00543E6F" w:rsidRPr="001B7D5F" w:rsidRDefault="00543E6F" w:rsidP="00A70546">
      <w:pPr>
        <w:pStyle w:val="BodyText"/>
        <w:numPr>
          <w:ilvl w:val="2"/>
          <w:numId w:val="15"/>
        </w:numPr>
      </w:pPr>
      <w:r w:rsidRPr="001B7D5F">
        <w:t xml:space="preserve">Any Party may give notice to other Parties of a dispute under this Agreement. Officials of relevant Parties will take action to resolve any dispute in the first instance. </w:t>
      </w:r>
    </w:p>
    <w:p w14:paraId="4EB2E6C9" w14:textId="77777777" w:rsidR="00543E6F" w:rsidRPr="001B7D5F" w:rsidRDefault="00543E6F" w:rsidP="00A70546">
      <w:pPr>
        <w:pStyle w:val="BodyText"/>
        <w:numPr>
          <w:ilvl w:val="2"/>
          <w:numId w:val="15"/>
        </w:numPr>
      </w:pPr>
      <w:r w:rsidRPr="001B7D5F">
        <w:t>If a dispute cannot be resolved by officials, it may be escalated to Health Ministers. Health Ministers may seek external expertise to inform their approach.</w:t>
      </w:r>
    </w:p>
    <w:p w14:paraId="572EF831" w14:textId="6C2370F6" w:rsidR="00840F2E" w:rsidRPr="001B7D5F" w:rsidRDefault="147AF4C8" w:rsidP="00A70546">
      <w:pPr>
        <w:pStyle w:val="Heading2"/>
      </w:pPr>
      <w:bookmarkStart w:id="36" w:name="_Toc939164422"/>
      <w:bookmarkStart w:id="37" w:name="_Toc372107023"/>
      <w:r w:rsidRPr="001B7D5F">
        <w:t xml:space="preserve">6. </w:t>
      </w:r>
      <w:r w:rsidR="50328725" w:rsidRPr="001B7D5F">
        <w:t>Governance</w:t>
      </w:r>
      <w:bookmarkEnd w:id="36"/>
      <w:bookmarkEnd w:id="37"/>
    </w:p>
    <w:p w14:paraId="3FF45015" w14:textId="456C1115" w:rsidR="00840F2E" w:rsidRPr="001B7D5F" w:rsidRDefault="50328725" w:rsidP="00A70546">
      <w:pPr>
        <w:pStyle w:val="Heading3"/>
        <w:numPr>
          <w:ilvl w:val="1"/>
          <w:numId w:val="16"/>
        </w:numPr>
        <w:ind w:left="567" w:hanging="567"/>
      </w:pPr>
      <w:bookmarkStart w:id="38" w:name="_Toc126920697"/>
      <w:bookmarkStart w:id="39" w:name="_Toc1949760683"/>
      <w:bookmarkStart w:id="40" w:name="_Toc1916943124"/>
      <w:r w:rsidRPr="001B7D5F">
        <w:t>Governance role</w:t>
      </w:r>
      <w:bookmarkEnd w:id="38"/>
      <w:bookmarkEnd w:id="39"/>
      <w:bookmarkEnd w:id="40"/>
    </w:p>
    <w:p w14:paraId="1AB11F21" w14:textId="6FA9652C" w:rsidR="00840F2E" w:rsidRPr="001B7D5F" w:rsidRDefault="00840F2E" w:rsidP="00A70546">
      <w:pPr>
        <w:pStyle w:val="BodyText"/>
        <w:numPr>
          <w:ilvl w:val="2"/>
          <w:numId w:val="16"/>
        </w:numPr>
        <w:ind w:left="567" w:hanging="567"/>
      </w:pPr>
      <w:r w:rsidRPr="001B7D5F">
        <w:t xml:space="preserve">An Oversight Committee will be established to support implementation of this Agreement and provide the mechanism for the Commonwealth, </w:t>
      </w:r>
      <w:r w:rsidR="00094633" w:rsidRPr="001B7D5F">
        <w:t>s</w:t>
      </w:r>
      <w:r w:rsidRPr="001B7D5F">
        <w:t xml:space="preserve">tates and </w:t>
      </w:r>
      <w:r w:rsidR="00094633" w:rsidRPr="001B7D5F">
        <w:t>t</w:t>
      </w:r>
      <w:r w:rsidRPr="001B7D5F">
        <w:t>erritories to collaborate and decide on their collective investments under this Agreement and monitor implementation of the Agreement.</w:t>
      </w:r>
    </w:p>
    <w:p w14:paraId="1804053D" w14:textId="5B82752B" w:rsidR="00840F2E" w:rsidRPr="001B7D5F" w:rsidRDefault="00840F2E" w:rsidP="00A70546">
      <w:pPr>
        <w:pStyle w:val="BodyText"/>
        <w:numPr>
          <w:ilvl w:val="2"/>
          <w:numId w:val="16"/>
        </w:numPr>
        <w:ind w:left="567" w:hanging="567"/>
      </w:pPr>
      <w:r w:rsidRPr="001B7D5F">
        <w:t xml:space="preserve">The Oversight Committee </w:t>
      </w:r>
      <w:r w:rsidR="00A814AE" w:rsidRPr="001B7D5F">
        <w:t>will</w:t>
      </w:r>
      <w:r w:rsidR="004F54A7" w:rsidRPr="001B7D5F">
        <w:t xml:space="preserve"> </w:t>
      </w:r>
      <w:r w:rsidRPr="001B7D5F">
        <w:t>also consider how specific programs funded separately to this Agreement could be leveraged, or may impact on, the investments under the Agreement.</w:t>
      </w:r>
    </w:p>
    <w:p w14:paraId="6D49BD3D" w14:textId="7F38C6F1" w:rsidR="00840F2E" w:rsidRPr="001B7D5F" w:rsidRDefault="50328725" w:rsidP="00A70546">
      <w:pPr>
        <w:pStyle w:val="Heading3"/>
        <w:numPr>
          <w:ilvl w:val="1"/>
          <w:numId w:val="16"/>
        </w:numPr>
        <w:ind w:left="567" w:hanging="567"/>
      </w:pPr>
      <w:bookmarkStart w:id="41" w:name="_Toc126920698"/>
      <w:bookmarkStart w:id="42" w:name="_Toc1983466710"/>
      <w:bookmarkStart w:id="43" w:name="_Toc593359958"/>
      <w:r w:rsidRPr="001B7D5F">
        <w:t>Membership/Participation</w:t>
      </w:r>
      <w:bookmarkEnd w:id="41"/>
      <w:bookmarkEnd w:id="42"/>
      <w:bookmarkEnd w:id="43"/>
    </w:p>
    <w:p w14:paraId="40EDC353" w14:textId="36D5D501" w:rsidR="00840F2E" w:rsidRPr="001B7D5F" w:rsidRDefault="00840F2E" w:rsidP="00A70546">
      <w:pPr>
        <w:pStyle w:val="BodyText"/>
        <w:numPr>
          <w:ilvl w:val="2"/>
          <w:numId w:val="16"/>
        </w:numPr>
        <w:ind w:left="567" w:hanging="567"/>
      </w:pPr>
      <w:r w:rsidRPr="001B7D5F">
        <w:t xml:space="preserve">Members of the Oversight Committee will include officials </w:t>
      </w:r>
      <w:r w:rsidR="57CCD4CF" w:rsidRPr="001B7D5F">
        <w:t xml:space="preserve">authorised to act on behalf </w:t>
      </w:r>
      <w:r w:rsidRPr="001B7D5F">
        <w:t xml:space="preserve">of each of the Parties. Each Party will determine </w:t>
      </w:r>
      <w:r w:rsidR="004C783A" w:rsidRPr="001B7D5F">
        <w:t>one voting</w:t>
      </w:r>
      <w:r w:rsidRPr="001B7D5F">
        <w:t xml:space="preserve"> representative through their respective internal processes</w:t>
      </w:r>
      <w:r w:rsidR="00392BA2" w:rsidRPr="001B7D5F">
        <w:t xml:space="preserve"> and advise the Secretariat of that representative</w:t>
      </w:r>
      <w:r w:rsidR="00360ED3" w:rsidRPr="001B7D5F">
        <w:t>’</w:t>
      </w:r>
      <w:r w:rsidR="00392BA2" w:rsidRPr="001B7D5F">
        <w:t>s contact details</w:t>
      </w:r>
      <w:r w:rsidRPr="001B7D5F">
        <w:t>.</w:t>
      </w:r>
      <w:r w:rsidR="00422523" w:rsidRPr="001B7D5F">
        <w:t xml:space="preserve"> </w:t>
      </w:r>
      <w:r w:rsidRPr="001B7D5F">
        <w:t xml:space="preserve"> </w:t>
      </w:r>
    </w:p>
    <w:p w14:paraId="7C6B0BDC" w14:textId="5CE54D7B" w:rsidR="00840F2E" w:rsidRPr="001B7D5F" w:rsidRDefault="50328725" w:rsidP="00A70546">
      <w:pPr>
        <w:pStyle w:val="Heading3"/>
        <w:numPr>
          <w:ilvl w:val="1"/>
          <w:numId w:val="16"/>
        </w:numPr>
        <w:ind w:left="567" w:hanging="567"/>
      </w:pPr>
      <w:bookmarkStart w:id="44" w:name="_Toc126920699"/>
      <w:bookmarkStart w:id="45" w:name="_Toc597728482"/>
      <w:bookmarkStart w:id="46" w:name="_Toc660939608"/>
      <w:r w:rsidRPr="001B7D5F">
        <w:t>Costs of Participation</w:t>
      </w:r>
      <w:bookmarkEnd w:id="44"/>
      <w:bookmarkEnd w:id="45"/>
      <w:bookmarkEnd w:id="46"/>
    </w:p>
    <w:p w14:paraId="31B2E66B" w14:textId="77777777" w:rsidR="00840F2E" w:rsidRPr="001B7D5F" w:rsidRDefault="00840F2E" w:rsidP="00A70546">
      <w:pPr>
        <w:pStyle w:val="BodyText"/>
        <w:numPr>
          <w:ilvl w:val="2"/>
          <w:numId w:val="16"/>
        </w:numPr>
        <w:ind w:left="567" w:hanging="567"/>
      </w:pPr>
      <w:r w:rsidRPr="001B7D5F">
        <w:t>All members of the Oversight Committee will cover their respective costs of participation in any meetings, including access to virtual platforms or travel for any face-to-face meetings.</w:t>
      </w:r>
    </w:p>
    <w:p w14:paraId="35FBE8B6" w14:textId="395A3B6C" w:rsidR="00A15B7A" w:rsidRPr="001B7D5F" w:rsidRDefault="002250CB" w:rsidP="00A70546">
      <w:pPr>
        <w:pStyle w:val="BodyText"/>
        <w:numPr>
          <w:ilvl w:val="2"/>
          <w:numId w:val="16"/>
        </w:numPr>
        <w:ind w:left="567" w:hanging="567"/>
      </w:pPr>
      <w:r w:rsidRPr="001B7D5F">
        <w:t xml:space="preserve">Parties </w:t>
      </w:r>
      <w:r w:rsidR="00840F2E" w:rsidRPr="001B7D5F">
        <w:t>undertake to support the work of the Secretariat by providing in-kind staffing support where an agreed task requires collective input.</w:t>
      </w:r>
    </w:p>
    <w:p w14:paraId="6D54F761" w14:textId="1736013C" w:rsidR="00840F2E" w:rsidRPr="001B7D5F" w:rsidRDefault="50328725" w:rsidP="00FE6209">
      <w:pPr>
        <w:pStyle w:val="Heading3"/>
        <w:pageBreakBefore/>
        <w:numPr>
          <w:ilvl w:val="1"/>
          <w:numId w:val="16"/>
        </w:numPr>
        <w:ind w:left="567" w:hanging="567"/>
      </w:pPr>
      <w:bookmarkStart w:id="47" w:name="_Toc126920700"/>
      <w:bookmarkStart w:id="48" w:name="_Toc1314595976"/>
      <w:bookmarkStart w:id="49" w:name="_Toc1234636122"/>
      <w:r w:rsidRPr="001B7D5F">
        <w:lastRenderedPageBreak/>
        <w:t>Delivery Partners</w:t>
      </w:r>
      <w:bookmarkEnd w:id="47"/>
      <w:bookmarkEnd w:id="48"/>
      <w:bookmarkEnd w:id="49"/>
    </w:p>
    <w:p w14:paraId="6FA33201" w14:textId="65516A35" w:rsidR="00840F2E" w:rsidRPr="001B7D5F" w:rsidRDefault="00840F2E" w:rsidP="00A70546">
      <w:pPr>
        <w:pStyle w:val="BodyText"/>
        <w:numPr>
          <w:ilvl w:val="2"/>
          <w:numId w:val="16"/>
        </w:numPr>
        <w:ind w:left="567" w:hanging="567"/>
      </w:pPr>
      <w:r w:rsidRPr="001B7D5F">
        <w:t xml:space="preserve">While not Parties to the Agreement, the following entities are essential </w:t>
      </w:r>
      <w:r w:rsidR="00624B30" w:rsidRPr="001B7D5F">
        <w:t>D</w:t>
      </w:r>
      <w:r w:rsidRPr="001B7D5F">
        <w:t xml:space="preserve">elivery </w:t>
      </w:r>
      <w:r w:rsidR="00624B30" w:rsidRPr="001B7D5F">
        <w:t>P</w:t>
      </w:r>
      <w:r w:rsidRPr="001B7D5F">
        <w:t xml:space="preserve">artners in the implementation and ongoing support for national digital health </w:t>
      </w:r>
      <w:r w:rsidR="001520D5" w:rsidRPr="001B7D5F">
        <w:t xml:space="preserve">in Australia </w:t>
      </w:r>
      <w:r w:rsidRPr="001B7D5F">
        <w:t xml:space="preserve">and will be </w:t>
      </w:r>
      <w:bookmarkStart w:id="50" w:name="_Hlk126937841"/>
      <w:r w:rsidRPr="001B7D5F">
        <w:t xml:space="preserve">invited to participate in the governance arrangements </w:t>
      </w:r>
      <w:r w:rsidR="00EE06E0" w:rsidRPr="001B7D5F">
        <w:t>to support</w:t>
      </w:r>
      <w:r w:rsidRPr="001B7D5F">
        <w:t xml:space="preserve"> </w:t>
      </w:r>
      <w:r w:rsidR="00EE06E0" w:rsidRPr="001B7D5F">
        <w:t xml:space="preserve">collaboration and </w:t>
      </w:r>
      <w:r w:rsidRPr="001B7D5F">
        <w:t>implementation of the Agreement</w:t>
      </w:r>
      <w:bookmarkEnd w:id="50"/>
      <w:r w:rsidRPr="001B7D5F">
        <w:t>:</w:t>
      </w:r>
    </w:p>
    <w:p w14:paraId="62C2549C" w14:textId="77777777" w:rsidR="00840F2E" w:rsidRPr="001B7D5F" w:rsidRDefault="00840F2E" w:rsidP="00A70546">
      <w:pPr>
        <w:pStyle w:val="BodyText"/>
        <w:numPr>
          <w:ilvl w:val="1"/>
          <w:numId w:val="17"/>
        </w:numPr>
        <w:ind w:left="1418" w:hanging="284"/>
      </w:pPr>
      <w:r w:rsidRPr="001B7D5F">
        <w:t>Australian Digital Health Agency</w:t>
      </w:r>
    </w:p>
    <w:p w14:paraId="2C413B07" w14:textId="77777777" w:rsidR="001B3BEE" w:rsidRPr="001B7D5F" w:rsidRDefault="001B3BEE" w:rsidP="00A70546">
      <w:pPr>
        <w:pStyle w:val="BodyText"/>
        <w:numPr>
          <w:ilvl w:val="1"/>
          <w:numId w:val="17"/>
        </w:numPr>
        <w:ind w:left="1418" w:hanging="284"/>
      </w:pPr>
      <w:r w:rsidRPr="001B7D5F">
        <w:t>Services Australia</w:t>
      </w:r>
    </w:p>
    <w:p w14:paraId="2D001D01" w14:textId="7F646524" w:rsidR="00D570DC" w:rsidRPr="001B7D5F" w:rsidRDefault="00840F2E" w:rsidP="00A70546">
      <w:pPr>
        <w:pStyle w:val="BodyText"/>
        <w:numPr>
          <w:ilvl w:val="1"/>
          <w:numId w:val="17"/>
        </w:numPr>
        <w:ind w:left="1418" w:hanging="284"/>
      </w:pPr>
      <w:r w:rsidRPr="001B7D5F">
        <w:t>Healthdirect Australia</w:t>
      </w:r>
    </w:p>
    <w:p w14:paraId="66CC6B45" w14:textId="18A1C9EC" w:rsidR="00840F2E" w:rsidRPr="001B7D5F" w:rsidRDefault="00840F2E" w:rsidP="00A70546">
      <w:pPr>
        <w:pStyle w:val="BodyText"/>
        <w:numPr>
          <w:ilvl w:val="1"/>
          <w:numId w:val="17"/>
        </w:numPr>
        <w:ind w:left="1418" w:hanging="284"/>
      </w:pPr>
      <w:r w:rsidRPr="001B7D5F">
        <w:t xml:space="preserve">Other </w:t>
      </w:r>
      <w:r w:rsidR="00700070" w:rsidRPr="001B7D5F">
        <w:t>D</w:t>
      </w:r>
      <w:r w:rsidRPr="001B7D5F">
        <w:t xml:space="preserve">elivery </w:t>
      </w:r>
      <w:r w:rsidR="00700070" w:rsidRPr="001B7D5F">
        <w:t>P</w:t>
      </w:r>
      <w:r w:rsidRPr="001B7D5F">
        <w:t xml:space="preserve">artners as identified by </w:t>
      </w:r>
      <w:r w:rsidR="4A93B78D" w:rsidRPr="001B7D5F">
        <w:t xml:space="preserve">the </w:t>
      </w:r>
      <w:r w:rsidRPr="001B7D5F">
        <w:t>Parties or delegated officials of the Parties.</w:t>
      </w:r>
    </w:p>
    <w:p w14:paraId="5296AACC" w14:textId="212AABB0" w:rsidR="00945F63" w:rsidRPr="001B7D5F" w:rsidRDefault="00CF5AFC" w:rsidP="00A70546">
      <w:pPr>
        <w:pStyle w:val="BodyText"/>
        <w:numPr>
          <w:ilvl w:val="2"/>
          <w:numId w:val="16"/>
        </w:numPr>
        <w:ind w:left="567" w:hanging="567"/>
      </w:pPr>
      <w:r w:rsidRPr="001B7D5F">
        <w:t>The</w:t>
      </w:r>
      <w:r w:rsidR="00CE1F2E" w:rsidRPr="001B7D5F">
        <w:t xml:space="preserve"> Parties recognise the</w:t>
      </w:r>
      <w:r w:rsidRPr="001B7D5F">
        <w:t xml:space="preserve"> Agency as the primary</w:t>
      </w:r>
      <w:r w:rsidR="0D8FD627" w:rsidRPr="001B7D5F">
        <w:t xml:space="preserve"> agency for national digital health in Australia,</w:t>
      </w:r>
      <w:r w:rsidRPr="001B7D5F">
        <w:t xml:space="preserve"> with a direct responsibility to </w:t>
      </w:r>
      <w:r w:rsidR="103F7C79" w:rsidRPr="001B7D5F">
        <w:t xml:space="preserve">act collaboratively with the Commonwealth and States and Territories. </w:t>
      </w:r>
      <w:r w:rsidR="00E51A03" w:rsidRPr="001B7D5F">
        <w:t>Services Australia</w:t>
      </w:r>
      <w:r w:rsidR="001B3BEE">
        <w:t>,</w:t>
      </w:r>
      <w:r w:rsidR="00E51A03" w:rsidRPr="001B7D5F">
        <w:t xml:space="preserve"> </w:t>
      </w:r>
      <w:r w:rsidR="001B3BEE" w:rsidRPr="001B7D5F">
        <w:t xml:space="preserve">Healthdirect Australia </w:t>
      </w:r>
      <w:r w:rsidR="00E51A03" w:rsidRPr="001B7D5F">
        <w:t>and</w:t>
      </w:r>
      <w:r w:rsidR="00CE1F2E" w:rsidRPr="001B7D5F">
        <w:t xml:space="preserve"> o</w:t>
      </w:r>
      <w:r w:rsidRPr="001B7D5F">
        <w:t>ther</w:t>
      </w:r>
      <w:r w:rsidR="004616D9" w:rsidRPr="001B7D5F">
        <w:t xml:space="preserve"> Delivery Partners </w:t>
      </w:r>
      <w:r w:rsidR="002C1571" w:rsidRPr="001B7D5F">
        <w:t xml:space="preserve">also play a critical role </w:t>
      </w:r>
      <w:r w:rsidR="00371F45" w:rsidRPr="001B7D5F">
        <w:t xml:space="preserve">in </w:t>
      </w:r>
      <w:r w:rsidR="00E51A03" w:rsidRPr="001B7D5F">
        <w:t xml:space="preserve">the </w:t>
      </w:r>
      <w:r w:rsidR="00371F45" w:rsidRPr="001B7D5F">
        <w:t>delivery of national digital health services</w:t>
      </w:r>
      <w:r w:rsidR="002C1571" w:rsidRPr="001B7D5F">
        <w:t xml:space="preserve"> and </w:t>
      </w:r>
      <w:r w:rsidR="00371F45" w:rsidRPr="001B7D5F">
        <w:t xml:space="preserve">will be </w:t>
      </w:r>
      <w:r w:rsidRPr="001B7D5F">
        <w:t>engage</w:t>
      </w:r>
      <w:r w:rsidR="00371F45" w:rsidRPr="001B7D5F">
        <w:t>d</w:t>
      </w:r>
      <w:r w:rsidR="00103CDF" w:rsidRPr="001B7D5F">
        <w:t xml:space="preserve"> under this Agreement through the new Oversight Committee as outlined in </w:t>
      </w:r>
      <w:r w:rsidR="00AF5F34" w:rsidRPr="001B7D5F">
        <w:t>section</w:t>
      </w:r>
      <w:r w:rsidR="00E51A03" w:rsidRPr="001B7D5F">
        <w:t xml:space="preserve"> 6.5</w:t>
      </w:r>
      <w:r w:rsidR="0000115E" w:rsidRPr="001B7D5F">
        <w:t xml:space="preserve">. </w:t>
      </w:r>
      <w:r w:rsidR="00103CDF" w:rsidRPr="001B7D5F" w:rsidDel="00103CDF">
        <w:t xml:space="preserve"> </w:t>
      </w:r>
    </w:p>
    <w:p w14:paraId="4B3C2A34" w14:textId="7D0952A1" w:rsidR="00840F2E" w:rsidRPr="001B7D5F" w:rsidRDefault="00840F2E" w:rsidP="00A70546">
      <w:pPr>
        <w:pStyle w:val="BodyText"/>
        <w:numPr>
          <w:ilvl w:val="2"/>
          <w:numId w:val="16"/>
        </w:numPr>
        <w:ind w:left="567" w:hanging="567"/>
      </w:pPr>
      <w:r w:rsidRPr="001B7D5F">
        <w:t xml:space="preserve">Delivery </w:t>
      </w:r>
      <w:r w:rsidR="00F72FFF" w:rsidRPr="001B7D5F">
        <w:t>P</w:t>
      </w:r>
      <w:r w:rsidRPr="001B7D5F">
        <w:t xml:space="preserve">artners may participate </w:t>
      </w:r>
      <w:r w:rsidR="00E51A03" w:rsidRPr="001B7D5F">
        <w:t xml:space="preserve">in </w:t>
      </w:r>
      <w:r w:rsidRPr="001B7D5F">
        <w:t>discussions</w:t>
      </w:r>
      <w:r w:rsidR="00AF5F34" w:rsidRPr="001B7D5F">
        <w:t xml:space="preserve"> (by invitation) </w:t>
      </w:r>
      <w:r w:rsidR="00E51A03" w:rsidRPr="001B7D5F">
        <w:t>to support</w:t>
      </w:r>
      <w:r w:rsidR="00F4344C" w:rsidRPr="001B7D5F">
        <w:t xml:space="preserve"> the planning, alignment, coordination and evolution of</w:t>
      </w:r>
      <w:r w:rsidR="00F72FFF" w:rsidRPr="001B7D5F">
        <w:t xml:space="preserve"> Foundation Services, National Services and Strategic Priorit</w:t>
      </w:r>
      <w:r w:rsidR="00051689">
        <w:t>y Projects</w:t>
      </w:r>
      <w:r w:rsidR="00F72FFF" w:rsidRPr="001B7D5F">
        <w:t xml:space="preserve"> progressed through this Agreement</w:t>
      </w:r>
      <w:r w:rsidR="00410CE1" w:rsidRPr="001B7D5F">
        <w:t xml:space="preserve"> and other priorities as directed by Health Ministers</w:t>
      </w:r>
      <w:r w:rsidRPr="001B7D5F">
        <w:t xml:space="preserve">, including to identify opportunities to leverage existing </w:t>
      </w:r>
      <w:r w:rsidR="00F4344C" w:rsidRPr="001B7D5F">
        <w:t xml:space="preserve">services and priorities </w:t>
      </w:r>
      <w:r w:rsidR="00644A20" w:rsidRPr="001B7D5F">
        <w:t xml:space="preserve">funded </w:t>
      </w:r>
      <w:r w:rsidR="00F4344C" w:rsidRPr="001B7D5F">
        <w:t>within or outside of this Agreement</w:t>
      </w:r>
      <w:r w:rsidRPr="001B7D5F">
        <w:t>.</w:t>
      </w:r>
    </w:p>
    <w:p w14:paraId="5BB177D5" w14:textId="425111F4" w:rsidR="00624B30" w:rsidRPr="001B7D5F" w:rsidRDefault="00840F2E" w:rsidP="00A70546">
      <w:pPr>
        <w:pStyle w:val="BodyText"/>
        <w:numPr>
          <w:ilvl w:val="2"/>
          <w:numId w:val="16"/>
        </w:numPr>
        <w:ind w:left="567" w:hanging="567"/>
      </w:pPr>
      <w:r w:rsidRPr="001B7D5F">
        <w:t xml:space="preserve">Delivery </w:t>
      </w:r>
      <w:r w:rsidR="00F72FFF" w:rsidRPr="001B7D5F">
        <w:t>P</w:t>
      </w:r>
      <w:r w:rsidRPr="001B7D5F">
        <w:t xml:space="preserve">artners will </w:t>
      </w:r>
      <w:r w:rsidR="003F741A" w:rsidRPr="001B7D5F">
        <w:t>report</w:t>
      </w:r>
      <w:r w:rsidRPr="001B7D5F">
        <w:t xml:space="preserve"> to the Oversight Committee </w:t>
      </w:r>
      <w:r w:rsidR="00E51A03" w:rsidRPr="001B7D5F">
        <w:t>including the provision of monitoring</w:t>
      </w:r>
      <w:r w:rsidRPr="001B7D5F">
        <w:t xml:space="preserve"> reporting</w:t>
      </w:r>
      <w:r w:rsidR="00E51A03" w:rsidRPr="001B7D5F">
        <w:t xml:space="preserve"> as set out by the Oversight Committee</w:t>
      </w:r>
      <w:r w:rsidR="00AF5F34" w:rsidRPr="001B7D5F">
        <w:t>,</w:t>
      </w:r>
      <w:r w:rsidRPr="001B7D5F">
        <w:t xml:space="preserve"> of </w:t>
      </w:r>
      <w:r w:rsidR="00EE06E0" w:rsidRPr="001B7D5F">
        <w:t xml:space="preserve">any </w:t>
      </w:r>
      <w:r w:rsidR="00624B30" w:rsidRPr="001B7D5F">
        <w:t xml:space="preserve">Foundation Service, National Service </w:t>
      </w:r>
      <w:r w:rsidR="00EE06E0" w:rsidRPr="001B7D5F">
        <w:t xml:space="preserve">or </w:t>
      </w:r>
      <w:r w:rsidR="00624B30" w:rsidRPr="001B7D5F">
        <w:t>Strategic Priorit</w:t>
      </w:r>
      <w:r w:rsidR="00EE06E0" w:rsidRPr="001B7D5F">
        <w:t>y</w:t>
      </w:r>
      <w:r w:rsidR="00E242AE">
        <w:t xml:space="preserve"> Project</w:t>
      </w:r>
      <w:r w:rsidR="00624B30" w:rsidRPr="001B7D5F">
        <w:t xml:space="preserve"> funded by the Agreement</w:t>
      </w:r>
      <w:r w:rsidRPr="001B7D5F">
        <w:t>.</w:t>
      </w:r>
    </w:p>
    <w:p w14:paraId="651FD58E" w14:textId="69B3E691" w:rsidR="002D1869" w:rsidRPr="001B7D5F" w:rsidRDefault="002C1571" w:rsidP="00A70546">
      <w:pPr>
        <w:pStyle w:val="BodyText"/>
        <w:numPr>
          <w:ilvl w:val="2"/>
          <w:numId w:val="16"/>
        </w:numPr>
        <w:ind w:left="567" w:hanging="567"/>
      </w:pPr>
      <w:r w:rsidRPr="001B7D5F">
        <w:t xml:space="preserve">Delivery Partners </w:t>
      </w:r>
      <w:r w:rsidR="002D1869" w:rsidRPr="001B7D5F">
        <w:t>will routinely provide</w:t>
      </w:r>
      <w:r w:rsidRPr="001B7D5F">
        <w:t xml:space="preserve"> the Oversight Committee with updates </w:t>
      </w:r>
      <w:r w:rsidR="002D1869" w:rsidRPr="001B7D5F">
        <w:t>on the status of projects funded under this Agreement. Any over or underspends on services o</w:t>
      </w:r>
      <w:r w:rsidR="0021767C" w:rsidRPr="001B7D5F">
        <w:t>r</w:t>
      </w:r>
      <w:r w:rsidR="002D1869" w:rsidRPr="001B7D5F">
        <w:t xml:space="preserve"> projects will be discussed and by mutual agreement, funds may be reallocated within a financial year to existing or new Foundation Services, National Services or Strategic Priorit</w:t>
      </w:r>
      <w:r w:rsidR="00E242AE">
        <w:t>y Projects</w:t>
      </w:r>
      <w:r w:rsidR="002D1869" w:rsidRPr="001B7D5F">
        <w:t xml:space="preserve">. This would be in accordance with the Oversight Committee terms of reference, and where appropriate, the processes outlined in Schedule D of this Agreement. </w:t>
      </w:r>
    </w:p>
    <w:p w14:paraId="5E2BFB8F" w14:textId="090C6CC4" w:rsidR="00840F2E" w:rsidRPr="001B7D5F" w:rsidRDefault="00840F2E" w:rsidP="00A70546">
      <w:pPr>
        <w:pStyle w:val="BodyText"/>
        <w:numPr>
          <w:ilvl w:val="2"/>
          <w:numId w:val="16"/>
        </w:numPr>
        <w:ind w:left="567" w:hanging="567"/>
      </w:pPr>
      <w:r w:rsidRPr="001B7D5F">
        <w:t xml:space="preserve">Delivery </w:t>
      </w:r>
      <w:r w:rsidR="00624B30" w:rsidRPr="001B7D5F">
        <w:t>P</w:t>
      </w:r>
      <w:r w:rsidRPr="001B7D5F">
        <w:t>artners will not have a role in formal decision-making or allocating funding under the Agreement.</w:t>
      </w:r>
    </w:p>
    <w:p w14:paraId="585E81A7" w14:textId="39A8E8E2" w:rsidR="00840F2E" w:rsidRPr="001B7D5F" w:rsidRDefault="50328725" w:rsidP="00A70546">
      <w:pPr>
        <w:pStyle w:val="Heading3"/>
        <w:numPr>
          <w:ilvl w:val="1"/>
          <w:numId w:val="16"/>
        </w:numPr>
        <w:ind w:left="567" w:hanging="567"/>
      </w:pPr>
      <w:bookmarkStart w:id="51" w:name="_Toc126920701"/>
      <w:bookmarkStart w:id="52" w:name="_Toc1134758104"/>
      <w:bookmarkStart w:id="53" w:name="_Toc227339177"/>
      <w:r w:rsidRPr="001B7D5F">
        <w:t>Oversight Committee</w:t>
      </w:r>
      <w:bookmarkEnd w:id="51"/>
      <w:bookmarkEnd w:id="52"/>
      <w:bookmarkEnd w:id="53"/>
    </w:p>
    <w:p w14:paraId="7E4AED9E" w14:textId="35A14116" w:rsidR="00840F2E" w:rsidRPr="001B7D5F" w:rsidRDefault="004C7293" w:rsidP="00A70546">
      <w:pPr>
        <w:pStyle w:val="BodyText"/>
        <w:numPr>
          <w:ilvl w:val="2"/>
          <w:numId w:val="16"/>
        </w:numPr>
        <w:ind w:left="567" w:hanging="567"/>
      </w:pPr>
      <w:r w:rsidRPr="001B7D5F">
        <w:t>T</w:t>
      </w:r>
      <w:r w:rsidR="00840F2E" w:rsidRPr="001B7D5F">
        <w:t>he Oversight Committee will oversee implementation of the Agreement</w:t>
      </w:r>
      <w:r w:rsidR="000D3BB7" w:rsidRPr="001B7D5F">
        <w:t xml:space="preserve"> - </w:t>
      </w:r>
      <w:r w:rsidR="00840F2E" w:rsidRPr="001B7D5F">
        <w:t xml:space="preserve">including </w:t>
      </w:r>
      <w:r w:rsidRPr="001B7D5F">
        <w:t>implementation of the Objectives by their respective jurisdictions</w:t>
      </w:r>
      <w:r w:rsidR="000D3BB7" w:rsidRPr="001B7D5F">
        <w:t>,</w:t>
      </w:r>
      <w:r w:rsidRPr="001B7D5F">
        <w:t xml:space="preserve"> monitoring the </w:t>
      </w:r>
      <w:r w:rsidR="000D3BB7" w:rsidRPr="001B7D5F">
        <w:t xml:space="preserve">delivery </w:t>
      </w:r>
      <w:r w:rsidRPr="001B7D5F">
        <w:t xml:space="preserve">of </w:t>
      </w:r>
      <w:r w:rsidR="00840F2E" w:rsidRPr="001B7D5F">
        <w:t>National Services</w:t>
      </w:r>
      <w:r w:rsidR="00DD4ECB" w:rsidRPr="001B7D5F">
        <w:t xml:space="preserve">, </w:t>
      </w:r>
      <w:r w:rsidR="00840F2E" w:rsidRPr="001B7D5F">
        <w:t>Foundation Services and Strategic Priorit</w:t>
      </w:r>
      <w:r w:rsidR="00E242AE">
        <w:t>y Projects</w:t>
      </w:r>
      <w:r w:rsidR="008F00C5" w:rsidRPr="001B7D5F">
        <w:t xml:space="preserve"> funded through this Agreement</w:t>
      </w:r>
      <w:r w:rsidR="00840F2E" w:rsidRPr="001B7D5F">
        <w:t xml:space="preserve">, </w:t>
      </w:r>
      <w:r w:rsidRPr="001B7D5F">
        <w:t xml:space="preserve">as well as </w:t>
      </w:r>
      <w:r w:rsidR="001B2F25" w:rsidRPr="001B7D5F">
        <w:t>any other priorities as directed by Health Ministers.</w:t>
      </w:r>
    </w:p>
    <w:p w14:paraId="54CC5234" w14:textId="4EAF0943" w:rsidR="00A15B7A" w:rsidRPr="001B7D5F" w:rsidRDefault="001F08B4" w:rsidP="00A70546">
      <w:pPr>
        <w:pStyle w:val="BodyText"/>
        <w:numPr>
          <w:ilvl w:val="2"/>
          <w:numId w:val="16"/>
        </w:numPr>
        <w:ind w:left="567" w:hanging="567"/>
      </w:pPr>
      <w:r w:rsidRPr="001B7D5F">
        <w:t xml:space="preserve">In </w:t>
      </w:r>
      <w:r w:rsidR="00AF5F34" w:rsidRPr="001B7D5F">
        <w:t>ful</w:t>
      </w:r>
      <w:r w:rsidRPr="001B7D5F">
        <w:t>f</w:t>
      </w:r>
      <w:r w:rsidR="00AF5F34" w:rsidRPr="001B7D5F">
        <w:t>i</w:t>
      </w:r>
      <w:r w:rsidRPr="001B7D5F">
        <w:t>lling its functions</w:t>
      </w:r>
      <w:r w:rsidR="00894116" w:rsidRPr="001B7D5F">
        <w:t>, as outlined in Schedule B</w:t>
      </w:r>
      <w:r w:rsidRPr="001B7D5F">
        <w:t>, t</w:t>
      </w:r>
      <w:r w:rsidR="00840F2E" w:rsidRPr="001B7D5F">
        <w:t xml:space="preserve">he </w:t>
      </w:r>
      <w:r w:rsidR="003415E9" w:rsidRPr="001B7D5F">
        <w:t xml:space="preserve">Oversight </w:t>
      </w:r>
      <w:r w:rsidR="00840F2E" w:rsidRPr="001B7D5F">
        <w:t xml:space="preserve">Committee may consider other services </w:t>
      </w:r>
      <w:r w:rsidRPr="001B7D5F">
        <w:t xml:space="preserve">or activities </w:t>
      </w:r>
      <w:r w:rsidR="00840F2E" w:rsidRPr="001B7D5F">
        <w:t xml:space="preserve">funded </w:t>
      </w:r>
      <w:r w:rsidR="001B2F25" w:rsidRPr="001B7D5F">
        <w:t>outside</w:t>
      </w:r>
      <w:r w:rsidR="00840F2E" w:rsidRPr="001B7D5F">
        <w:t xml:space="preserve"> the Agreement, but which may have a bearing on the operation of </w:t>
      </w:r>
      <w:r w:rsidR="001B2F25" w:rsidRPr="001B7D5F">
        <w:t>National Services, Foundation Services and Strategic Priorit</w:t>
      </w:r>
      <w:r w:rsidR="00E242AE">
        <w:t>y Projects</w:t>
      </w:r>
      <w:r w:rsidR="001B2F25" w:rsidRPr="001B7D5F">
        <w:t xml:space="preserve"> funded through </w:t>
      </w:r>
      <w:r w:rsidR="00840F2E" w:rsidRPr="001B7D5F">
        <w:t>this Agreement.</w:t>
      </w:r>
    </w:p>
    <w:p w14:paraId="36988C31" w14:textId="33B877FB" w:rsidR="00840F2E" w:rsidRPr="001B7D5F" w:rsidRDefault="00840F2E" w:rsidP="00FE6209">
      <w:pPr>
        <w:pStyle w:val="BodyText"/>
        <w:pageBreakBefore/>
        <w:numPr>
          <w:ilvl w:val="2"/>
          <w:numId w:val="16"/>
        </w:numPr>
        <w:ind w:left="567" w:hanging="567"/>
      </w:pPr>
      <w:r w:rsidRPr="00F12EA2">
        <w:lastRenderedPageBreak/>
        <w:t>The Oversight Committee</w:t>
      </w:r>
      <w:r w:rsidR="00946456" w:rsidRPr="00F12EA2">
        <w:t>, not including Delivery Partners,</w:t>
      </w:r>
      <w:r w:rsidRPr="00F12EA2">
        <w:t xml:space="preserve"> will be responsible</w:t>
      </w:r>
      <w:r w:rsidRPr="001B7D5F">
        <w:t xml:space="preserve"> for:</w:t>
      </w:r>
    </w:p>
    <w:p w14:paraId="4B26E984" w14:textId="584F412E" w:rsidR="00840F2E" w:rsidRPr="001B7D5F" w:rsidRDefault="00E51A03" w:rsidP="00A70546">
      <w:pPr>
        <w:pStyle w:val="BodyText"/>
        <w:numPr>
          <w:ilvl w:val="0"/>
          <w:numId w:val="37"/>
        </w:numPr>
      </w:pPr>
      <w:r w:rsidRPr="001B7D5F">
        <w:t>E</w:t>
      </w:r>
      <w:r w:rsidR="00840F2E" w:rsidRPr="001B7D5F">
        <w:t>xtending/varying this Agreement on behalf of their jurisdiction</w:t>
      </w:r>
      <w:r w:rsidRPr="001B7D5F">
        <w:t>, subject to approved delegation provisions (</w:t>
      </w:r>
      <w:r w:rsidR="00590376" w:rsidRPr="001B7D5F">
        <w:t xml:space="preserve">refer </w:t>
      </w:r>
      <w:r w:rsidRPr="001B7D5F">
        <w:t>clause 5.3.1)</w:t>
      </w:r>
      <w:r w:rsidR="00D60C73" w:rsidRPr="001B7D5F">
        <w:t>.</w:t>
      </w:r>
    </w:p>
    <w:p w14:paraId="25578AEB" w14:textId="18BB3640" w:rsidR="00C3231E" w:rsidRPr="001B7D5F" w:rsidRDefault="00C3231E" w:rsidP="00A70546">
      <w:pPr>
        <w:pStyle w:val="BodyText"/>
        <w:numPr>
          <w:ilvl w:val="0"/>
          <w:numId w:val="37"/>
        </w:numPr>
      </w:pPr>
      <w:r w:rsidRPr="001B7D5F">
        <w:t xml:space="preserve">Reviewing </w:t>
      </w:r>
      <w:r w:rsidR="00E51A03" w:rsidRPr="001B7D5F">
        <w:t xml:space="preserve">the </w:t>
      </w:r>
      <w:r w:rsidRPr="001B7D5F">
        <w:t xml:space="preserve">Agency </w:t>
      </w:r>
      <w:r w:rsidR="003415E9" w:rsidRPr="001B7D5F">
        <w:t>Work Plan</w:t>
      </w:r>
      <w:r w:rsidRPr="001B7D5F">
        <w:t xml:space="preserve"> </w:t>
      </w:r>
      <w:r w:rsidR="00946456" w:rsidRPr="001B7D5F">
        <w:t xml:space="preserve">to inform </w:t>
      </w:r>
      <w:r w:rsidRPr="001B7D5F">
        <w:t>allocation of funding under this Agreement.</w:t>
      </w:r>
    </w:p>
    <w:p w14:paraId="6B3C1EFE" w14:textId="152DB451" w:rsidR="00906C1A" w:rsidRPr="001B7D5F" w:rsidRDefault="00D60C73" w:rsidP="00A70546">
      <w:pPr>
        <w:pStyle w:val="BodyText"/>
        <w:numPr>
          <w:ilvl w:val="0"/>
          <w:numId w:val="37"/>
        </w:numPr>
      </w:pPr>
      <w:r w:rsidRPr="001B7D5F">
        <w:t>Monitoring and a</w:t>
      </w:r>
      <w:r w:rsidR="00840F2E" w:rsidRPr="001B7D5F">
        <w:t>ssessing the effectiveness of this Agreement and including the outputs of Delivery Partners (where relevant) for the activities funded under this Agreement</w:t>
      </w:r>
      <w:r w:rsidRPr="001B7D5F">
        <w:t xml:space="preserve"> including outcomes from the Agency’s assessment against the </w:t>
      </w:r>
      <w:r w:rsidR="003415E9" w:rsidRPr="001B7D5F">
        <w:t>N</w:t>
      </w:r>
      <w:r w:rsidRPr="001B7D5F">
        <w:t xml:space="preserve">ational Digital Health Strategy and </w:t>
      </w:r>
      <w:r w:rsidR="003415E9" w:rsidRPr="001B7D5F">
        <w:t>W</w:t>
      </w:r>
      <w:r w:rsidRPr="001B7D5F">
        <w:t>ork</w:t>
      </w:r>
      <w:r w:rsidR="003E572B" w:rsidRPr="001B7D5F">
        <w:t xml:space="preserve"> </w:t>
      </w:r>
      <w:r w:rsidR="003415E9" w:rsidRPr="001B7D5F">
        <w:t>P</w:t>
      </w:r>
      <w:r w:rsidRPr="001B7D5F">
        <w:t>lan.</w:t>
      </w:r>
      <w:r w:rsidR="00906C1A" w:rsidRPr="001B7D5F">
        <w:t xml:space="preserve"> </w:t>
      </w:r>
    </w:p>
    <w:p w14:paraId="2ED95927" w14:textId="201C0137" w:rsidR="00840F2E" w:rsidRPr="001B7D5F" w:rsidRDefault="00906C1A" w:rsidP="00A70546">
      <w:pPr>
        <w:pStyle w:val="BodyText"/>
        <w:numPr>
          <w:ilvl w:val="0"/>
          <w:numId w:val="37"/>
        </w:numPr>
      </w:pPr>
      <w:r w:rsidRPr="001B7D5F">
        <w:t>If required, seeking advice from the Health Chief Executive</w:t>
      </w:r>
      <w:r w:rsidR="003D7240">
        <w:t>s</w:t>
      </w:r>
      <w:r w:rsidRPr="001B7D5F">
        <w:t xml:space="preserve"> Forum (or other national governance body as appropriate) to confirm national priority areas from the National Digital Health Strategy to be funded under this Agreement.</w:t>
      </w:r>
    </w:p>
    <w:p w14:paraId="2C456970" w14:textId="303F4469" w:rsidR="001B2F25" w:rsidRPr="001B7D5F" w:rsidRDefault="001B2F25" w:rsidP="00A70546">
      <w:pPr>
        <w:pStyle w:val="BodyText"/>
        <w:numPr>
          <w:ilvl w:val="2"/>
          <w:numId w:val="16"/>
        </w:numPr>
        <w:ind w:left="567" w:hanging="567"/>
      </w:pPr>
      <w:r w:rsidRPr="001B7D5F">
        <w:t>The</w:t>
      </w:r>
      <w:r w:rsidR="00422523" w:rsidRPr="001B7D5F">
        <w:t xml:space="preserve"> Oversight Committee will </w:t>
      </w:r>
      <w:r w:rsidR="002C1571" w:rsidRPr="001B7D5F">
        <w:t xml:space="preserve">determine its meeting schedule </w:t>
      </w:r>
      <w:r w:rsidR="00422523" w:rsidRPr="001B7D5F">
        <w:t xml:space="preserve">to fulfill its functions. Meetings may be in-person or via a virtual platform as agreed by its </w:t>
      </w:r>
      <w:r w:rsidR="005734E3" w:rsidRPr="001B7D5F">
        <w:t>m</w:t>
      </w:r>
      <w:r w:rsidR="00422523" w:rsidRPr="001B7D5F">
        <w:t>embers. T</w:t>
      </w:r>
      <w:r w:rsidRPr="001B7D5F">
        <w:t xml:space="preserve">erms of </w:t>
      </w:r>
      <w:r w:rsidR="003D7240">
        <w:t>r</w:t>
      </w:r>
      <w:r w:rsidRPr="001B7D5F">
        <w:t>eference</w:t>
      </w:r>
      <w:r w:rsidR="00645424" w:rsidRPr="001B7D5F">
        <w:t xml:space="preserve"> for the Oversight Committee</w:t>
      </w:r>
      <w:r w:rsidRPr="001B7D5F">
        <w:t xml:space="preserve"> are outlined at Schedule </w:t>
      </w:r>
      <w:r w:rsidR="007E1C82" w:rsidRPr="001B7D5F">
        <w:t>B</w:t>
      </w:r>
      <w:r w:rsidRPr="001B7D5F">
        <w:t xml:space="preserve"> of this Agreement.</w:t>
      </w:r>
    </w:p>
    <w:p w14:paraId="633DEBBB" w14:textId="2FE9F4F7" w:rsidR="00840F2E" w:rsidRPr="001B7D5F" w:rsidRDefault="50328725" w:rsidP="00A70546">
      <w:pPr>
        <w:pStyle w:val="Heading3"/>
        <w:numPr>
          <w:ilvl w:val="1"/>
          <w:numId w:val="16"/>
        </w:numPr>
        <w:ind w:left="567" w:hanging="567"/>
      </w:pPr>
      <w:bookmarkStart w:id="54" w:name="_Toc126920702"/>
      <w:bookmarkStart w:id="55" w:name="_Toc1388295849"/>
      <w:bookmarkStart w:id="56" w:name="_Toc2052243576"/>
      <w:r w:rsidRPr="001B7D5F">
        <w:t>Oversight Committee Engagement with Delivery Partners</w:t>
      </w:r>
      <w:bookmarkEnd w:id="54"/>
      <w:bookmarkEnd w:id="55"/>
      <w:bookmarkEnd w:id="56"/>
    </w:p>
    <w:p w14:paraId="28CE153D" w14:textId="4691AA6F" w:rsidR="001B3BEE" w:rsidRPr="001B7D5F" w:rsidRDefault="004B1055" w:rsidP="00A70546">
      <w:pPr>
        <w:pStyle w:val="BodyText"/>
        <w:numPr>
          <w:ilvl w:val="2"/>
          <w:numId w:val="16"/>
        </w:numPr>
        <w:ind w:left="567" w:hanging="567"/>
        <w:rPr>
          <w:b/>
          <w:bCs/>
        </w:rPr>
      </w:pPr>
      <w:r>
        <w:rPr>
          <w:b/>
          <w:bCs/>
        </w:rPr>
        <w:t>Australian Digital Health Agency</w:t>
      </w:r>
    </w:p>
    <w:p w14:paraId="00E10322" w14:textId="7C88DDE7" w:rsidR="00CE1EB7" w:rsidRPr="001B7D5F" w:rsidRDefault="00CE1EB7" w:rsidP="00A70546">
      <w:pPr>
        <w:pStyle w:val="BodyText"/>
        <w:numPr>
          <w:ilvl w:val="0"/>
          <w:numId w:val="44"/>
        </w:numPr>
      </w:pPr>
      <w:r w:rsidRPr="001B7D5F">
        <w:t>The Oversight Committee will review and confirm annual funding allocations based on the Agency’s advice for National Services, Foundation Services and Strategic Priorit</w:t>
      </w:r>
      <w:r w:rsidR="00E242AE">
        <w:t>y Projects</w:t>
      </w:r>
      <w:r w:rsidRPr="001B7D5F">
        <w:t xml:space="preserve"> to support Australian’s national health reform and digital objectives, including reviewing and re-allocating strategic priority funding to address emerging issues as required.</w:t>
      </w:r>
    </w:p>
    <w:p w14:paraId="53D50EAD" w14:textId="42E4AC42" w:rsidR="0062324C" w:rsidRPr="001B7D5F" w:rsidRDefault="0062324C" w:rsidP="00A70546">
      <w:pPr>
        <w:pStyle w:val="BodyText"/>
        <w:numPr>
          <w:ilvl w:val="0"/>
          <w:numId w:val="44"/>
        </w:numPr>
      </w:pPr>
      <w:r w:rsidRPr="001B7D5F">
        <w:t>The Oversight Commi</w:t>
      </w:r>
      <w:r w:rsidRPr="00DC450B">
        <w:t xml:space="preserve">ttee will allocate funding to the Agency for services and priorities funded under this Agreement </w:t>
      </w:r>
      <w:r w:rsidR="00BC74FF" w:rsidRPr="00861EE9">
        <w:t xml:space="preserve">in line with milestones agreed by the Oversight Committee </w:t>
      </w:r>
      <w:r w:rsidRPr="001B7D5F">
        <w:t xml:space="preserve">and in accordance with the National Digital Health Strategy and </w:t>
      </w:r>
      <w:r w:rsidR="003415E9" w:rsidRPr="001B7D5F">
        <w:t>H</w:t>
      </w:r>
      <w:r w:rsidRPr="001B7D5F">
        <w:t xml:space="preserve">ealth </w:t>
      </w:r>
      <w:r w:rsidR="003415E9" w:rsidRPr="001B7D5F">
        <w:t>M</w:t>
      </w:r>
      <w:r w:rsidRPr="001B7D5F">
        <w:t xml:space="preserve">inisters’ priorities. </w:t>
      </w:r>
    </w:p>
    <w:p w14:paraId="61D6E42F" w14:textId="328EAAAE" w:rsidR="000A6BF8" w:rsidRDefault="000A6BF8" w:rsidP="00A70546">
      <w:pPr>
        <w:pStyle w:val="BodyText"/>
        <w:numPr>
          <w:ilvl w:val="0"/>
          <w:numId w:val="44"/>
        </w:numPr>
      </w:pPr>
      <w:r w:rsidRPr="001B7D5F">
        <w:t>The Oversight Committee may discuss and agree to supplementary financial commitments beyond the amount of Funds specified in Schedule C for existing or new services or priorities delivered or to be delivered by the Agency.</w:t>
      </w:r>
    </w:p>
    <w:p w14:paraId="2636B280" w14:textId="0BB70206" w:rsidR="009249F8" w:rsidRPr="005E01A2" w:rsidRDefault="009249F8" w:rsidP="00A70546">
      <w:pPr>
        <w:pStyle w:val="BodyText"/>
        <w:numPr>
          <w:ilvl w:val="0"/>
          <w:numId w:val="44"/>
        </w:numPr>
      </w:pPr>
      <w:r w:rsidRPr="005E01A2">
        <w:t>Allocation of funding under this Agreement would be in accordance with the Oversight Committee terms of reference, and the processes outlined in Schedule D. If funding activities of the Agency require additional financial commitments of the Parties above the terms of this Agreement, Parties will negotiate and agree to funding as a variation to this Agreement (refer clause 5.2.1).</w:t>
      </w:r>
    </w:p>
    <w:p w14:paraId="3382B657" w14:textId="429600BB" w:rsidR="00521190" w:rsidRPr="001B7D5F" w:rsidRDefault="00FE4903" w:rsidP="00A70546">
      <w:pPr>
        <w:pStyle w:val="BodyText"/>
        <w:numPr>
          <w:ilvl w:val="0"/>
          <w:numId w:val="44"/>
        </w:numPr>
      </w:pPr>
      <w:r w:rsidRPr="001B7D5F">
        <w:t>The aspects of the Agency’s draft Work Plan funded under this Agreement will be endorsed by the Oversight Committee prior to approval by the Agency Board. The Oversight Committee may determine whether the draft Work Plan requires approval by Health Chief Executives and/or Health Ministers in relation to a particular financial year. Any approval by Health Chief Executives and/or Health Ministers would occur after the Agency Board has approved the draft Work Plan</w:t>
      </w:r>
      <w:r w:rsidR="00521190" w:rsidRPr="001B7D5F">
        <w:t>.</w:t>
      </w:r>
    </w:p>
    <w:p w14:paraId="2761A9C3" w14:textId="29B5DAE9" w:rsidR="00835ABE" w:rsidRPr="001B7D5F" w:rsidRDefault="00521190" w:rsidP="00A70546">
      <w:pPr>
        <w:pStyle w:val="BodyText"/>
        <w:numPr>
          <w:ilvl w:val="0"/>
          <w:numId w:val="44"/>
        </w:numPr>
      </w:pPr>
      <w:r w:rsidRPr="001B7D5F">
        <w:t>The Agency will provide reporting to the Oversight Committee on the delivery of Foundation Service</w:t>
      </w:r>
      <w:r w:rsidR="003415E9" w:rsidRPr="001B7D5F">
        <w:t>s</w:t>
      </w:r>
      <w:r w:rsidRPr="001B7D5F">
        <w:t>, National Service</w:t>
      </w:r>
      <w:r w:rsidR="003415E9" w:rsidRPr="001B7D5F">
        <w:t>s</w:t>
      </w:r>
      <w:r w:rsidRPr="001B7D5F">
        <w:t xml:space="preserve"> and Strategic Priorit</w:t>
      </w:r>
      <w:r w:rsidR="00E447BB">
        <w:t xml:space="preserve">y Projects </w:t>
      </w:r>
      <w:r w:rsidR="00AF3B5E" w:rsidRPr="001B7D5F">
        <w:t xml:space="preserve">for which it is responsible </w:t>
      </w:r>
      <w:r w:rsidRPr="001B7D5F">
        <w:t>funded under the Agreement</w:t>
      </w:r>
      <w:r w:rsidR="0062324C" w:rsidRPr="001B7D5F">
        <w:t xml:space="preserve"> (refer </w:t>
      </w:r>
      <w:r w:rsidR="003415E9" w:rsidRPr="001B7D5F">
        <w:t xml:space="preserve">clause </w:t>
      </w:r>
      <w:r w:rsidR="0062324C" w:rsidRPr="001B7D5F">
        <w:t>6.4.4)</w:t>
      </w:r>
      <w:r w:rsidRPr="001B7D5F">
        <w:t xml:space="preserve">. </w:t>
      </w:r>
    </w:p>
    <w:p w14:paraId="63E7AF66" w14:textId="791195B1" w:rsidR="00521190" w:rsidRPr="00DC450B" w:rsidRDefault="00DC1D66" w:rsidP="00A70546">
      <w:pPr>
        <w:pStyle w:val="BodyText"/>
        <w:numPr>
          <w:ilvl w:val="0"/>
          <w:numId w:val="44"/>
        </w:numPr>
      </w:pPr>
      <w:r w:rsidRPr="00DC450B">
        <w:lastRenderedPageBreak/>
        <w:t>Where funds have already been transferred to the Agency in any given financial year, any use of unspent funds from that financial year in subsequent financial years will remain subject to Commonwealth budgetary processes</w:t>
      </w:r>
      <w:r w:rsidR="0091119D" w:rsidRPr="00DC450B">
        <w:t xml:space="preserve"> and be reallocated to initiatives agreed and </w:t>
      </w:r>
      <w:r w:rsidR="00605D8F" w:rsidRPr="00DC450B">
        <w:t xml:space="preserve">prioritised by the </w:t>
      </w:r>
      <w:r w:rsidR="00704E0D" w:rsidRPr="00DC450B">
        <w:t>O</w:t>
      </w:r>
      <w:r w:rsidR="00605D8F" w:rsidRPr="00DC450B">
        <w:t xml:space="preserve">versight </w:t>
      </w:r>
      <w:r w:rsidR="00704E0D" w:rsidRPr="00DC450B">
        <w:t>C</w:t>
      </w:r>
      <w:r w:rsidR="00605D8F" w:rsidRPr="00DC450B">
        <w:t>ommittee.</w:t>
      </w:r>
    </w:p>
    <w:p w14:paraId="3F579B04" w14:textId="2757CB7C" w:rsidR="00840F2E" w:rsidRPr="001B7D5F" w:rsidRDefault="00840F2E" w:rsidP="00A70546">
      <w:pPr>
        <w:pStyle w:val="BodyText"/>
        <w:numPr>
          <w:ilvl w:val="0"/>
          <w:numId w:val="44"/>
        </w:numPr>
      </w:pPr>
      <w:r w:rsidRPr="001B7D5F">
        <w:t xml:space="preserve">Consistent with section 9(3) of the Rule, the Agency will have regard to outcomes of Oversight Committee decisions concerning funding and delivery of </w:t>
      </w:r>
      <w:r w:rsidR="00A001D7" w:rsidRPr="001B7D5F">
        <w:t>services and priorities</w:t>
      </w:r>
      <w:r w:rsidRPr="001B7D5F">
        <w:t xml:space="preserve"> </w:t>
      </w:r>
      <w:r w:rsidR="00A001D7" w:rsidRPr="001B7D5F">
        <w:t>progressed through</w:t>
      </w:r>
      <w:r w:rsidRPr="001B7D5F">
        <w:t xml:space="preserve"> this Agreement.</w:t>
      </w:r>
    </w:p>
    <w:p w14:paraId="4FB4EFA8" w14:textId="409BD704" w:rsidR="004309C7" w:rsidRPr="00F12EA2" w:rsidRDefault="00840F2E" w:rsidP="00A70546">
      <w:pPr>
        <w:pStyle w:val="BodyText"/>
        <w:numPr>
          <w:ilvl w:val="0"/>
          <w:numId w:val="44"/>
        </w:numPr>
      </w:pPr>
      <w:r w:rsidRPr="001B7D5F">
        <w:t>Consistent with section 47 of the Rule, the Jurisdictional Advisory Committee advise</w:t>
      </w:r>
      <w:r w:rsidR="00DC0957" w:rsidRPr="001B7D5F">
        <w:t>s</w:t>
      </w:r>
      <w:r w:rsidRPr="001B7D5F">
        <w:t xml:space="preserve"> the Agency on the full scope of its functions</w:t>
      </w:r>
      <w:r w:rsidR="00DC0957" w:rsidRPr="001B7D5F">
        <w:t xml:space="preserve"> as directed by the Agency Board</w:t>
      </w:r>
      <w:r w:rsidRPr="001B7D5F">
        <w:t xml:space="preserve">. The Jurisdictional Advisory </w:t>
      </w:r>
      <w:r w:rsidR="007D219F" w:rsidRPr="001B7D5F">
        <w:t xml:space="preserve">Committee </w:t>
      </w:r>
      <w:r w:rsidR="00DC0957" w:rsidRPr="001B7D5F">
        <w:t xml:space="preserve">may </w:t>
      </w:r>
      <w:r w:rsidRPr="001B7D5F">
        <w:t>provide the Agency with advice on the implementation of Foundation Services, National Services or Strategic Priorit</w:t>
      </w:r>
      <w:r w:rsidR="00E447BB">
        <w:t>y Projects</w:t>
      </w:r>
      <w:r w:rsidRPr="001B7D5F">
        <w:t xml:space="preserve"> that the Oversight Committee has agreed to fund through this Agreement</w:t>
      </w:r>
      <w:r w:rsidR="00DC0957" w:rsidRPr="001B7D5F">
        <w:t>,</w:t>
      </w:r>
      <w:r w:rsidRPr="001B7D5F">
        <w:t xml:space="preserve"> to facilitate national consistency with the broader work program of the Agency.</w:t>
      </w:r>
      <w:r w:rsidR="00DC0957" w:rsidRPr="001B7D5F">
        <w:t xml:space="preserve"> </w:t>
      </w:r>
      <w:r w:rsidR="004309C7" w:rsidRPr="001B7D5F">
        <w:t>T</w:t>
      </w:r>
      <w:r w:rsidR="004309C7" w:rsidRPr="00F12EA2">
        <w:t>he delivery of services and alignment with strategic priorities under the IGA will be within the remit of the proposed Oversight Committee</w:t>
      </w:r>
      <w:r w:rsidR="004309C7" w:rsidRPr="001B7D5F">
        <w:t>.</w:t>
      </w:r>
    </w:p>
    <w:p w14:paraId="317B4C5E" w14:textId="4FF85D77" w:rsidR="00576902" w:rsidRPr="001B7D5F" w:rsidRDefault="001B3BEE" w:rsidP="00A70546">
      <w:pPr>
        <w:pStyle w:val="BodyText"/>
        <w:rPr>
          <w:b/>
          <w:bCs/>
        </w:rPr>
      </w:pPr>
      <w:r>
        <w:rPr>
          <w:b/>
          <w:bCs/>
        </w:rPr>
        <w:t xml:space="preserve">6.6.2 </w:t>
      </w:r>
      <w:r w:rsidR="00590376" w:rsidRPr="001B7D5F">
        <w:rPr>
          <w:b/>
          <w:bCs/>
        </w:rPr>
        <w:t xml:space="preserve"> </w:t>
      </w:r>
      <w:r>
        <w:rPr>
          <w:b/>
          <w:bCs/>
        </w:rPr>
        <w:t xml:space="preserve">   </w:t>
      </w:r>
      <w:r w:rsidR="00946456" w:rsidRPr="001B7D5F">
        <w:rPr>
          <w:b/>
          <w:bCs/>
        </w:rPr>
        <w:t xml:space="preserve">Endorsement </w:t>
      </w:r>
      <w:r w:rsidR="00576902" w:rsidRPr="001B7D5F">
        <w:rPr>
          <w:b/>
          <w:bCs/>
        </w:rPr>
        <w:t xml:space="preserve">of the Agency Work Plan </w:t>
      </w:r>
    </w:p>
    <w:p w14:paraId="7FF20BB6" w14:textId="0DCCD8A9" w:rsidR="00576902" w:rsidRPr="001B7D5F" w:rsidRDefault="00576902" w:rsidP="00A70546">
      <w:pPr>
        <w:pStyle w:val="BodyText"/>
        <w:numPr>
          <w:ilvl w:val="0"/>
          <w:numId w:val="45"/>
        </w:numPr>
      </w:pPr>
      <w:r w:rsidRPr="001B7D5F">
        <w:t xml:space="preserve">The draft Work Plan will be </w:t>
      </w:r>
      <w:r w:rsidR="00604403" w:rsidRPr="001B7D5F">
        <w:t xml:space="preserve">endorsed </w:t>
      </w:r>
      <w:r w:rsidRPr="001B7D5F">
        <w:t>by the Oversight Committee prior to approval by the Agency Board. The Oversight Committee may determine whether the draft Work Plan requires approval by Health Chief Executives and/or Health Ministers in relation to a particular financial year. Any approval by Health Chief Executives and/or Health Ministers would occur after the Agency Board has approved the draft Work Plan.</w:t>
      </w:r>
    </w:p>
    <w:p w14:paraId="1601C056" w14:textId="14BBFA5C" w:rsidR="001B3BEE" w:rsidRPr="001B7D5F" w:rsidRDefault="001B3BEE" w:rsidP="00A70546">
      <w:pPr>
        <w:pStyle w:val="BodyText"/>
        <w:numPr>
          <w:ilvl w:val="2"/>
          <w:numId w:val="35"/>
        </w:numPr>
        <w:rPr>
          <w:b/>
          <w:bCs/>
        </w:rPr>
      </w:pPr>
      <w:r w:rsidRPr="001B7D5F">
        <w:rPr>
          <w:b/>
          <w:bCs/>
        </w:rPr>
        <w:t>Services Australia</w:t>
      </w:r>
    </w:p>
    <w:p w14:paraId="6DC53772" w14:textId="77777777" w:rsidR="004B1055" w:rsidRDefault="001B3BEE" w:rsidP="00A70546">
      <w:pPr>
        <w:pStyle w:val="BodyText"/>
        <w:numPr>
          <w:ilvl w:val="0"/>
          <w:numId w:val="46"/>
        </w:numPr>
      </w:pPr>
      <w:r w:rsidRPr="001B3BEE">
        <w:t>The Oversight Committee may discuss and agree to supplementary financial commitments beyond the amount of Funds specified in Schedule C for existing or new services or priorities delivered or to be delivered by Services Australia.</w:t>
      </w:r>
    </w:p>
    <w:p w14:paraId="182D1EC2" w14:textId="1655536A" w:rsidR="001B3BEE" w:rsidRPr="004B1055" w:rsidRDefault="001B3BEE" w:rsidP="00A70546">
      <w:pPr>
        <w:pStyle w:val="BodyText"/>
        <w:numPr>
          <w:ilvl w:val="0"/>
          <w:numId w:val="46"/>
        </w:numPr>
      </w:pPr>
      <w:r w:rsidRPr="001B3BEE">
        <w:t>This would be in accordance with the Oversight Committee terms of reference, and the processes outlined in Schedule D of this Agreement where appropriate, as determined by the Oversight Committee. If funding requires additional financial commitments of the Parties above the terms of this Agreement, Parties will negotiate and agree to funding as a variation to this Agreement (refer clause 5.2.1).</w:t>
      </w:r>
    </w:p>
    <w:p w14:paraId="4BE8826C" w14:textId="70C2F195" w:rsidR="00840F2E" w:rsidRPr="001B7D5F" w:rsidRDefault="006B28FA" w:rsidP="00A70546">
      <w:pPr>
        <w:pStyle w:val="BodyText"/>
        <w:rPr>
          <w:b/>
          <w:bCs/>
        </w:rPr>
      </w:pPr>
      <w:r w:rsidRPr="001B7D5F">
        <w:rPr>
          <w:b/>
          <w:bCs/>
        </w:rPr>
        <w:t>6.6.</w:t>
      </w:r>
      <w:r w:rsidR="001B3BEE">
        <w:rPr>
          <w:b/>
          <w:bCs/>
        </w:rPr>
        <w:t>4</w:t>
      </w:r>
      <w:r w:rsidRPr="001B7D5F">
        <w:rPr>
          <w:b/>
          <w:bCs/>
        </w:rPr>
        <w:t xml:space="preserve"> </w:t>
      </w:r>
      <w:r w:rsidR="001B3BEE">
        <w:rPr>
          <w:b/>
          <w:bCs/>
        </w:rPr>
        <w:t xml:space="preserve">    </w:t>
      </w:r>
      <w:r w:rsidR="00840F2E" w:rsidRPr="001B7D5F">
        <w:rPr>
          <w:b/>
          <w:bCs/>
        </w:rPr>
        <w:t>Healthdirect Australia</w:t>
      </w:r>
    </w:p>
    <w:p w14:paraId="22C7C339" w14:textId="1DE4A587" w:rsidR="00945F63" w:rsidRPr="001B7D5F" w:rsidRDefault="00945F63" w:rsidP="00A70546">
      <w:pPr>
        <w:pStyle w:val="BodyText"/>
        <w:numPr>
          <w:ilvl w:val="0"/>
          <w:numId w:val="47"/>
        </w:numPr>
      </w:pPr>
      <w:r w:rsidRPr="001B7D5F">
        <w:t>While not in receipt of funding</w:t>
      </w:r>
      <w:r w:rsidR="005B5A9E" w:rsidRPr="001B7D5F">
        <w:t xml:space="preserve"> at commencement of this Agreement,</w:t>
      </w:r>
      <w:r w:rsidR="00586F95" w:rsidRPr="001B7D5F">
        <w:t xml:space="preserve"> </w:t>
      </w:r>
      <w:r w:rsidR="00DD55F9" w:rsidRPr="001B7D5F">
        <w:t>Healthdirect Australia</w:t>
      </w:r>
      <w:r w:rsidR="00586F95" w:rsidRPr="001B7D5F">
        <w:t xml:space="preserve"> will be invited to </w:t>
      </w:r>
      <w:r w:rsidR="00DD55F9" w:rsidRPr="001B7D5F">
        <w:t>participat</w:t>
      </w:r>
      <w:r w:rsidR="00586F95" w:rsidRPr="001B7D5F">
        <w:t>e</w:t>
      </w:r>
      <w:r w:rsidR="00DD55F9" w:rsidRPr="001B7D5F">
        <w:t xml:space="preserve"> in governance arrangements under the Agreement</w:t>
      </w:r>
      <w:r w:rsidR="00445D81" w:rsidRPr="001B7D5F">
        <w:t>.</w:t>
      </w:r>
      <w:r w:rsidR="7B96BB1F" w:rsidRPr="001B7D5F">
        <w:t xml:space="preserve"> This</w:t>
      </w:r>
      <w:r w:rsidR="18C2BFB1" w:rsidRPr="001B7D5F">
        <w:t xml:space="preserve"> will facilitate greater transparency and visibility of </w:t>
      </w:r>
      <w:r w:rsidR="21A394EA" w:rsidRPr="001B7D5F">
        <w:t xml:space="preserve">key national </w:t>
      </w:r>
      <w:r w:rsidR="18C2BFB1" w:rsidRPr="001B7D5F">
        <w:t>digital health projects and</w:t>
      </w:r>
      <w:r w:rsidR="21A394EA" w:rsidRPr="001B7D5F">
        <w:t xml:space="preserve"> new initiatives to inform investment decisions</w:t>
      </w:r>
      <w:r w:rsidR="22646405" w:rsidRPr="001B7D5F">
        <w:t>,</w:t>
      </w:r>
      <w:r w:rsidR="21A394EA" w:rsidRPr="001B7D5F">
        <w:t xml:space="preserve"> support </w:t>
      </w:r>
      <w:r w:rsidR="3691E055" w:rsidRPr="001B7D5F">
        <w:t>collaborat</w:t>
      </w:r>
      <w:r w:rsidR="09CD456E" w:rsidRPr="001B7D5F">
        <w:t>ion</w:t>
      </w:r>
      <w:r w:rsidR="3691E055" w:rsidRPr="001B7D5F">
        <w:t xml:space="preserve"> and leverage </w:t>
      </w:r>
      <w:r w:rsidR="22646405" w:rsidRPr="001B7D5F">
        <w:t xml:space="preserve">the </w:t>
      </w:r>
      <w:r w:rsidR="21A394EA" w:rsidRPr="001B7D5F">
        <w:t xml:space="preserve">principles under this Agreement. </w:t>
      </w:r>
    </w:p>
    <w:p w14:paraId="31E03D3B" w14:textId="219B9C8A" w:rsidR="00840F2E" w:rsidRPr="001B7D5F" w:rsidRDefault="50328725" w:rsidP="00A70546">
      <w:pPr>
        <w:pStyle w:val="BodyText"/>
        <w:numPr>
          <w:ilvl w:val="0"/>
          <w:numId w:val="47"/>
        </w:numPr>
      </w:pPr>
      <w:r w:rsidRPr="001B7D5F">
        <w:t>The Oversight Committee may discuss and agree to supplementary financial commitments</w:t>
      </w:r>
      <w:r w:rsidR="63C11753" w:rsidRPr="001B7D5F">
        <w:t xml:space="preserve"> beyond the amount of Funds specified in Schedule </w:t>
      </w:r>
      <w:r w:rsidR="6CD62EF5" w:rsidRPr="001B7D5F">
        <w:t>C</w:t>
      </w:r>
      <w:r w:rsidRPr="001B7D5F">
        <w:t xml:space="preserve"> </w:t>
      </w:r>
      <w:r w:rsidR="22646405" w:rsidRPr="001B7D5F">
        <w:t>for</w:t>
      </w:r>
      <w:r w:rsidRPr="001B7D5F">
        <w:t xml:space="preserve"> the improvement/delivery of the National Health Services Directory, subject to Healthdirect Australia’s own governance arrangements.</w:t>
      </w:r>
    </w:p>
    <w:p w14:paraId="12C5C32E" w14:textId="77777777" w:rsidR="00B765A5" w:rsidRPr="001B7D5F" w:rsidRDefault="30F2B3A8" w:rsidP="00A70546">
      <w:pPr>
        <w:pStyle w:val="BodyText"/>
        <w:numPr>
          <w:ilvl w:val="0"/>
          <w:numId w:val="47"/>
        </w:numPr>
      </w:pPr>
      <w:r w:rsidRPr="001B7D5F">
        <w:t>Should the Oversight Committee agree to commission Healthdirect Australia</w:t>
      </w:r>
      <w:r w:rsidR="2B817ECE" w:rsidRPr="001B7D5F">
        <w:t xml:space="preserve"> to deliver activities</w:t>
      </w:r>
      <w:r w:rsidRPr="001B7D5F">
        <w:t xml:space="preserve">, </w:t>
      </w:r>
      <w:r w:rsidR="2B817ECE" w:rsidRPr="001B7D5F">
        <w:t xml:space="preserve">the </w:t>
      </w:r>
      <w:r w:rsidRPr="001B7D5F">
        <w:t xml:space="preserve">detailed process </w:t>
      </w:r>
      <w:r w:rsidR="2B817ECE" w:rsidRPr="001B7D5F">
        <w:t>and key contractual requirements will be outlined in a new Schedule to this Agreement, to be agreed by all Oversight Committee members.</w:t>
      </w:r>
      <w:r w:rsidR="6B7AF044" w:rsidRPr="001B7D5F">
        <w:t xml:space="preserve"> </w:t>
      </w:r>
    </w:p>
    <w:p w14:paraId="3B14A967" w14:textId="0B2C2B59" w:rsidR="00894116" w:rsidRPr="001B7D5F" w:rsidRDefault="6B7AF044" w:rsidP="00A70546">
      <w:pPr>
        <w:pStyle w:val="BodyText"/>
        <w:numPr>
          <w:ilvl w:val="0"/>
          <w:numId w:val="47"/>
        </w:numPr>
      </w:pPr>
      <w:r w:rsidRPr="001B7D5F">
        <w:lastRenderedPageBreak/>
        <w:t>Allocation of funding under this Agreement would be in accordance with the Oversight Committee terms of reference, and the processes outlined in Schedule D. If funding activities of Healthdirect Australia require additional financial commitments of the Parties above the terms of this Agreement, Parties will negotiate and agree to funding as a variation to this Agreement (</w:t>
      </w:r>
      <w:r w:rsidR="22646405" w:rsidRPr="001B7D5F">
        <w:t>refer clause</w:t>
      </w:r>
      <w:r w:rsidRPr="001B7D5F">
        <w:t xml:space="preserve"> 5.2.1).</w:t>
      </w:r>
    </w:p>
    <w:p w14:paraId="19701731" w14:textId="46015753" w:rsidR="00840F2E" w:rsidRPr="001B7D5F" w:rsidRDefault="006B28FA" w:rsidP="00A70546">
      <w:pPr>
        <w:pStyle w:val="BodyText"/>
        <w:rPr>
          <w:b/>
          <w:bCs/>
        </w:rPr>
      </w:pPr>
      <w:r w:rsidRPr="001B7D5F">
        <w:rPr>
          <w:b/>
          <w:bCs/>
        </w:rPr>
        <w:t>6.</w:t>
      </w:r>
      <w:r w:rsidR="00530197" w:rsidRPr="001B7D5F">
        <w:rPr>
          <w:b/>
          <w:bCs/>
        </w:rPr>
        <w:t>6.</w:t>
      </w:r>
      <w:r w:rsidR="00590376" w:rsidRPr="001B7D5F">
        <w:rPr>
          <w:b/>
          <w:bCs/>
        </w:rPr>
        <w:t>5</w:t>
      </w:r>
      <w:r w:rsidRPr="001B7D5F">
        <w:rPr>
          <w:b/>
          <w:bCs/>
        </w:rPr>
        <w:t xml:space="preserve"> </w:t>
      </w:r>
      <w:r w:rsidR="00840F2E" w:rsidRPr="001B7D5F">
        <w:rPr>
          <w:b/>
          <w:bCs/>
        </w:rPr>
        <w:t>Process for the Design and Implementation of New Initiatives</w:t>
      </w:r>
    </w:p>
    <w:p w14:paraId="7C36757C" w14:textId="6AA1BBE7" w:rsidR="00840F2E" w:rsidRPr="001B7D5F" w:rsidRDefault="3D4C56DA" w:rsidP="00A70546">
      <w:pPr>
        <w:pStyle w:val="BodyText"/>
        <w:numPr>
          <w:ilvl w:val="0"/>
          <w:numId w:val="48"/>
        </w:numPr>
      </w:pPr>
      <w:r w:rsidRPr="001B7D5F">
        <w:t>N</w:t>
      </w:r>
      <w:r w:rsidR="50328725" w:rsidRPr="001B7D5F">
        <w:t>ew opportunities identified as a priority for national implementation may be considered by the Oversight Committee for inclusion and funding under the Agreement over its term:</w:t>
      </w:r>
    </w:p>
    <w:p w14:paraId="50460936" w14:textId="5720468D" w:rsidR="00840F2E" w:rsidRPr="001B7D5F" w:rsidRDefault="00840F2E" w:rsidP="00A70546">
      <w:pPr>
        <w:pStyle w:val="BodyText"/>
        <w:numPr>
          <w:ilvl w:val="0"/>
          <w:numId w:val="34"/>
        </w:numPr>
      </w:pPr>
      <w:r w:rsidRPr="001B7D5F">
        <w:t xml:space="preserve">if they meet agreed criteria (such as a priority enhancement to an existing core </w:t>
      </w:r>
      <w:r w:rsidR="00C03D95" w:rsidRPr="001B7D5F">
        <w:t>F</w:t>
      </w:r>
      <w:r w:rsidRPr="001B7D5F">
        <w:t xml:space="preserve">oundation </w:t>
      </w:r>
      <w:r w:rsidR="00C03D95" w:rsidRPr="001B7D5F">
        <w:t>S</w:t>
      </w:r>
      <w:r w:rsidRPr="001B7D5F">
        <w:t>ervice</w:t>
      </w:r>
      <w:r w:rsidR="00C03D95" w:rsidRPr="001B7D5F">
        <w:t>/N</w:t>
      </w:r>
      <w:r w:rsidRPr="001B7D5F">
        <w:t xml:space="preserve">ational </w:t>
      </w:r>
      <w:r w:rsidR="00C03D95" w:rsidRPr="001B7D5F">
        <w:t>S</w:t>
      </w:r>
      <w:r w:rsidRPr="001B7D5F">
        <w:t>ervice, or to support broader national health reform objectives)</w:t>
      </w:r>
      <w:r w:rsidR="00106E25" w:rsidRPr="001B7D5F">
        <w:t>.</w:t>
      </w:r>
    </w:p>
    <w:p w14:paraId="29DC3D80" w14:textId="0100B892" w:rsidR="00840F2E" w:rsidRPr="001B7D5F" w:rsidRDefault="00840F2E" w:rsidP="00A70546">
      <w:pPr>
        <w:pStyle w:val="BodyText"/>
        <w:numPr>
          <w:ilvl w:val="0"/>
          <w:numId w:val="34"/>
        </w:numPr>
      </w:pPr>
      <w:r w:rsidRPr="001B7D5F">
        <w:t>if it is mutually agreed that a proposal has merit for inclusion, one or more Parties may</w:t>
      </w:r>
      <w:r w:rsidR="00106E25" w:rsidRPr="001B7D5F">
        <w:t xml:space="preserve"> present</w:t>
      </w:r>
      <w:r w:rsidRPr="001B7D5F">
        <w:t xml:space="preserve"> a business case</w:t>
      </w:r>
      <w:r w:rsidR="00106E25" w:rsidRPr="001B7D5F">
        <w:t xml:space="preserve"> to the Oversight Committee. A Delivery Partner o</w:t>
      </w:r>
      <w:r w:rsidR="00590376" w:rsidRPr="001B7D5F">
        <w:t>r</w:t>
      </w:r>
      <w:r w:rsidR="00106E25" w:rsidRPr="001B7D5F">
        <w:t xml:space="preserve"> other entity may be commissioned to develop the business case.</w:t>
      </w:r>
    </w:p>
    <w:p w14:paraId="01302C06" w14:textId="2D52F1CA" w:rsidR="00840F2E" w:rsidRPr="001B7D5F" w:rsidRDefault="00840F2E" w:rsidP="00A70546">
      <w:pPr>
        <w:pStyle w:val="BodyText"/>
        <w:numPr>
          <w:ilvl w:val="0"/>
          <w:numId w:val="34"/>
        </w:numPr>
      </w:pPr>
      <w:r w:rsidRPr="001B7D5F">
        <w:t>the business case will be considered at a quarterly meeting (or out-of-session) and if agreed, will proceed to Health Chief Executives for approval if determined on the advice of the Oversight Committee.</w:t>
      </w:r>
    </w:p>
    <w:p w14:paraId="30159176" w14:textId="7943F8B6" w:rsidR="00840F2E" w:rsidRPr="001B7D5F" w:rsidRDefault="50328725" w:rsidP="00A70546">
      <w:pPr>
        <w:pStyle w:val="BodyText"/>
        <w:numPr>
          <w:ilvl w:val="0"/>
          <w:numId w:val="48"/>
        </w:numPr>
      </w:pPr>
      <w:r w:rsidRPr="001B7D5F">
        <w:t xml:space="preserve">Funding arrangements for the design, build, adoption, and maintenance </w:t>
      </w:r>
      <w:r w:rsidR="3BCA9A48" w:rsidRPr="001B7D5F">
        <w:t xml:space="preserve">of the </w:t>
      </w:r>
      <w:r w:rsidR="16A74D1F" w:rsidRPr="001B7D5F">
        <w:t xml:space="preserve">new </w:t>
      </w:r>
      <w:r w:rsidR="3BCA9A48" w:rsidRPr="001B7D5F">
        <w:t xml:space="preserve">project or services </w:t>
      </w:r>
      <w:r w:rsidRPr="001B7D5F">
        <w:t xml:space="preserve">would be determined on a case-by-case basis as defined in Schedule </w:t>
      </w:r>
      <w:r w:rsidR="6CD62EF5" w:rsidRPr="001B7D5F">
        <w:t>D</w:t>
      </w:r>
      <w:r w:rsidR="75945D1B" w:rsidRPr="001B7D5F">
        <w:t>.</w:t>
      </w:r>
      <w:r w:rsidR="3D4C56DA" w:rsidRPr="001B7D5F">
        <w:t xml:space="preserve"> If additional funding is required for these projects, this Agreement should be varied as per clause 5.2.1.</w:t>
      </w:r>
    </w:p>
    <w:p w14:paraId="4A1DF39E" w14:textId="51FE2A7F" w:rsidR="00530197" w:rsidRPr="001B7D5F" w:rsidRDefault="58744C11" w:rsidP="00A70546">
      <w:pPr>
        <w:pStyle w:val="Heading2"/>
      </w:pPr>
      <w:bookmarkStart w:id="57" w:name="_Toc783803877"/>
      <w:bookmarkStart w:id="58" w:name="_Toc636846550"/>
      <w:r w:rsidRPr="001B7D5F">
        <w:t>7</w:t>
      </w:r>
      <w:r w:rsidR="401B7AF6" w:rsidRPr="001B7D5F">
        <w:t xml:space="preserve">. </w:t>
      </w:r>
      <w:r w:rsidR="2548428C" w:rsidRPr="001B7D5F">
        <w:t>Monitoring and Reporting</w:t>
      </w:r>
      <w:bookmarkEnd w:id="57"/>
      <w:bookmarkEnd w:id="58"/>
    </w:p>
    <w:p w14:paraId="7B913FE8" w14:textId="11808ABF" w:rsidR="005A64B8" w:rsidRPr="001B7D5F" w:rsidRDefault="0003509B" w:rsidP="00A70546">
      <w:pPr>
        <w:pStyle w:val="BodyText"/>
        <w:numPr>
          <w:ilvl w:val="1"/>
          <w:numId w:val="22"/>
        </w:numPr>
        <w:ind w:left="567" w:hanging="567"/>
      </w:pPr>
      <w:r w:rsidRPr="001B7D5F">
        <w:t xml:space="preserve">The Oversight Committee </w:t>
      </w:r>
      <w:r w:rsidR="00B25242" w:rsidRPr="001B7D5F">
        <w:t xml:space="preserve">members </w:t>
      </w:r>
      <w:r w:rsidRPr="001B7D5F">
        <w:t>will be jointly responsible for reporting on the planning and implementation of this Agreement to their respective governments</w:t>
      </w:r>
      <w:r w:rsidR="001822B1" w:rsidRPr="001B7D5F">
        <w:t xml:space="preserve">, including the Parties’ own implementation of their obligations under this Agreement and </w:t>
      </w:r>
      <w:r w:rsidR="005A64B8" w:rsidRPr="001B7D5F">
        <w:t>reports provided by the Agency</w:t>
      </w:r>
      <w:r w:rsidRPr="001B7D5F">
        <w:t xml:space="preserve">. </w:t>
      </w:r>
    </w:p>
    <w:p w14:paraId="7A332454" w14:textId="02708C24" w:rsidR="002C6EAD" w:rsidRPr="001B7D5F" w:rsidRDefault="0003509B" w:rsidP="00A70546">
      <w:pPr>
        <w:pStyle w:val="BodyText"/>
        <w:numPr>
          <w:ilvl w:val="1"/>
          <w:numId w:val="22"/>
        </w:numPr>
        <w:ind w:left="567" w:hanging="567"/>
      </w:pPr>
      <w:r w:rsidRPr="001B7D5F">
        <w:t>The Oversight Committee may determine whether any reporting is required to be provided to the Health Chief Executives, Health Ministers, or other national governance arrangements.</w:t>
      </w:r>
      <w:r w:rsidR="00C74309" w:rsidRPr="001B7D5F">
        <w:t xml:space="preserve"> </w:t>
      </w:r>
      <w:r w:rsidR="00C74309" w:rsidRPr="001B7D5F">
        <w:rPr>
          <w:color w:val="auto"/>
          <w:szCs w:val="22"/>
        </w:rPr>
        <w:t>Reporting requirements for this Agreement aim to minimise additional reporting burden wherever possible.</w:t>
      </w:r>
    </w:p>
    <w:p w14:paraId="26EE90B6" w14:textId="7BCC6045" w:rsidR="00457C59" w:rsidRPr="001B7D5F" w:rsidRDefault="002A6264" w:rsidP="00A70546">
      <w:pPr>
        <w:pStyle w:val="BodyText"/>
        <w:numPr>
          <w:ilvl w:val="1"/>
          <w:numId w:val="22"/>
        </w:numPr>
        <w:ind w:left="567" w:hanging="567"/>
      </w:pPr>
      <w:r w:rsidRPr="001B7D5F">
        <w:rPr>
          <w:b/>
          <w:bCs/>
        </w:rPr>
        <w:t>Non-performance and remedies</w:t>
      </w:r>
      <w:r w:rsidRPr="001B7D5F">
        <w:t xml:space="preserve">: </w:t>
      </w:r>
      <w:r w:rsidR="002C6EAD" w:rsidRPr="001B7D5F">
        <w:t xml:space="preserve">Where there are concerns regarding delivery of </w:t>
      </w:r>
      <w:r w:rsidR="00DF494B" w:rsidRPr="001B7D5F">
        <w:t xml:space="preserve">activities funded under this Agreement, the Oversight Committee and </w:t>
      </w:r>
      <w:r w:rsidR="000A6BF8" w:rsidRPr="001B7D5F">
        <w:t xml:space="preserve">the </w:t>
      </w:r>
      <w:r w:rsidR="00DF494B" w:rsidRPr="001B7D5F">
        <w:t>relevant Delivery Partner</w:t>
      </w:r>
      <w:r w:rsidR="000A6BF8" w:rsidRPr="001B7D5F">
        <w:t>/s</w:t>
      </w:r>
      <w:r w:rsidR="00DF494B" w:rsidRPr="001B7D5F">
        <w:t xml:space="preserve"> will seek to resolve concerns</w:t>
      </w:r>
      <w:r w:rsidR="0001147D" w:rsidRPr="001B7D5F">
        <w:t xml:space="preserve"> at the Committee level in the first instance. </w:t>
      </w:r>
      <w:r w:rsidRPr="001B7D5F">
        <w:t>Where necessary, the Delivery Partner/s may be requested to develop a remediation plan identifying steps to resolving the issues of concern</w:t>
      </w:r>
      <w:r w:rsidR="001E785B" w:rsidRPr="001B7D5F">
        <w:t xml:space="preserve"> within 10 working days of notice</w:t>
      </w:r>
      <w:r w:rsidRPr="001B7D5F">
        <w:t xml:space="preserve">. Based on advice from the relevant Delivery Partner/s, the </w:t>
      </w:r>
      <w:r w:rsidR="00B25242" w:rsidRPr="001B7D5F">
        <w:t xml:space="preserve">Oversight </w:t>
      </w:r>
      <w:r w:rsidRPr="001B7D5F">
        <w:t xml:space="preserve">Committee may agree to revise relevant deliverables under the Agency </w:t>
      </w:r>
      <w:r w:rsidR="00B25242" w:rsidRPr="001B7D5F">
        <w:t>W</w:t>
      </w:r>
      <w:r w:rsidRPr="001B7D5F">
        <w:t xml:space="preserve">ork </w:t>
      </w:r>
      <w:r w:rsidR="00B25242" w:rsidRPr="001B7D5F">
        <w:t>P</w:t>
      </w:r>
      <w:r w:rsidRPr="001B7D5F">
        <w:t>lan or Delivery Partner contract (as relevant), reallocate funding as appropriate, and/or consider termination.</w:t>
      </w:r>
      <w:r w:rsidRPr="001B7D5F" w:rsidDel="00CB49B5">
        <w:t xml:space="preserve"> </w:t>
      </w:r>
      <w:r w:rsidR="009D432F" w:rsidRPr="001B7D5F">
        <w:t>Funding for Foundation or National Services will not be ceased without reference to H</w:t>
      </w:r>
      <w:r w:rsidR="001634E8" w:rsidRPr="001B7D5F">
        <w:t>ealth Chief Executives</w:t>
      </w:r>
      <w:r w:rsidR="009D432F" w:rsidRPr="001B7D5F">
        <w:t xml:space="preserve">.  </w:t>
      </w:r>
    </w:p>
    <w:p w14:paraId="2E786A0F" w14:textId="37E15219" w:rsidR="00F037D5" w:rsidRPr="001B7D5F" w:rsidRDefault="58744C11" w:rsidP="00A70546">
      <w:pPr>
        <w:pStyle w:val="Heading2"/>
      </w:pPr>
      <w:bookmarkStart w:id="59" w:name="_Toc117162873"/>
      <w:bookmarkStart w:id="60" w:name="_Toc1631919954"/>
      <w:r w:rsidRPr="001B7D5F">
        <w:lastRenderedPageBreak/>
        <w:t>8</w:t>
      </w:r>
      <w:r w:rsidR="26862CA2" w:rsidRPr="001B7D5F">
        <w:t xml:space="preserve">. </w:t>
      </w:r>
      <w:r w:rsidR="5860EF6E" w:rsidRPr="001B7D5F">
        <w:t>Funding Arrangements</w:t>
      </w:r>
      <w:bookmarkEnd w:id="59"/>
      <w:bookmarkEnd w:id="60"/>
    </w:p>
    <w:p w14:paraId="5C899525" w14:textId="3AE2778A" w:rsidR="00F037D5" w:rsidRPr="001B7D5F" w:rsidRDefault="5860EF6E" w:rsidP="00A70546">
      <w:pPr>
        <w:pStyle w:val="Heading3"/>
        <w:numPr>
          <w:ilvl w:val="1"/>
          <w:numId w:val="18"/>
        </w:numPr>
        <w:ind w:left="567" w:hanging="567"/>
      </w:pPr>
      <w:bookmarkStart w:id="61" w:name="_Toc126920705"/>
      <w:bookmarkStart w:id="62" w:name="_Toc1275547699"/>
      <w:bookmarkStart w:id="63" w:name="_Toc306691605"/>
      <w:r w:rsidRPr="001B7D5F">
        <w:t>Commitment of Funding</w:t>
      </w:r>
      <w:bookmarkEnd w:id="61"/>
      <w:bookmarkEnd w:id="62"/>
      <w:bookmarkEnd w:id="63"/>
    </w:p>
    <w:p w14:paraId="55D73B08" w14:textId="010F8E36" w:rsidR="000A218A" w:rsidRPr="001B7D5F" w:rsidRDefault="00F037D5" w:rsidP="00A70546">
      <w:pPr>
        <w:pStyle w:val="BodyText"/>
        <w:numPr>
          <w:ilvl w:val="2"/>
          <w:numId w:val="18"/>
        </w:numPr>
        <w:ind w:left="567" w:hanging="567"/>
      </w:pPr>
      <w:r w:rsidRPr="001B7D5F">
        <w:t>The Parties acknowledge that the funding provided under this Agreement</w:t>
      </w:r>
      <w:r w:rsidR="004F565A" w:rsidRPr="001B7D5F">
        <w:t>,</w:t>
      </w:r>
      <w:r w:rsidRPr="001B7D5F">
        <w:t xml:space="preserve"> </w:t>
      </w:r>
      <w:r w:rsidR="004F565A" w:rsidRPr="001B7D5F">
        <w:t xml:space="preserve">as outlined in Schedule C, </w:t>
      </w:r>
      <w:r w:rsidRPr="001B7D5F">
        <w:t xml:space="preserve">is subject to allocations in their jurisdictional budget. Each </w:t>
      </w:r>
      <w:r w:rsidR="003D7240">
        <w:t>P</w:t>
      </w:r>
      <w:r w:rsidRPr="001B7D5F">
        <w:t>arty commits in good faith to seeking the necessary approvals and funding in their respective cabinet processes to implement this Agreement.</w:t>
      </w:r>
    </w:p>
    <w:p w14:paraId="112D30F2" w14:textId="49646155" w:rsidR="00F037D5" w:rsidRPr="001B7D5F" w:rsidRDefault="5860EF6E" w:rsidP="00A70546">
      <w:pPr>
        <w:pStyle w:val="Heading3"/>
        <w:numPr>
          <w:ilvl w:val="1"/>
          <w:numId w:val="18"/>
        </w:numPr>
        <w:ind w:left="567" w:hanging="567"/>
      </w:pPr>
      <w:bookmarkStart w:id="64" w:name="_Toc126920706"/>
      <w:bookmarkStart w:id="65" w:name="_Toc265365503"/>
      <w:bookmarkStart w:id="66" w:name="_Toc1370116915"/>
      <w:r w:rsidRPr="001B7D5F">
        <w:t>Joint Core Funding</w:t>
      </w:r>
      <w:bookmarkEnd w:id="64"/>
      <w:bookmarkEnd w:id="65"/>
      <w:bookmarkEnd w:id="66"/>
    </w:p>
    <w:p w14:paraId="41F98DBC" w14:textId="09931407" w:rsidR="004022AB" w:rsidRPr="001B7D5F" w:rsidRDefault="00B6062E" w:rsidP="00A70546">
      <w:pPr>
        <w:pStyle w:val="BodyText"/>
        <w:numPr>
          <w:ilvl w:val="2"/>
          <w:numId w:val="18"/>
        </w:numPr>
        <w:ind w:left="567" w:hanging="567"/>
      </w:pPr>
      <w:r w:rsidRPr="001B7D5F">
        <w:t xml:space="preserve">The Agreement does not commit Parties to additional expenditure beyond the amount of Funds specified in </w:t>
      </w:r>
      <w:r w:rsidR="008771BC" w:rsidRPr="001B7D5F">
        <w:t>Table 1</w:t>
      </w:r>
      <w:r w:rsidRPr="001B7D5F">
        <w:t xml:space="preserve"> of Schedule </w:t>
      </w:r>
      <w:r w:rsidR="00EB26D4" w:rsidRPr="001B7D5F">
        <w:t>C</w:t>
      </w:r>
      <w:r w:rsidRPr="001B7D5F">
        <w:t>.</w:t>
      </w:r>
      <w:r w:rsidR="00583C0B" w:rsidRPr="001B7D5F">
        <w:t xml:space="preserve"> </w:t>
      </w:r>
    </w:p>
    <w:p w14:paraId="6B8C3D5C" w14:textId="7F10DD0B" w:rsidR="004022AB" w:rsidRPr="001B7D5F" w:rsidRDefault="004022AB" w:rsidP="00A70546">
      <w:pPr>
        <w:pStyle w:val="BodyText"/>
        <w:numPr>
          <w:ilvl w:val="2"/>
          <w:numId w:val="18"/>
        </w:numPr>
        <w:ind w:left="567" w:hanging="567"/>
      </w:pPr>
      <w:r w:rsidRPr="001B7D5F">
        <w:t>If a Party is not able to pay its share of the Funds in accordance with this Agreement, that Party must provide a written notice to the other Parties within 30 days of that Party becoming aware that it is unable to pay the Funds. This notice must include a statement that the Party is unable to pay its share of the Funds and set out the proposed arrangements for paying its share of the Funds.</w:t>
      </w:r>
    </w:p>
    <w:p w14:paraId="57127F4B" w14:textId="1C40E628" w:rsidR="00583C0B" w:rsidRPr="001B7D5F" w:rsidRDefault="00583C0B" w:rsidP="00A70546">
      <w:pPr>
        <w:pStyle w:val="BodyText"/>
        <w:numPr>
          <w:ilvl w:val="2"/>
          <w:numId w:val="18"/>
        </w:numPr>
        <w:ind w:left="567" w:hanging="567"/>
        <w:rPr>
          <w:color w:val="auto"/>
        </w:rPr>
      </w:pPr>
      <w:r w:rsidRPr="001B7D5F">
        <w:t xml:space="preserve">If the Parties identify and agree on </w:t>
      </w:r>
      <w:r w:rsidR="00B6062E" w:rsidRPr="001B7D5F">
        <w:t xml:space="preserve">new </w:t>
      </w:r>
      <w:r w:rsidRPr="001B7D5F">
        <w:t xml:space="preserve">Foundation Services, National Services and/or Strategic </w:t>
      </w:r>
      <w:r w:rsidR="00922C7D" w:rsidRPr="001B7D5F">
        <w:t>Priorit</w:t>
      </w:r>
      <w:r w:rsidR="00922C7D">
        <w:t>y Projects</w:t>
      </w:r>
      <w:r w:rsidR="00E934C3">
        <w:t>, or supplementary financial commitments of Deliver</w:t>
      </w:r>
      <w:r w:rsidR="007A64DA">
        <w:t>y</w:t>
      </w:r>
      <w:r w:rsidR="00E934C3">
        <w:t xml:space="preserve"> Partners,</w:t>
      </w:r>
      <w:r w:rsidRPr="001B7D5F">
        <w:t xml:space="preserve"> which require additional investment </w:t>
      </w:r>
      <w:r w:rsidR="00D15CB4" w:rsidRPr="001B7D5F">
        <w:t xml:space="preserve">beyond the amount of Funds specified in </w:t>
      </w:r>
      <w:r w:rsidR="00E83382" w:rsidRPr="001B7D5F">
        <w:t>Table 1</w:t>
      </w:r>
      <w:r w:rsidR="00D15CB4" w:rsidRPr="001B7D5F">
        <w:t xml:space="preserve"> of Schedule </w:t>
      </w:r>
      <w:r w:rsidR="00EB26D4" w:rsidRPr="001B7D5F">
        <w:t>C</w:t>
      </w:r>
      <w:r w:rsidRPr="001B7D5F">
        <w:t>, the Parties must unanimously agree to vary this Agreement</w:t>
      </w:r>
      <w:r w:rsidR="00E934C3">
        <w:t xml:space="preserve"> (refer clause 5.2.1)</w:t>
      </w:r>
      <w:r w:rsidRPr="001B7D5F">
        <w:t xml:space="preserve">. Additional </w:t>
      </w:r>
      <w:r w:rsidR="00D15CB4" w:rsidRPr="001B7D5F">
        <w:t xml:space="preserve">investment will </w:t>
      </w:r>
      <w:r w:rsidRPr="001B7D5F">
        <w:t xml:space="preserve">be negotiated and agreed in line with processes outlined in Schedule </w:t>
      </w:r>
      <w:r w:rsidR="00EB26D4" w:rsidRPr="001B7D5F">
        <w:t>D</w:t>
      </w:r>
      <w:r w:rsidR="00F66BAC" w:rsidRPr="001B7D5F">
        <w:t>, if determined by the Oversight Committee.</w:t>
      </w:r>
      <w:r w:rsidR="00C74309" w:rsidRPr="001B7D5F">
        <w:t xml:space="preserve"> </w:t>
      </w:r>
      <w:r w:rsidR="00C74309" w:rsidRPr="001B7D5F">
        <w:rPr>
          <w:color w:val="auto"/>
        </w:rPr>
        <w:t>Advice will be sought from Health Chief Executive</w:t>
      </w:r>
      <w:r w:rsidR="00B25242" w:rsidRPr="001B7D5F">
        <w:rPr>
          <w:color w:val="auto"/>
        </w:rPr>
        <w:t>s</w:t>
      </w:r>
      <w:r w:rsidR="00C74309" w:rsidRPr="001B7D5F">
        <w:rPr>
          <w:color w:val="auto"/>
        </w:rPr>
        <w:t xml:space="preserve"> (or other governance arrangement as relevant) where the Oversight Committee plans to significantly alter annual funding allocations.</w:t>
      </w:r>
    </w:p>
    <w:p w14:paraId="3E6B09A1" w14:textId="377E3812" w:rsidR="00583C0B" w:rsidRPr="001B7D5F" w:rsidRDefault="00583C0B" w:rsidP="00A70546">
      <w:pPr>
        <w:pStyle w:val="BodyText"/>
        <w:numPr>
          <w:ilvl w:val="2"/>
          <w:numId w:val="18"/>
        </w:numPr>
        <w:ind w:left="567" w:hanging="567"/>
      </w:pPr>
      <w:r w:rsidRPr="001B7D5F">
        <w:t xml:space="preserve">The Parties </w:t>
      </w:r>
      <w:r w:rsidR="006B04D8" w:rsidRPr="001B7D5F">
        <w:t xml:space="preserve">acknowledge </w:t>
      </w:r>
      <w:r w:rsidRPr="001B7D5F">
        <w:t>that there may be other specific program</w:t>
      </w:r>
      <w:r w:rsidR="00EC22CE" w:rsidRPr="001B7D5F">
        <w:t>s</w:t>
      </w:r>
      <w:r w:rsidRPr="001B7D5F">
        <w:t xml:space="preserve"> of work which may be funded separately through public</w:t>
      </w:r>
      <w:r w:rsidR="006B04D8" w:rsidRPr="001B7D5F">
        <w:t>-</w:t>
      </w:r>
      <w:r w:rsidRPr="001B7D5F">
        <w:t>private partnerships or by individual jurisdictions. Funding for these activities will be subject to other contractual arrangements and not through this Agreement.</w:t>
      </w:r>
    </w:p>
    <w:p w14:paraId="68E1DFDA" w14:textId="118AEBBB" w:rsidR="00F037D5" w:rsidRPr="001B7D5F" w:rsidRDefault="5860EF6E" w:rsidP="00A70546">
      <w:pPr>
        <w:pStyle w:val="Heading3"/>
        <w:numPr>
          <w:ilvl w:val="1"/>
          <w:numId w:val="18"/>
        </w:numPr>
        <w:ind w:left="567" w:hanging="567"/>
      </w:pPr>
      <w:bookmarkStart w:id="67" w:name="_Toc126920707"/>
      <w:bookmarkStart w:id="68" w:name="_Toc252422630"/>
      <w:bookmarkStart w:id="69" w:name="_Toc199533717"/>
      <w:r w:rsidRPr="001B7D5F">
        <w:t>Funding allocations</w:t>
      </w:r>
      <w:bookmarkEnd w:id="67"/>
      <w:bookmarkEnd w:id="68"/>
      <w:bookmarkEnd w:id="69"/>
    </w:p>
    <w:p w14:paraId="4BAFF9B4" w14:textId="00CA56DD" w:rsidR="00583C0B" w:rsidRPr="001B7D5F" w:rsidRDefault="00583C0B" w:rsidP="00A70546">
      <w:pPr>
        <w:pStyle w:val="BodyText"/>
        <w:numPr>
          <w:ilvl w:val="2"/>
          <w:numId w:val="18"/>
        </w:numPr>
        <w:ind w:left="567" w:hanging="567"/>
      </w:pPr>
      <w:r w:rsidRPr="001B7D5F">
        <w:t xml:space="preserve">As additional Foundation and National Services are implemented, and/or the proportion of the funding committed under this Agreement allocated for operational costs increases, the potential for Strategic </w:t>
      </w:r>
      <w:r w:rsidR="00922C7D" w:rsidRPr="001B7D5F">
        <w:t>Priorit</w:t>
      </w:r>
      <w:r w:rsidR="00922C7D">
        <w:t>y Projects</w:t>
      </w:r>
      <w:r w:rsidR="00922C7D" w:rsidRPr="001B7D5F">
        <w:t xml:space="preserve"> </w:t>
      </w:r>
      <w:r w:rsidRPr="001B7D5F">
        <w:t xml:space="preserve">to be undertaken within the scope of this core funding </w:t>
      </w:r>
      <w:r w:rsidR="006B04D8" w:rsidRPr="001B7D5F">
        <w:t xml:space="preserve">may </w:t>
      </w:r>
      <w:r w:rsidRPr="001B7D5F">
        <w:t xml:space="preserve">be diminished. If additional funding is required to implement the National Digital Health Strategy or other national priorities as directed by all Parties, and this is not agreed as a variation to this Agreement, the Oversight Committee will prioritise programs to be completed within the current funding levels.  </w:t>
      </w:r>
    </w:p>
    <w:p w14:paraId="5E0783ED" w14:textId="23B3A506" w:rsidR="00461134" w:rsidRPr="001B7D5F" w:rsidRDefault="00F037D5" w:rsidP="00A70546">
      <w:pPr>
        <w:pStyle w:val="BodyText"/>
        <w:numPr>
          <w:ilvl w:val="2"/>
          <w:numId w:val="18"/>
        </w:numPr>
        <w:ind w:left="567" w:hanging="567"/>
      </w:pPr>
      <w:r w:rsidRPr="001B7D5F">
        <w:t xml:space="preserve">An agreed allocation of funding for delivery of </w:t>
      </w:r>
      <w:r w:rsidR="00583C0B" w:rsidRPr="001B7D5F">
        <w:t>F</w:t>
      </w:r>
      <w:r w:rsidRPr="001B7D5F">
        <w:t xml:space="preserve">oundation </w:t>
      </w:r>
      <w:r w:rsidR="00583C0B" w:rsidRPr="001B7D5F">
        <w:t>S</w:t>
      </w:r>
      <w:r w:rsidRPr="001B7D5F">
        <w:t xml:space="preserve">ervices, </w:t>
      </w:r>
      <w:r w:rsidR="00583C0B" w:rsidRPr="001B7D5F">
        <w:t>N</w:t>
      </w:r>
      <w:r w:rsidRPr="001B7D5F">
        <w:t xml:space="preserve">ational </w:t>
      </w:r>
      <w:r w:rsidR="00583C0B" w:rsidRPr="001B7D5F">
        <w:t>S</w:t>
      </w:r>
      <w:r w:rsidRPr="001B7D5F">
        <w:t xml:space="preserve">ervices and </w:t>
      </w:r>
      <w:r w:rsidR="00583C0B" w:rsidRPr="001B7D5F">
        <w:t>S</w:t>
      </w:r>
      <w:r w:rsidRPr="001B7D5F">
        <w:t xml:space="preserve">trategic </w:t>
      </w:r>
      <w:r w:rsidR="00922C7D" w:rsidRPr="001B7D5F">
        <w:t>Priorit</w:t>
      </w:r>
      <w:r w:rsidR="00922C7D">
        <w:t>y Projects</w:t>
      </w:r>
      <w:r w:rsidR="00922C7D" w:rsidRPr="001B7D5F">
        <w:t xml:space="preserve"> </w:t>
      </w:r>
      <w:r w:rsidRPr="001B7D5F">
        <w:t xml:space="preserve">for each year of the Agreement will be determined by the Oversight Committee. </w:t>
      </w:r>
      <w:r w:rsidR="006B04D8" w:rsidRPr="001B7D5F">
        <w:t>The funding allocations for the first financial year of this Agreement are set</w:t>
      </w:r>
      <w:r w:rsidR="000B2CC4" w:rsidRPr="001B7D5F">
        <w:t xml:space="preserve"> </w:t>
      </w:r>
      <w:r w:rsidR="006B04D8" w:rsidRPr="001B7D5F">
        <w:t xml:space="preserve">out </w:t>
      </w:r>
      <w:r w:rsidR="000B2CC4" w:rsidRPr="001B7D5F">
        <w:t>i</w:t>
      </w:r>
      <w:r w:rsidR="006B04D8" w:rsidRPr="001B7D5F">
        <w:t xml:space="preserve">n Schedule C. </w:t>
      </w:r>
      <w:r w:rsidR="00B6062E" w:rsidRPr="001B7D5F">
        <w:t xml:space="preserve">The Oversight Committee may agree to </w:t>
      </w:r>
      <w:r w:rsidR="00840F2E" w:rsidRPr="001B7D5F">
        <w:t>reallocate</w:t>
      </w:r>
      <w:r w:rsidRPr="001B7D5F">
        <w:t xml:space="preserve"> funding </w:t>
      </w:r>
      <w:r w:rsidR="00B6062E" w:rsidRPr="001B7D5F">
        <w:t>across National Services, Foundation Services and Strategic Priorit</w:t>
      </w:r>
      <w:r w:rsidR="00922C7D">
        <w:t>y Projects</w:t>
      </w:r>
      <w:r w:rsidRPr="001B7D5F">
        <w:t>, following consultation with relevant Delivery Partner</w:t>
      </w:r>
      <w:r w:rsidR="00C268AB" w:rsidRPr="001B7D5F">
        <w:t>s</w:t>
      </w:r>
      <w:r w:rsidR="006B04D8" w:rsidRPr="001B7D5F">
        <w:t xml:space="preserve"> and an assessment of the opportunities and risks involved in reallocating funding</w:t>
      </w:r>
      <w:r w:rsidRPr="001B7D5F">
        <w:t>.</w:t>
      </w:r>
    </w:p>
    <w:p w14:paraId="3C3BC5CF" w14:textId="1C94934F" w:rsidR="00F037D5" w:rsidRPr="001B7D5F" w:rsidRDefault="5860EF6E" w:rsidP="00A70546">
      <w:pPr>
        <w:pStyle w:val="Heading3"/>
        <w:numPr>
          <w:ilvl w:val="1"/>
          <w:numId w:val="18"/>
        </w:numPr>
        <w:ind w:left="567" w:hanging="567"/>
      </w:pPr>
      <w:bookmarkStart w:id="70" w:name="_Toc126920708"/>
      <w:bookmarkStart w:id="71" w:name="_Toc403667647"/>
      <w:bookmarkStart w:id="72" w:name="_Toc196483925"/>
      <w:r w:rsidRPr="001B7D5F">
        <w:lastRenderedPageBreak/>
        <w:t>Management of surplus/unspent funds</w:t>
      </w:r>
      <w:bookmarkEnd w:id="70"/>
      <w:bookmarkEnd w:id="71"/>
      <w:bookmarkEnd w:id="72"/>
    </w:p>
    <w:p w14:paraId="6F361AD1" w14:textId="2D6E08AE" w:rsidR="000B2CC4" w:rsidRPr="001B7D5F" w:rsidRDefault="00F037D5" w:rsidP="00A70546">
      <w:pPr>
        <w:pStyle w:val="BodyText"/>
        <w:numPr>
          <w:ilvl w:val="2"/>
          <w:numId w:val="18"/>
        </w:numPr>
        <w:ind w:left="567" w:hanging="567"/>
      </w:pPr>
      <w:r w:rsidRPr="001B7D5F">
        <w:t xml:space="preserve">The Parties recognise that the </w:t>
      </w:r>
      <w:r w:rsidR="002230B8" w:rsidRPr="001B7D5F">
        <w:t xml:space="preserve">PGPA Act </w:t>
      </w:r>
      <w:r w:rsidRPr="001B7D5F">
        <w:t xml:space="preserve">contains provisions applicable to the Agency </w:t>
      </w:r>
      <w:r w:rsidR="006B04D8" w:rsidRPr="001B7D5F">
        <w:t>and Services Australia</w:t>
      </w:r>
      <w:r w:rsidR="00A64266" w:rsidRPr="001B7D5F">
        <w:t xml:space="preserve">’s </w:t>
      </w:r>
      <w:r w:rsidRPr="001B7D5F">
        <w:t xml:space="preserve">financial arrangements. </w:t>
      </w:r>
      <w:r w:rsidR="006B04D8" w:rsidRPr="001B7D5F">
        <w:t>In managing expenditure of funds provided under this Agreement, t</w:t>
      </w:r>
      <w:r w:rsidRPr="001B7D5F">
        <w:t>he</w:t>
      </w:r>
      <w:r w:rsidR="00A64266" w:rsidRPr="001B7D5F">
        <w:t xml:space="preserve">se </w:t>
      </w:r>
      <w:r w:rsidR="00EC22CE" w:rsidRPr="001B7D5F">
        <w:t>D</w:t>
      </w:r>
      <w:r w:rsidR="00A64266" w:rsidRPr="001B7D5F">
        <w:t xml:space="preserve">elivery Partners </w:t>
      </w:r>
      <w:r w:rsidRPr="001B7D5F">
        <w:t xml:space="preserve">will comply with the provisions of the PGPA Act and administrative and operational requirements of the </w:t>
      </w:r>
      <w:r w:rsidR="00644A20" w:rsidRPr="001B7D5F">
        <w:t>Commonwealth budgetary processes.</w:t>
      </w:r>
      <w:r w:rsidR="009C2440" w:rsidRPr="001B7D5F">
        <w:t xml:space="preserve"> The Parties acknowledge this requirement and will take this into consideration when deliberating</w:t>
      </w:r>
      <w:r w:rsidR="000B2CC4" w:rsidRPr="001B7D5F">
        <w:t xml:space="preserve"> </w:t>
      </w:r>
      <w:r w:rsidR="009C2440" w:rsidRPr="001B7D5F">
        <w:t>any changes to funding.</w:t>
      </w:r>
    </w:p>
    <w:p w14:paraId="4EF17635" w14:textId="6A51FEEB" w:rsidR="0060321E" w:rsidRPr="001B7D5F" w:rsidRDefault="00F037D5" w:rsidP="00A70546">
      <w:pPr>
        <w:pStyle w:val="BodyText"/>
        <w:numPr>
          <w:ilvl w:val="2"/>
          <w:numId w:val="18"/>
        </w:numPr>
        <w:ind w:left="567" w:hanging="567"/>
      </w:pPr>
      <w:r w:rsidRPr="001B7D5F">
        <w:t xml:space="preserve">If </w:t>
      </w:r>
      <w:r w:rsidR="00394E9A" w:rsidRPr="001B7D5F">
        <w:t>fund</w:t>
      </w:r>
      <w:r w:rsidR="007F2AC8">
        <w:t>s</w:t>
      </w:r>
      <w:r w:rsidR="00394E9A" w:rsidRPr="001B7D5F">
        <w:t xml:space="preserve"> are not fully expended </w:t>
      </w:r>
      <w:r w:rsidRPr="001B7D5F">
        <w:t xml:space="preserve">for any given financial year, the </w:t>
      </w:r>
      <w:r w:rsidR="00242AC3" w:rsidRPr="001B7D5F">
        <w:t xml:space="preserve">Delivery Partner </w:t>
      </w:r>
      <w:r w:rsidRPr="001B7D5F">
        <w:t xml:space="preserve">will advise the Parties through the governance arrangements outlined in this Agreement. The </w:t>
      </w:r>
      <w:r w:rsidR="00242AC3" w:rsidRPr="001B7D5F">
        <w:t xml:space="preserve">Delivery Partner </w:t>
      </w:r>
      <w:r w:rsidR="00887367" w:rsidRPr="001B7D5F">
        <w:t xml:space="preserve">will consult with the </w:t>
      </w:r>
      <w:r w:rsidRPr="001B7D5F">
        <w:t xml:space="preserve">Oversight Committee </w:t>
      </w:r>
      <w:r w:rsidR="00887367" w:rsidRPr="001B7D5F">
        <w:t xml:space="preserve">to determine </w:t>
      </w:r>
      <w:r w:rsidRPr="001B7D5F">
        <w:t>how (or whether) the unspent funds may be reinvested, in accordance with the objectives of this Agreement and subject to any applicable legislation.</w:t>
      </w:r>
    </w:p>
    <w:p w14:paraId="32C998D3" w14:textId="49315DFF" w:rsidR="00F037D5" w:rsidRPr="001B7D5F" w:rsidRDefault="5860EF6E" w:rsidP="00A70546">
      <w:pPr>
        <w:pStyle w:val="Heading3"/>
        <w:numPr>
          <w:ilvl w:val="1"/>
          <w:numId w:val="18"/>
        </w:numPr>
        <w:ind w:left="567" w:hanging="567"/>
      </w:pPr>
      <w:bookmarkStart w:id="73" w:name="_Toc126920709"/>
      <w:bookmarkStart w:id="74" w:name="_Toc695233496"/>
      <w:bookmarkStart w:id="75" w:name="_Toc942336835"/>
      <w:r w:rsidRPr="001B7D5F">
        <w:t>Contracted program of work</w:t>
      </w:r>
      <w:bookmarkEnd w:id="73"/>
      <w:bookmarkEnd w:id="74"/>
      <w:bookmarkEnd w:id="75"/>
    </w:p>
    <w:p w14:paraId="7AF8B7AE" w14:textId="60510E24" w:rsidR="00F037D5" w:rsidRPr="001B7D5F" w:rsidRDefault="00F037D5" w:rsidP="00A70546">
      <w:pPr>
        <w:pStyle w:val="BodyText"/>
        <w:numPr>
          <w:ilvl w:val="2"/>
          <w:numId w:val="18"/>
        </w:numPr>
        <w:ind w:left="567" w:hanging="567"/>
      </w:pPr>
      <w:r w:rsidRPr="001B7D5F">
        <w:t>Pending the nature of the proposal, the</w:t>
      </w:r>
      <w:r w:rsidR="00A64266" w:rsidRPr="001B7D5F">
        <w:t xml:space="preserve"> Agency</w:t>
      </w:r>
      <w:r w:rsidRPr="001B7D5F">
        <w:t xml:space="preserve"> may be tasked with managing contractual and funding arrangements with other </w:t>
      </w:r>
      <w:r w:rsidR="00D6177F" w:rsidRPr="001B7D5F">
        <w:t>Delivery Partners</w:t>
      </w:r>
      <w:r w:rsidRPr="001B7D5F">
        <w:t xml:space="preserve"> on behalf of the Parties.</w:t>
      </w:r>
    </w:p>
    <w:p w14:paraId="67C7879E" w14:textId="0D7F9099" w:rsidR="003367C5" w:rsidRPr="001B7D5F" w:rsidRDefault="1420A020" w:rsidP="00A70546">
      <w:pPr>
        <w:pStyle w:val="Heading2"/>
      </w:pPr>
      <w:bookmarkStart w:id="76" w:name="_Toc897370676"/>
      <w:bookmarkStart w:id="77" w:name="_Toc1466689074"/>
      <w:r w:rsidRPr="001B7D5F">
        <w:t xml:space="preserve">9. </w:t>
      </w:r>
      <w:r w:rsidR="29714088" w:rsidRPr="001B7D5F">
        <w:t>Roles and responsibilities</w:t>
      </w:r>
      <w:bookmarkEnd w:id="76"/>
      <w:bookmarkEnd w:id="77"/>
    </w:p>
    <w:p w14:paraId="67C3B94F" w14:textId="77777777" w:rsidR="009F7E54" w:rsidRPr="001B7D5F" w:rsidRDefault="009F7E54" w:rsidP="00A70546">
      <w:pPr>
        <w:pStyle w:val="Heading3"/>
        <w:numPr>
          <w:ilvl w:val="1"/>
          <w:numId w:val="19"/>
        </w:numPr>
        <w:ind w:left="567" w:hanging="567"/>
      </w:pPr>
      <w:bookmarkStart w:id="78" w:name="_Toc126920711"/>
      <w:bookmarkStart w:id="79" w:name="_Toc1219842980"/>
      <w:bookmarkStart w:id="80" w:name="_Toc433096308"/>
      <w:r w:rsidRPr="001B7D5F">
        <w:t>Shared Obligations</w:t>
      </w:r>
    </w:p>
    <w:p w14:paraId="5AA8F63F" w14:textId="77777777" w:rsidR="009F7E54" w:rsidRPr="001B7D5F" w:rsidRDefault="009F7E54" w:rsidP="00A70546">
      <w:pPr>
        <w:pStyle w:val="BodyText"/>
        <w:numPr>
          <w:ilvl w:val="2"/>
          <w:numId w:val="19"/>
        </w:numPr>
        <w:ind w:left="567" w:hanging="567"/>
        <w:rPr>
          <w:szCs w:val="22"/>
        </w:rPr>
      </w:pPr>
      <w:r w:rsidRPr="001B7D5F">
        <w:rPr>
          <w:szCs w:val="22"/>
        </w:rPr>
        <w:t>In accepting funding provided, and subject to any services agreements or contractual arrangements, Delivery Partners will be required to:</w:t>
      </w:r>
    </w:p>
    <w:p w14:paraId="1EFBB3F8" w14:textId="3DCEA209" w:rsidR="009F7E54" w:rsidRPr="001B7D5F" w:rsidRDefault="009F7E54" w:rsidP="00A70546">
      <w:pPr>
        <w:pStyle w:val="BodyText"/>
        <w:numPr>
          <w:ilvl w:val="0"/>
          <w:numId w:val="49"/>
        </w:numPr>
      </w:pPr>
      <w:r w:rsidRPr="001B7D5F">
        <w:t>Use the Funds only for the performance of the Foundation Services, National Services and Strategic Priorit</w:t>
      </w:r>
      <w:r w:rsidR="00922C7D">
        <w:t>y Projects</w:t>
      </w:r>
      <w:r w:rsidRPr="001B7D5F">
        <w:t xml:space="preserve"> described in this Agreement;</w:t>
      </w:r>
    </w:p>
    <w:p w14:paraId="3933E5D8" w14:textId="77777777" w:rsidR="009F7E54" w:rsidRPr="001B7D5F" w:rsidRDefault="009F7E54" w:rsidP="00A70546">
      <w:pPr>
        <w:pStyle w:val="BodyText"/>
        <w:numPr>
          <w:ilvl w:val="0"/>
          <w:numId w:val="38"/>
        </w:numPr>
      </w:pPr>
      <w:r w:rsidRPr="001B7D5F">
        <w:t>Operate the Foundation and National Services within the allocated budget as agreed by the Oversight Committee;</w:t>
      </w:r>
    </w:p>
    <w:p w14:paraId="17056484" w14:textId="3B2AF85B" w:rsidR="009F7E54" w:rsidRPr="001B7D5F" w:rsidRDefault="009F7E54" w:rsidP="00A70546">
      <w:pPr>
        <w:pStyle w:val="BodyText"/>
        <w:numPr>
          <w:ilvl w:val="0"/>
          <w:numId w:val="38"/>
        </w:numPr>
      </w:pPr>
      <w:r w:rsidRPr="001B7D5F">
        <w:t xml:space="preserve">Deliver the Strategic </w:t>
      </w:r>
      <w:r w:rsidR="00922C7D" w:rsidRPr="001B7D5F">
        <w:t>Priorit</w:t>
      </w:r>
      <w:r w:rsidR="00922C7D">
        <w:t>y Projects</w:t>
      </w:r>
      <w:r w:rsidR="00922C7D" w:rsidRPr="001B7D5F">
        <w:t xml:space="preserve"> </w:t>
      </w:r>
      <w:r w:rsidRPr="001B7D5F">
        <w:t>within the allocated budget and timeframes; and</w:t>
      </w:r>
    </w:p>
    <w:p w14:paraId="44EDD5A6" w14:textId="7787A9DC" w:rsidR="009F7E54" w:rsidRPr="001B7D5F" w:rsidRDefault="009F7E54" w:rsidP="00A70546">
      <w:pPr>
        <w:pStyle w:val="BodyText"/>
        <w:numPr>
          <w:ilvl w:val="0"/>
          <w:numId w:val="38"/>
        </w:numPr>
      </w:pPr>
      <w:r w:rsidRPr="001B7D5F">
        <w:t>Measure progress and report on each Foundation Service, National Service and Strategic Priority</w:t>
      </w:r>
      <w:r w:rsidR="00922C7D">
        <w:t xml:space="preserve"> Project</w:t>
      </w:r>
      <w:r w:rsidRPr="001B7D5F">
        <w:t xml:space="preserve"> funded through the Agreement.</w:t>
      </w:r>
    </w:p>
    <w:p w14:paraId="6630EB47" w14:textId="4E299C45" w:rsidR="00F355E4" w:rsidRPr="001B7D5F" w:rsidRDefault="29714088" w:rsidP="00A70546">
      <w:pPr>
        <w:pStyle w:val="Heading3"/>
        <w:numPr>
          <w:ilvl w:val="1"/>
          <w:numId w:val="19"/>
        </w:numPr>
        <w:ind w:left="567" w:hanging="567"/>
      </w:pPr>
      <w:r w:rsidRPr="001B7D5F">
        <w:t>The Commonwealth</w:t>
      </w:r>
      <w:bookmarkEnd w:id="78"/>
      <w:bookmarkEnd w:id="79"/>
      <w:bookmarkEnd w:id="80"/>
    </w:p>
    <w:p w14:paraId="47CA0BC3" w14:textId="2E654E57" w:rsidR="00C35973" w:rsidRPr="00D74FEC" w:rsidRDefault="00B14E77" w:rsidP="00D74FEC">
      <w:pPr>
        <w:pStyle w:val="BodyText"/>
        <w:numPr>
          <w:ilvl w:val="2"/>
          <w:numId w:val="19"/>
        </w:numPr>
        <w:ind w:left="567" w:hanging="567"/>
        <w:rPr>
          <w:szCs w:val="22"/>
        </w:rPr>
      </w:pPr>
      <w:r w:rsidRPr="00D74FEC">
        <w:rPr>
          <w:szCs w:val="22"/>
        </w:rPr>
        <w:t xml:space="preserve">The Commonwealth </w:t>
      </w:r>
      <w:r w:rsidR="000F1301" w:rsidRPr="00D74FEC">
        <w:rPr>
          <w:szCs w:val="22"/>
        </w:rPr>
        <w:t>i</w:t>
      </w:r>
      <w:r w:rsidR="003367C5" w:rsidRPr="00D74FEC">
        <w:rPr>
          <w:szCs w:val="22"/>
        </w:rPr>
        <w:t xml:space="preserve">s </w:t>
      </w:r>
      <w:r w:rsidR="000F1301" w:rsidRPr="00D74FEC">
        <w:rPr>
          <w:szCs w:val="22"/>
        </w:rPr>
        <w:t>responsible</w:t>
      </w:r>
      <w:r w:rsidR="003367C5" w:rsidRPr="00D74FEC">
        <w:rPr>
          <w:szCs w:val="22"/>
        </w:rPr>
        <w:t xml:space="preserve"> </w:t>
      </w:r>
      <w:r w:rsidR="000F1301" w:rsidRPr="00D74FEC">
        <w:rPr>
          <w:szCs w:val="22"/>
        </w:rPr>
        <w:t>for</w:t>
      </w:r>
      <w:r w:rsidRPr="00D74FEC">
        <w:rPr>
          <w:szCs w:val="22"/>
        </w:rPr>
        <w:t xml:space="preserve"> p</w:t>
      </w:r>
      <w:r w:rsidR="003367C5" w:rsidRPr="00D74FEC">
        <w:rPr>
          <w:szCs w:val="22"/>
        </w:rPr>
        <w:t>romot</w:t>
      </w:r>
      <w:r w:rsidR="000F1301" w:rsidRPr="00D74FEC">
        <w:rPr>
          <w:szCs w:val="22"/>
        </w:rPr>
        <w:t>ing</w:t>
      </w:r>
      <w:r w:rsidR="003367C5" w:rsidRPr="00D74FEC">
        <w:rPr>
          <w:szCs w:val="22"/>
        </w:rPr>
        <w:t xml:space="preserve"> the adoption and take up of national digital health capabilit</w:t>
      </w:r>
      <w:r w:rsidR="00492D01" w:rsidRPr="00D74FEC">
        <w:rPr>
          <w:szCs w:val="22"/>
        </w:rPr>
        <w:t>ies</w:t>
      </w:r>
      <w:r w:rsidR="00F75322" w:rsidRPr="00D74FEC">
        <w:rPr>
          <w:szCs w:val="22"/>
        </w:rPr>
        <w:t xml:space="preserve">. The Commonwealth will support the objectives of this </w:t>
      </w:r>
      <w:r w:rsidR="0068206F" w:rsidRPr="00D74FEC">
        <w:rPr>
          <w:szCs w:val="22"/>
        </w:rPr>
        <w:t>Agreement</w:t>
      </w:r>
      <w:r w:rsidR="00F75322" w:rsidRPr="00D74FEC">
        <w:rPr>
          <w:szCs w:val="22"/>
        </w:rPr>
        <w:t xml:space="preserve"> through </w:t>
      </w:r>
      <w:r w:rsidR="00855C26" w:rsidRPr="00D74FEC">
        <w:rPr>
          <w:szCs w:val="22"/>
        </w:rPr>
        <w:t>it</w:t>
      </w:r>
      <w:r w:rsidR="00BF5DCD" w:rsidRPr="00D74FEC">
        <w:rPr>
          <w:szCs w:val="22"/>
        </w:rPr>
        <w:t>s</w:t>
      </w:r>
      <w:r w:rsidR="00855C26" w:rsidRPr="00D74FEC">
        <w:rPr>
          <w:szCs w:val="22"/>
        </w:rPr>
        <w:t xml:space="preserve"> overarching policy responsibility for national digital health as well as custodianship of key enabling legislation </w:t>
      </w:r>
      <w:r w:rsidR="00F75322" w:rsidRPr="00D74FEC">
        <w:rPr>
          <w:szCs w:val="22"/>
        </w:rPr>
        <w:t xml:space="preserve">for the </w:t>
      </w:r>
      <w:r w:rsidR="0068206F" w:rsidRPr="00D74FEC">
        <w:rPr>
          <w:szCs w:val="22"/>
        </w:rPr>
        <w:t>My Health Record</w:t>
      </w:r>
      <w:r w:rsidR="00F75322" w:rsidRPr="00D74FEC">
        <w:rPr>
          <w:szCs w:val="22"/>
        </w:rPr>
        <w:t xml:space="preserve"> and H</w:t>
      </w:r>
      <w:r w:rsidR="0068206F" w:rsidRPr="00D74FEC">
        <w:rPr>
          <w:szCs w:val="22"/>
        </w:rPr>
        <w:t>ealthcare Identifiers system</w:t>
      </w:r>
      <w:r w:rsidR="00855C26" w:rsidRPr="00D74FEC">
        <w:rPr>
          <w:szCs w:val="22"/>
        </w:rPr>
        <w:t xml:space="preserve">, </w:t>
      </w:r>
      <w:r w:rsidR="00BF5DCD" w:rsidRPr="00D74FEC">
        <w:rPr>
          <w:szCs w:val="22"/>
        </w:rPr>
        <w:t>and</w:t>
      </w:r>
      <w:r w:rsidR="002A5CF1" w:rsidRPr="00D74FEC">
        <w:rPr>
          <w:szCs w:val="22"/>
        </w:rPr>
        <w:t xml:space="preserve"> key enabling legislation for the</w:t>
      </w:r>
      <w:r w:rsidR="00855C26" w:rsidRPr="00D74FEC">
        <w:rPr>
          <w:szCs w:val="22"/>
        </w:rPr>
        <w:t xml:space="preserve"> </w:t>
      </w:r>
      <w:r w:rsidR="002A5CF1" w:rsidRPr="00D74FEC">
        <w:rPr>
          <w:szCs w:val="22"/>
        </w:rPr>
        <w:t>establishment</w:t>
      </w:r>
      <w:r w:rsidR="00855C26" w:rsidRPr="00D74FEC">
        <w:rPr>
          <w:szCs w:val="22"/>
        </w:rPr>
        <w:t xml:space="preserve"> </w:t>
      </w:r>
      <w:r w:rsidR="00BF5DCD" w:rsidRPr="00D74FEC">
        <w:rPr>
          <w:szCs w:val="22"/>
        </w:rPr>
        <w:t xml:space="preserve">of </w:t>
      </w:r>
      <w:r w:rsidR="00855C26" w:rsidRPr="00D74FEC">
        <w:rPr>
          <w:szCs w:val="22"/>
        </w:rPr>
        <w:t>the Agency.</w:t>
      </w:r>
      <w:r w:rsidR="00C35973" w:rsidRPr="00D74FEC">
        <w:rPr>
          <w:szCs w:val="22"/>
        </w:rPr>
        <w:t xml:space="preserve"> </w:t>
      </w:r>
    </w:p>
    <w:p w14:paraId="1E1311D8" w14:textId="466AD890" w:rsidR="00F355E4" w:rsidRPr="001B7D5F" w:rsidRDefault="631AED5A" w:rsidP="00A70546">
      <w:pPr>
        <w:pStyle w:val="Heading3"/>
        <w:numPr>
          <w:ilvl w:val="1"/>
          <w:numId w:val="19"/>
        </w:numPr>
        <w:ind w:left="567" w:hanging="567"/>
      </w:pPr>
      <w:bookmarkStart w:id="81" w:name="_Toc126920712"/>
      <w:bookmarkStart w:id="82" w:name="_Toc1697369477"/>
      <w:bookmarkStart w:id="83" w:name="_Toc1031157316"/>
      <w:r w:rsidRPr="001B7D5F">
        <w:t>State</w:t>
      </w:r>
      <w:r w:rsidR="69E73FF6" w:rsidRPr="001B7D5F">
        <w:t>s</w:t>
      </w:r>
      <w:r w:rsidRPr="001B7D5F">
        <w:t xml:space="preserve"> and Territor</w:t>
      </w:r>
      <w:r w:rsidR="69E73FF6" w:rsidRPr="001B7D5F">
        <w:t>ies</w:t>
      </w:r>
      <w:bookmarkEnd w:id="81"/>
      <w:r w:rsidRPr="001B7D5F">
        <w:t xml:space="preserve"> </w:t>
      </w:r>
      <w:bookmarkEnd w:id="82"/>
      <w:bookmarkEnd w:id="83"/>
    </w:p>
    <w:p w14:paraId="25C5569C" w14:textId="0209BBCC" w:rsidR="003367C5" w:rsidRPr="00D74FEC" w:rsidRDefault="00BB680A" w:rsidP="00D74FEC">
      <w:pPr>
        <w:pStyle w:val="BodyText"/>
        <w:numPr>
          <w:ilvl w:val="2"/>
          <w:numId w:val="19"/>
        </w:numPr>
        <w:ind w:left="567" w:hanging="567"/>
        <w:rPr>
          <w:szCs w:val="22"/>
        </w:rPr>
      </w:pPr>
      <w:r w:rsidRPr="00D74FEC">
        <w:rPr>
          <w:szCs w:val="22"/>
        </w:rPr>
        <w:t xml:space="preserve">Recognising the role of the </w:t>
      </w:r>
      <w:r w:rsidR="00492D01" w:rsidRPr="00D74FEC">
        <w:rPr>
          <w:szCs w:val="22"/>
        </w:rPr>
        <w:t>s</w:t>
      </w:r>
      <w:r w:rsidRPr="00D74FEC">
        <w:rPr>
          <w:szCs w:val="22"/>
        </w:rPr>
        <w:t xml:space="preserve">tates and </w:t>
      </w:r>
      <w:r w:rsidR="00492D01" w:rsidRPr="00D74FEC">
        <w:rPr>
          <w:szCs w:val="22"/>
        </w:rPr>
        <w:t>t</w:t>
      </w:r>
      <w:r w:rsidRPr="00D74FEC">
        <w:rPr>
          <w:szCs w:val="22"/>
        </w:rPr>
        <w:t>erritories as key health system managers, particularly for public health and public hospital services, t</w:t>
      </w:r>
      <w:r w:rsidR="003367C5" w:rsidRPr="00D74FEC">
        <w:rPr>
          <w:szCs w:val="22"/>
        </w:rPr>
        <w:t xml:space="preserve">he </w:t>
      </w:r>
      <w:r w:rsidR="00492D01" w:rsidRPr="00D74FEC">
        <w:rPr>
          <w:szCs w:val="22"/>
        </w:rPr>
        <w:t>s</w:t>
      </w:r>
      <w:r w:rsidR="003367C5" w:rsidRPr="00D74FEC">
        <w:rPr>
          <w:szCs w:val="22"/>
        </w:rPr>
        <w:t xml:space="preserve">tates and </w:t>
      </w:r>
      <w:r w:rsidR="00492D01" w:rsidRPr="00D74FEC">
        <w:rPr>
          <w:szCs w:val="22"/>
        </w:rPr>
        <w:t>t</w:t>
      </w:r>
      <w:r w:rsidR="003367C5" w:rsidRPr="00D74FEC">
        <w:rPr>
          <w:szCs w:val="22"/>
        </w:rPr>
        <w:t xml:space="preserve">erritories </w:t>
      </w:r>
      <w:r w:rsidR="000F1301" w:rsidRPr="00D74FEC">
        <w:rPr>
          <w:szCs w:val="22"/>
        </w:rPr>
        <w:t>are</w:t>
      </w:r>
      <w:r w:rsidR="003367C5" w:rsidRPr="00D74FEC">
        <w:rPr>
          <w:szCs w:val="22"/>
        </w:rPr>
        <w:t xml:space="preserve"> re</w:t>
      </w:r>
      <w:r w:rsidR="00176C4F" w:rsidRPr="00D74FEC">
        <w:rPr>
          <w:szCs w:val="22"/>
        </w:rPr>
        <w:t>sponsible for</w:t>
      </w:r>
      <w:r w:rsidR="003367C5" w:rsidRPr="00D74FEC">
        <w:rPr>
          <w:szCs w:val="22"/>
        </w:rPr>
        <w:t>:</w:t>
      </w:r>
    </w:p>
    <w:p w14:paraId="571DF03F" w14:textId="303E6448" w:rsidR="003367C5" w:rsidRPr="001B7D5F" w:rsidRDefault="00BB680A" w:rsidP="00A70546">
      <w:pPr>
        <w:pStyle w:val="BodyText"/>
        <w:numPr>
          <w:ilvl w:val="0"/>
          <w:numId w:val="40"/>
        </w:numPr>
      </w:pPr>
      <w:r w:rsidRPr="001B7D5F">
        <w:t>W</w:t>
      </w:r>
      <w:r w:rsidR="003367C5" w:rsidRPr="001B7D5F">
        <w:t>ork</w:t>
      </w:r>
      <w:r w:rsidR="00176C4F" w:rsidRPr="001B7D5F">
        <w:t>ing</w:t>
      </w:r>
      <w:r w:rsidR="003367C5" w:rsidRPr="001B7D5F">
        <w:t xml:space="preserve"> with </w:t>
      </w:r>
      <w:r w:rsidR="00A22AF6" w:rsidRPr="001B7D5F">
        <w:t>Delivery Partners</w:t>
      </w:r>
      <w:r w:rsidR="00A22AF6" w:rsidRPr="001B7D5F" w:rsidDel="00A22AF6">
        <w:t xml:space="preserve"> </w:t>
      </w:r>
      <w:r w:rsidR="003367C5" w:rsidRPr="001B7D5F">
        <w:t>to quantify the effort required to implement initiatives</w:t>
      </w:r>
      <w:r w:rsidR="005B3D92" w:rsidRPr="001B7D5F">
        <w:t>,</w:t>
      </w:r>
      <w:r w:rsidR="003367C5" w:rsidRPr="001B7D5F">
        <w:t xml:space="preserve"> to inform implementation plans</w:t>
      </w:r>
      <w:r w:rsidR="005B3D92" w:rsidRPr="001B7D5F">
        <w:t>,</w:t>
      </w:r>
      <w:r w:rsidR="003367C5" w:rsidRPr="001B7D5F">
        <w:t xml:space="preserve"> and digital health budget and resource requirements.</w:t>
      </w:r>
    </w:p>
    <w:p w14:paraId="32969600" w14:textId="23441499" w:rsidR="003367C5" w:rsidRPr="001B7D5F" w:rsidRDefault="00BB680A" w:rsidP="00A70546">
      <w:pPr>
        <w:pStyle w:val="BodyText"/>
        <w:numPr>
          <w:ilvl w:val="0"/>
          <w:numId w:val="40"/>
        </w:numPr>
      </w:pPr>
      <w:r w:rsidRPr="001B7D5F">
        <w:lastRenderedPageBreak/>
        <w:t>C</w:t>
      </w:r>
      <w:r w:rsidR="003367C5" w:rsidRPr="001B7D5F">
        <w:t>ollaborat</w:t>
      </w:r>
      <w:r w:rsidR="00176C4F" w:rsidRPr="001B7D5F">
        <w:t>ing</w:t>
      </w:r>
      <w:r w:rsidR="003367C5" w:rsidRPr="001B7D5F">
        <w:t xml:space="preserve"> with each other, </w:t>
      </w:r>
      <w:r w:rsidR="00810E23" w:rsidRPr="001B7D5F">
        <w:t xml:space="preserve">the Commonwealth </w:t>
      </w:r>
      <w:r w:rsidR="003367C5" w:rsidRPr="001B7D5F">
        <w:t xml:space="preserve">and with </w:t>
      </w:r>
      <w:r w:rsidR="00A22AF6" w:rsidRPr="001B7D5F">
        <w:t>D</w:t>
      </w:r>
      <w:r w:rsidRPr="001B7D5F">
        <w:t xml:space="preserve">elivery </w:t>
      </w:r>
      <w:r w:rsidR="00A22AF6" w:rsidRPr="001B7D5F">
        <w:t>P</w:t>
      </w:r>
      <w:r w:rsidRPr="001B7D5F">
        <w:t>artners</w:t>
      </w:r>
      <w:r w:rsidR="003367C5" w:rsidRPr="001B7D5F">
        <w:t>, on projects with the potential to scale for national benefit, and ensuring national standards, specifications and terminology are used to facilitate interoperability across digital health systems.</w:t>
      </w:r>
    </w:p>
    <w:p w14:paraId="5605542B" w14:textId="0F81F1DD" w:rsidR="003367C5" w:rsidRPr="001B7D5F" w:rsidRDefault="003367C5" w:rsidP="00A70546">
      <w:pPr>
        <w:pStyle w:val="BodyText"/>
        <w:numPr>
          <w:ilvl w:val="0"/>
          <w:numId w:val="40"/>
        </w:numPr>
      </w:pPr>
      <w:r w:rsidRPr="001B7D5F">
        <w:t xml:space="preserve">In managing and funding these state-operated services, adopting, </w:t>
      </w:r>
      <w:r w:rsidR="00E75250" w:rsidRPr="001B7D5F">
        <w:t>supporting,</w:t>
      </w:r>
      <w:r w:rsidRPr="001B7D5F">
        <w:t xml:space="preserve"> and leveraging </w:t>
      </w:r>
      <w:r w:rsidR="00E80354" w:rsidRPr="001B7D5F">
        <w:t>F</w:t>
      </w:r>
      <w:r w:rsidR="002A5CF1" w:rsidRPr="001B7D5F">
        <w:t xml:space="preserve">oundation and </w:t>
      </w:r>
      <w:r w:rsidR="00E80354" w:rsidRPr="001B7D5F">
        <w:t>N</w:t>
      </w:r>
      <w:r w:rsidR="002A5CF1" w:rsidRPr="001B7D5F">
        <w:t xml:space="preserve">ational </w:t>
      </w:r>
      <w:r w:rsidR="00E80354" w:rsidRPr="001B7D5F">
        <w:t>S</w:t>
      </w:r>
      <w:r w:rsidR="002A5CF1" w:rsidRPr="001B7D5F">
        <w:t>ervices</w:t>
      </w:r>
      <w:r w:rsidRPr="001B7D5F">
        <w:t xml:space="preserve">.  </w:t>
      </w:r>
    </w:p>
    <w:p w14:paraId="125D9492" w14:textId="0C02E0D6" w:rsidR="00F355E4" w:rsidRPr="001B7D5F" w:rsidRDefault="631AED5A" w:rsidP="00A70546">
      <w:pPr>
        <w:pStyle w:val="Heading3"/>
        <w:numPr>
          <w:ilvl w:val="1"/>
          <w:numId w:val="19"/>
        </w:numPr>
        <w:ind w:left="567" w:hanging="567"/>
      </w:pPr>
      <w:bookmarkStart w:id="84" w:name="_Toc126920713"/>
      <w:bookmarkStart w:id="85" w:name="_Toc1251767809"/>
      <w:bookmarkStart w:id="86" w:name="_Toc1313274137"/>
      <w:r w:rsidRPr="001B7D5F">
        <w:t>The Australian Digital Health Agency</w:t>
      </w:r>
      <w:bookmarkEnd w:id="84"/>
      <w:r w:rsidRPr="001B7D5F">
        <w:t xml:space="preserve"> </w:t>
      </w:r>
      <w:bookmarkEnd w:id="85"/>
      <w:bookmarkEnd w:id="86"/>
    </w:p>
    <w:p w14:paraId="257ACB1E" w14:textId="0A9AC620" w:rsidR="003367C5" w:rsidRPr="00D74FEC" w:rsidRDefault="003367C5" w:rsidP="00D74FEC">
      <w:pPr>
        <w:pStyle w:val="BodyText"/>
        <w:numPr>
          <w:ilvl w:val="2"/>
          <w:numId w:val="19"/>
        </w:numPr>
        <w:ind w:left="567" w:hanging="567"/>
        <w:rPr>
          <w:szCs w:val="22"/>
        </w:rPr>
      </w:pPr>
      <w:r w:rsidRPr="00D74FEC">
        <w:rPr>
          <w:szCs w:val="22"/>
        </w:rPr>
        <w:t xml:space="preserve">The Agency </w:t>
      </w:r>
      <w:r w:rsidR="00176C4F" w:rsidRPr="00D74FEC">
        <w:rPr>
          <w:szCs w:val="22"/>
        </w:rPr>
        <w:t>i</w:t>
      </w:r>
      <w:r w:rsidRPr="00D74FEC">
        <w:rPr>
          <w:szCs w:val="22"/>
        </w:rPr>
        <w:t xml:space="preserve">s </w:t>
      </w:r>
      <w:r w:rsidR="00176C4F" w:rsidRPr="00D74FEC">
        <w:rPr>
          <w:szCs w:val="22"/>
        </w:rPr>
        <w:t>responsible for</w:t>
      </w:r>
      <w:r w:rsidRPr="00D74FEC">
        <w:rPr>
          <w:szCs w:val="22"/>
        </w:rPr>
        <w:t>:</w:t>
      </w:r>
    </w:p>
    <w:p w14:paraId="72CEFB0A" w14:textId="5F1917BF" w:rsidR="003367C5" w:rsidRPr="001B7D5F" w:rsidRDefault="003367C5" w:rsidP="00A70546">
      <w:pPr>
        <w:pStyle w:val="BodyText"/>
        <w:numPr>
          <w:ilvl w:val="0"/>
          <w:numId w:val="41"/>
        </w:numPr>
      </w:pPr>
      <w:r w:rsidRPr="001B7D5F">
        <w:t>Co-ordinat</w:t>
      </w:r>
      <w:r w:rsidR="00176C4F" w:rsidRPr="001B7D5F">
        <w:t>ing</w:t>
      </w:r>
      <w:r w:rsidRPr="001B7D5F">
        <w:t xml:space="preserve"> the </w:t>
      </w:r>
      <w:r w:rsidR="00B72CBA" w:rsidRPr="001B7D5F">
        <w:t xml:space="preserve">development and implementation of </w:t>
      </w:r>
      <w:r w:rsidR="00A96A77" w:rsidRPr="001B7D5F">
        <w:t>activities to build and evolve</w:t>
      </w:r>
      <w:r w:rsidRPr="001B7D5F">
        <w:t xml:space="preserve"> </w:t>
      </w:r>
      <w:bookmarkStart w:id="87" w:name="_Hlk122014806"/>
      <w:r w:rsidRPr="001B7D5F">
        <w:t>national digital health capability</w:t>
      </w:r>
      <w:bookmarkEnd w:id="87"/>
      <w:r w:rsidRPr="001B7D5F">
        <w:t xml:space="preserve">. </w:t>
      </w:r>
    </w:p>
    <w:p w14:paraId="5C5B7021" w14:textId="51CB1E95" w:rsidR="008A3263" w:rsidRPr="001B7D5F" w:rsidRDefault="008A3263" w:rsidP="00A70546">
      <w:pPr>
        <w:pStyle w:val="BodyText"/>
        <w:numPr>
          <w:ilvl w:val="0"/>
          <w:numId w:val="41"/>
        </w:numPr>
      </w:pPr>
      <w:r w:rsidRPr="001B7D5F">
        <w:t>Through the Oversight Committee, contributing to future planning of services to assist with the reuse of existing Foundation and National Services.</w:t>
      </w:r>
    </w:p>
    <w:p w14:paraId="6893D75C" w14:textId="786116F6" w:rsidR="002A6264" w:rsidRPr="001B7D5F" w:rsidRDefault="482E42F8" w:rsidP="00A70546">
      <w:pPr>
        <w:pStyle w:val="BodyText"/>
        <w:numPr>
          <w:ilvl w:val="0"/>
          <w:numId w:val="41"/>
        </w:numPr>
      </w:pPr>
      <w:r w:rsidRPr="001B7D5F">
        <w:t>W</w:t>
      </w:r>
      <w:r w:rsidR="002A6264" w:rsidRPr="001B7D5F">
        <w:t>ork</w:t>
      </w:r>
      <w:r w:rsidR="6AAD1477" w:rsidRPr="001B7D5F">
        <w:t>ing</w:t>
      </w:r>
      <w:r w:rsidR="002A6264" w:rsidRPr="001B7D5F">
        <w:t xml:space="preserve"> with all Parties to draft and implement the National Digital Health Strategy (as revised or replaced from time to time) and support</w:t>
      </w:r>
      <w:r w:rsidR="69085A71" w:rsidRPr="001B7D5F">
        <w:t>ing</w:t>
      </w:r>
      <w:r w:rsidR="002A6264" w:rsidRPr="001B7D5F">
        <w:t xml:space="preserve"> change and adoption efforts of the Parties and other healthcare providers, to deliver national digital health outcomes consistent with this Agreement and the National Digital Health Strategy.</w:t>
      </w:r>
    </w:p>
    <w:p w14:paraId="098190DE" w14:textId="0777104C" w:rsidR="003367C5" w:rsidRPr="001B7D5F" w:rsidRDefault="003367C5" w:rsidP="00A70546">
      <w:pPr>
        <w:pStyle w:val="BodyText"/>
        <w:numPr>
          <w:ilvl w:val="0"/>
          <w:numId w:val="41"/>
        </w:numPr>
      </w:pPr>
      <w:r w:rsidRPr="001B7D5F">
        <w:t>Provid</w:t>
      </w:r>
      <w:r w:rsidR="00176C4F" w:rsidRPr="001B7D5F">
        <w:t>ing</w:t>
      </w:r>
      <w:r w:rsidRPr="001B7D5F">
        <w:t xml:space="preserve"> leadership, </w:t>
      </w:r>
      <w:r w:rsidR="00E75250" w:rsidRPr="001B7D5F">
        <w:t>coordination</w:t>
      </w:r>
      <w:r w:rsidRPr="001B7D5F">
        <w:t xml:space="preserve"> and delivery of a collaborative and innovative approach with other </w:t>
      </w:r>
      <w:r w:rsidR="005B7EC2" w:rsidRPr="001B7D5F">
        <w:t>D</w:t>
      </w:r>
      <w:r w:rsidRPr="001B7D5F">
        <w:t xml:space="preserve">elivery </w:t>
      </w:r>
      <w:r w:rsidR="005B7EC2" w:rsidRPr="001B7D5F">
        <w:t>P</w:t>
      </w:r>
      <w:r w:rsidRPr="001B7D5F">
        <w:t xml:space="preserve">artners to support and enhance a clinically safe and connected national health system to improve health service delivery and health outcomes for the Australian community.  </w:t>
      </w:r>
    </w:p>
    <w:p w14:paraId="06D0ACD0" w14:textId="086B041A" w:rsidR="009C28FD" w:rsidRPr="001B7D5F" w:rsidRDefault="00C373EE" w:rsidP="00A70546">
      <w:pPr>
        <w:pStyle w:val="BodyText"/>
        <w:numPr>
          <w:ilvl w:val="0"/>
          <w:numId w:val="41"/>
        </w:numPr>
      </w:pPr>
      <w:r w:rsidRPr="001B7D5F">
        <w:t>Reporting</w:t>
      </w:r>
      <w:r w:rsidR="004B3C4C" w:rsidRPr="001B7D5F">
        <w:t xml:space="preserve"> to the Oversight Committee</w:t>
      </w:r>
      <w:r w:rsidRPr="001B7D5F">
        <w:t xml:space="preserve"> on the delivery of activities funded under this Agreement w</w:t>
      </w:r>
      <w:r w:rsidR="00FE2D07" w:rsidRPr="001B7D5F">
        <w:t>here the</w:t>
      </w:r>
      <w:r w:rsidR="005107A4" w:rsidRPr="001B7D5F">
        <w:t xml:space="preserve"> </w:t>
      </w:r>
      <w:r w:rsidR="00FE2D07" w:rsidRPr="001B7D5F">
        <w:t xml:space="preserve">Agency has received funding through the </w:t>
      </w:r>
      <w:r w:rsidR="00727C1C" w:rsidRPr="001B7D5F">
        <w:t>Agreement</w:t>
      </w:r>
      <w:r w:rsidR="00A90E80" w:rsidRPr="001B7D5F">
        <w:t>.</w:t>
      </w:r>
    </w:p>
    <w:p w14:paraId="6885FE27" w14:textId="14A618C8" w:rsidR="00861EE9" w:rsidRPr="00861EE9" w:rsidRDefault="00F45677" w:rsidP="00A70546">
      <w:pPr>
        <w:pStyle w:val="Heading3"/>
        <w:numPr>
          <w:ilvl w:val="1"/>
          <w:numId w:val="19"/>
        </w:numPr>
        <w:ind w:left="567" w:hanging="567"/>
      </w:pPr>
      <w:bookmarkStart w:id="88" w:name="_Toc126920715"/>
      <w:bookmarkStart w:id="89" w:name="_Toc1236531954"/>
      <w:bookmarkStart w:id="90" w:name="_Toc242838981"/>
      <w:bookmarkStart w:id="91" w:name="_Toc126920714"/>
      <w:bookmarkStart w:id="92" w:name="_Toc657976104"/>
      <w:bookmarkStart w:id="93" w:name="_Toc1120853481"/>
      <w:r w:rsidRPr="001B7D5F">
        <w:t>Services Australia</w:t>
      </w:r>
      <w:bookmarkEnd w:id="88"/>
      <w:bookmarkEnd w:id="89"/>
      <w:bookmarkEnd w:id="90"/>
    </w:p>
    <w:p w14:paraId="65B45F18" w14:textId="6996B093" w:rsidR="00F45677" w:rsidRPr="00D74FEC" w:rsidRDefault="00F45677" w:rsidP="00D74FEC">
      <w:pPr>
        <w:pStyle w:val="BodyText"/>
        <w:numPr>
          <w:ilvl w:val="2"/>
          <w:numId w:val="19"/>
        </w:numPr>
        <w:ind w:left="567" w:hanging="567"/>
        <w:rPr>
          <w:szCs w:val="22"/>
        </w:rPr>
      </w:pPr>
      <w:r w:rsidRPr="00D74FEC">
        <w:rPr>
          <w:szCs w:val="22"/>
        </w:rPr>
        <w:t>Services Australia is responsible for:</w:t>
      </w:r>
    </w:p>
    <w:p w14:paraId="53B0F6AE" w14:textId="77777777" w:rsidR="00F45677" w:rsidRPr="001B7D5F" w:rsidRDefault="00F45677" w:rsidP="00A70546">
      <w:pPr>
        <w:pStyle w:val="BodyText"/>
        <w:numPr>
          <w:ilvl w:val="0"/>
          <w:numId w:val="43"/>
        </w:numPr>
      </w:pPr>
      <w:r w:rsidRPr="001B7D5F">
        <w:t>Delivering Foundation Services, managed through the Agency, which enable the strategic objectives of this Agreement to be realised, including the availability of a common identifier system to improve the ability for healthcare information to be shared and discoverable.</w:t>
      </w:r>
    </w:p>
    <w:p w14:paraId="46F45EAE" w14:textId="77777777" w:rsidR="00F45677" w:rsidRPr="001B7D5F" w:rsidRDefault="00F45677" w:rsidP="00A70546">
      <w:pPr>
        <w:pStyle w:val="BodyText"/>
        <w:numPr>
          <w:ilvl w:val="0"/>
          <w:numId w:val="43"/>
        </w:numPr>
      </w:pPr>
      <w:r w:rsidRPr="001B7D5F">
        <w:t>Through the Oversight Committee, contributing to future planning of services to assist with the reuse of existing Foundation and National Services.</w:t>
      </w:r>
    </w:p>
    <w:p w14:paraId="27E12183" w14:textId="77777777" w:rsidR="00F45677" w:rsidRPr="001B7D5F" w:rsidRDefault="00F45677" w:rsidP="00A70546">
      <w:pPr>
        <w:pStyle w:val="BodyText"/>
        <w:numPr>
          <w:ilvl w:val="0"/>
          <w:numId w:val="43"/>
        </w:numPr>
      </w:pPr>
      <w:r w:rsidRPr="001B7D5F">
        <w:t xml:space="preserve">Should Services Australia receive funding directly through the Agreement, Services Australia will be requested to report progress to the Oversight Committee against agreed outcomes/measures for services and projects funded through the Agreement. </w:t>
      </w:r>
    </w:p>
    <w:p w14:paraId="45CB2FA0" w14:textId="0D35F76E" w:rsidR="00F355E4" w:rsidRPr="001B7D5F" w:rsidRDefault="631AED5A" w:rsidP="00A70546">
      <w:pPr>
        <w:pStyle w:val="Heading3"/>
        <w:numPr>
          <w:ilvl w:val="1"/>
          <w:numId w:val="19"/>
        </w:numPr>
        <w:ind w:left="567" w:hanging="567"/>
      </w:pPr>
      <w:r w:rsidRPr="001B7D5F">
        <w:t>Healthdirect Australia</w:t>
      </w:r>
      <w:bookmarkEnd w:id="91"/>
      <w:bookmarkEnd w:id="92"/>
      <w:bookmarkEnd w:id="93"/>
    </w:p>
    <w:p w14:paraId="4A9F4D38" w14:textId="3C3BB128" w:rsidR="003367C5" w:rsidRPr="00D74FEC" w:rsidRDefault="00C657D6" w:rsidP="00D74FEC">
      <w:pPr>
        <w:pStyle w:val="BodyText"/>
        <w:numPr>
          <w:ilvl w:val="2"/>
          <w:numId w:val="19"/>
        </w:numPr>
        <w:ind w:left="567" w:hanging="567"/>
        <w:rPr>
          <w:szCs w:val="22"/>
        </w:rPr>
      </w:pPr>
      <w:r w:rsidRPr="00D74FEC">
        <w:rPr>
          <w:szCs w:val="22"/>
        </w:rPr>
        <w:t xml:space="preserve">The Parties recognise </w:t>
      </w:r>
      <w:r w:rsidR="003367C5" w:rsidRPr="00D74FEC">
        <w:rPr>
          <w:szCs w:val="22"/>
        </w:rPr>
        <w:t xml:space="preserve">Healthdirect Australia </w:t>
      </w:r>
      <w:r w:rsidRPr="00D74FEC">
        <w:rPr>
          <w:szCs w:val="22"/>
        </w:rPr>
        <w:t>as</w:t>
      </w:r>
      <w:r w:rsidR="003367C5" w:rsidRPr="00D74FEC">
        <w:rPr>
          <w:szCs w:val="22"/>
        </w:rPr>
        <w:t>:</w:t>
      </w:r>
    </w:p>
    <w:p w14:paraId="5C623C80" w14:textId="5737B8C6" w:rsidR="003367C5" w:rsidRPr="001B7D5F" w:rsidRDefault="003367C5" w:rsidP="00A70546">
      <w:pPr>
        <w:pStyle w:val="BodyText"/>
        <w:numPr>
          <w:ilvl w:val="0"/>
          <w:numId w:val="42"/>
        </w:numPr>
      </w:pPr>
      <w:r w:rsidRPr="001B7D5F">
        <w:t>Deliver</w:t>
      </w:r>
      <w:r w:rsidR="00176C4F" w:rsidRPr="001B7D5F">
        <w:t>ing</w:t>
      </w:r>
      <w:r w:rsidRPr="001B7D5F">
        <w:t xml:space="preserve"> digital health services to the public and healthcare providers, </w:t>
      </w:r>
      <w:r w:rsidR="00176C4F" w:rsidRPr="001B7D5F">
        <w:t xml:space="preserve">and in relation to this Agreement, </w:t>
      </w:r>
      <w:r w:rsidR="00B14E77" w:rsidRPr="001B7D5F">
        <w:t xml:space="preserve">the </w:t>
      </w:r>
      <w:r w:rsidR="00E75250" w:rsidRPr="001B7D5F">
        <w:t>Parties</w:t>
      </w:r>
      <w:r w:rsidR="00B14E77" w:rsidRPr="001B7D5F">
        <w:t xml:space="preserve"> agree that </w:t>
      </w:r>
      <w:r w:rsidRPr="001B7D5F">
        <w:t>the National Health Services Directory</w:t>
      </w:r>
      <w:r w:rsidR="00B14E77" w:rsidRPr="001B7D5F">
        <w:t xml:space="preserve"> plays a critical role in national digital health and should be recognised as national digital health infrastructure.</w:t>
      </w:r>
    </w:p>
    <w:p w14:paraId="3FB7EE90" w14:textId="70C8A9D3" w:rsidR="003367C5" w:rsidRPr="001B7D5F" w:rsidRDefault="003367C5" w:rsidP="00A70546">
      <w:pPr>
        <w:pStyle w:val="BodyText"/>
        <w:numPr>
          <w:ilvl w:val="0"/>
          <w:numId w:val="42"/>
        </w:numPr>
      </w:pPr>
      <w:r w:rsidRPr="001B7D5F">
        <w:lastRenderedPageBreak/>
        <w:t>Through the Oversight Committee, contribut</w:t>
      </w:r>
      <w:r w:rsidR="00176C4F" w:rsidRPr="001B7D5F">
        <w:t>ing</w:t>
      </w:r>
      <w:r w:rsidRPr="001B7D5F">
        <w:t xml:space="preserve"> to future planning of services to assist with the reuse of existing </w:t>
      </w:r>
      <w:r w:rsidR="00BF5DCD" w:rsidRPr="001B7D5F">
        <w:t>F</w:t>
      </w:r>
      <w:r w:rsidR="002A5CF1" w:rsidRPr="001B7D5F">
        <w:t>oundation</w:t>
      </w:r>
      <w:r w:rsidRPr="001B7D5F">
        <w:t xml:space="preserve"> and </w:t>
      </w:r>
      <w:r w:rsidR="00BF5DCD" w:rsidRPr="001B7D5F">
        <w:t>N</w:t>
      </w:r>
      <w:r w:rsidR="002A5CF1" w:rsidRPr="001B7D5F">
        <w:t xml:space="preserve">ational </w:t>
      </w:r>
      <w:r w:rsidR="00BF5DCD" w:rsidRPr="001B7D5F">
        <w:t>S</w:t>
      </w:r>
      <w:r w:rsidRPr="001B7D5F">
        <w:t>ervices.</w:t>
      </w:r>
    </w:p>
    <w:p w14:paraId="3821D655" w14:textId="406306D5" w:rsidR="00D1312A" w:rsidRPr="00FE6209" w:rsidRDefault="00E675F1" w:rsidP="00A70546">
      <w:pPr>
        <w:pStyle w:val="BodyText"/>
        <w:numPr>
          <w:ilvl w:val="0"/>
          <w:numId w:val="42"/>
        </w:numPr>
      </w:pPr>
      <w:r w:rsidRPr="001B7D5F">
        <w:t xml:space="preserve">A potential future recipient of </w:t>
      </w:r>
      <w:r w:rsidR="00FE2D07" w:rsidRPr="001B7D5F">
        <w:t>funding through th</w:t>
      </w:r>
      <w:r w:rsidRPr="001B7D5F">
        <w:t>is</w:t>
      </w:r>
      <w:r w:rsidR="00FE2D07" w:rsidRPr="001B7D5F">
        <w:t xml:space="preserve"> </w:t>
      </w:r>
      <w:r w:rsidR="00727C1C" w:rsidRPr="001B7D5F">
        <w:t>Agreement</w:t>
      </w:r>
      <w:r w:rsidRPr="001B7D5F">
        <w:t>.</w:t>
      </w:r>
      <w:r w:rsidR="00FE2D07" w:rsidRPr="001B7D5F">
        <w:t xml:space="preserve"> </w:t>
      </w:r>
      <w:r w:rsidRPr="001B7D5F">
        <w:t xml:space="preserve">Should funding be made available, </w:t>
      </w:r>
      <w:r w:rsidR="00FE2D07" w:rsidRPr="001B7D5F">
        <w:t xml:space="preserve">Healthdirect Australia will </w:t>
      </w:r>
      <w:r w:rsidR="00EB6180" w:rsidRPr="001B7D5F">
        <w:t xml:space="preserve">be </w:t>
      </w:r>
      <w:r w:rsidRPr="001B7D5F">
        <w:t>ex</w:t>
      </w:r>
      <w:r w:rsidR="009A0F1D" w:rsidRPr="001B7D5F">
        <w:t>p</w:t>
      </w:r>
      <w:r w:rsidRPr="001B7D5F">
        <w:t xml:space="preserve">ected </w:t>
      </w:r>
      <w:r w:rsidR="00EB6180" w:rsidRPr="001B7D5F">
        <w:t xml:space="preserve">to </w:t>
      </w:r>
      <w:r w:rsidR="00FE2D07" w:rsidRPr="001B7D5F">
        <w:t xml:space="preserve">report progress against agreed outcomes/measures for </w:t>
      </w:r>
      <w:r w:rsidR="002A5CF1" w:rsidRPr="001B7D5F">
        <w:t>services and projects</w:t>
      </w:r>
      <w:r w:rsidR="00727C1C" w:rsidRPr="001B7D5F">
        <w:t xml:space="preserve"> </w:t>
      </w:r>
      <w:r w:rsidR="002A5CF1" w:rsidRPr="001B7D5F">
        <w:t xml:space="preserve">funded through this Agreement </w:t>
      </w:r>
      <w:r w:rsidR="00EB6180" w:rsidRPr="001B7D5F">
        <w:t>via the Fund Provider Committee</w:t>
      </w:r>
      <w:r w:rsidR="002A5CF1" w:rsidRPr="001B7D5F">
        <w:t xml:space="preserve"> for the National Health Services Directory</w:t>
      </w:r>
      <w:r w:rsidR="00EB6180" w:rsidRPr="001B7D5F">
        <w:t xml:space="preserve">. </w:t>
      </w:r>
      <w:r w:rsidR="00DC0957" w:rsidRPr="001B7D5F">
        <w:t>Arrangements for communications and funding to Healthdirect Australia will be set out in new clauses in this Agreement and</w:t>
      </w:r>
      <w:r w:rsidRPr="001B7D5F">
        <w:t>/or</w:t>
      </w:r>
      <w:r w:rsidR="00DC0957" w:rsidRPr="001B7D5F">
        <w:t xml:space="preserve"> its Schedules as</w:t>
      </w:r>
      <w:r w:rsidRPr="001B7D5F">
        <w:t xml:space="preserve"> appropriate</w:t>
      </w:r>
      <w:r w:rsidR="00DC0957" w:rsidRPr="001B7D5F">
        <w:t>.</w:t>
      </w:r>
    </w:p>
    <w:p w14:paraId="1B03788B" w14:textId="1D50999D" w:rsidR="004B1C90" w:rsidRPr="001B7D5F" w:rsidRDefault="09D291F4" w:rsidP="00FE6209">
      <w:pPr>
        <w:pStyle w:val="Heading2"/>
        <w:pageBreakBefore/>
        <w:spacing w:after="0"/>
      </w:pPr>
      <w:bookmarkStart w:id="94" w:name="_Toc2053345875"/>
      <w:bookmarkStart w:id="95" w:name="_Toc1367330269"/>
      <w:r w:rsidRPr="001B7D5F">
        <w:lastRenderedPageBreak/>
        <w:t>Signatures</w:t>
      </w:r>
      <w:bookmarkEnd w:id="94"/>
      <w:bookmarkEnd w:id="95"/>
    </w:p>
    <w:p w14:paraId="5CCD60BE" w14:textId="36788557" w:rsidR="00794A6F" w:rsidRPr="001B7D5F" w:rsidRDefault="004B1C90" w:rsidP="00A70546">
      <w:pPr>
        <w:pStyle w:val="BodyText"/>
      </w:pPr>
      <w:r w:rsidRPr="001B7D5F">
        <w:t xml:space="preserve">The </w:t>
      </w:r>
      <w:r w:rsidR="00E75250" w:rsidRPr="001B7D5F">
        <w:t>Parties</w:t>
      </w:r>
      <w:r w:rsidRPr="001B7D5F">
        <w:t xml:space="preserve"> have confirmed their commitment to this Agreement as follows:</w:t>
      </w:r>
    </w:p>
    <w:tbl>
      <w:tblPr>
        <w:tblStyle w:val="TableGrid"/>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77"/>
        <w:gridCol w:w="284"/>
        <w:gridCol w:w="4536"/>
      </w:tblGrid>
      <w:tr w:rsidR="0087658A" w:rsidRPr="001B7D5F" w14:paraId="121214B2" w14:textId="77777777" w:rsidTr="00BD1E43">
        <w:tc>
          <w:tcPr>
            <w:tcW w:w="4677" w:type="dxa"/>
          </w:tcPr>
          <w:p w14:paraId="4E47803A" w14:textId="77777777" w:rsidR="0087658A" w:rsidRPr="001B7D5F" w:rsidRDefault="0087658A" w:rsidP="00A70546">
            <w:pPr>
              <w:pStyle w:val="Signed"/>
              <w:jc w:val="left"/>
              <w:rPr>
                <w:rFonts w:ascii="Calibri" w:hAnsi="Calibri"/>
                <w:b/>
                <w:color w:val="auto"/>
              </w:rPr>
            </w:pPr>
            <w:r w:rsidRPr="001B7D5F">
              <w:rPr>
                <w:rStyle w:val="SignedBold"/>
                <w:rFonts w:ascii="Calibri" w:hAnsi="Calibri"/>
                <w:color w:val="auto"/>
              </w:rPr>
              <w:t>Signed</w:t>
            </w:r>
            <w:r w:rsidRPr="001B7D5F">
              <w:rPr>
                <w:rFonts w:ascii="Calibri" w:hAnsi="Calibri"/>
                <w:b/>
                <w:color w:val="auto"/>
              </w:rPr>
              <w:t xml:space="preserve"> for and on behalf of the Commonwealth of Australia by</w:t>
            </w:r>
          </w:p>
          <w:p w14:paraId="280F14F4" w14:textId="77777777" w:rsidR="0087658A" w:rsidRPr="001B7D5F" w:rsidRDefault="0087658A" w:rsidP="00A70546">
            <w:pPr>
              <w:pStyle w:val="LineForSignature"/>
              <w:jc w:val="left"/>
              <w:rPr>
                <w:rFonts w:ascii="Calibri" w:hAnsi="Calibri"/>
                <w:b/>
                <w:color w:val="auto"/>
              </w:rPr>
            </w:pPr>
            <w:r w:rsidRPr="001B7D5F">
              <w:rPr>
                <w:rFonts w:ascii="Calibri" w:hAnsi="Calibri"/>
                <w:b/>
                <w:color w:val="auto"/>
              </w:rPr>
              <w:tab/>
            </w:r>
          </w:p>
          <w:p w14:paraId="65A38CFC" w14:textId="06A4B1B1" w:rsidR="0087658A" w:rsidRPr="001B7D5F" w:rsidRDefault="0087658A" w:rsidP="00A70546">
            <w:pPr>
              <w:pStyle w:val="SingleParagraph"/>
              <w:jc w:val="left"/>
              <w:rPr>
                <w:rStyle w:val="Bold"/>
                <w:rFonts w:ascii="Calibri" w:hAnsi="Calibri"/>
                <w:color w:val="auto"/>
                <w:lang w:val="en-GB"/>
              </w:rPr>
            </w:pPr>
            <w:r w:rsidRPr="001B7D5F">
              <w:rPr>
                <w:rStyle w:val="Bold"/>
                <w:rFonts w:ascii="Calibri" w:hAnsi="Calibri"/>
                <w:color w:val="auto"/>
              </w:rPr>
              <w:t>The Honourable Mark Butle</w:t>
            </w:r>
            <w:r w:rsidR="005342B6" w:rsidRPr="001B7D5F">
              <w:rPr>
                <w:rStyle w:val="Bold"/>
                <w:rFonts w:ascii="Calibri" w:hAnsi="Calibri"/>
                <w:color w:val="auto"/>
              </w:rPr>
              <w:t>r</w:t>
            </w:r>
            <w:r w:rsidRPr="001B7D5F">
              <w:rPr>
                <w:rStyle w:val="Bold"/>
                <w:rFonts w:ascii="Calibri" w:hAnsi="Calibri"/>
                <w:color w:val="auto"/>
              </w:rPr>
              <w:t xml:space="preserve"> MP</w:t>
            </w:r>
          </w:p>
          <w:p w14:paraId="4F10D13D" w14:textId="77777777" w:rsidR="00290AC5" w:rsidRPr="00290AC5" w:rsidRDefault="0087658A" w:rsidP="00A70546">
            <w:pPr>
              <w:pStyle w:val="Position"/>
              <w:spacing w:line="240" w:lineRule="auto"/>
              <w:jc w:val="left"/>
              <w:rPr>
                <w:rFonts w:ascii="Calibri" w:hAnsi="Calibri"/>
                <w:b/>
                <w:color w:val="auto"/>
                <w:lang w:val="en-GB"/>
              </w:rPr>
            </w:pPr>
            <w:r w:rsidRPr="001B7D5F">
              <w:rPr>
                <w:rFonts w:ascii="Calibri" w:hAnsi="Calibri"/>
                <w:b/>
                <w:color w:val="auto"/>
                <w:lang w:val="en-GB"/>
              </w:rPr>
              <w:t>Minister for Health of the Commonwealth of Australia</w:t>
            </w:r>
          </w:p>
          <w:p w14:paraId="02FB7553" w14:textId="77777777" w:rsidR="0087658A" w:rsidRPr="001B7D5F" w:rsidRDefault="0087658A" w:rsidP="00A70546">
            <w:pPr>
              <w:pStyle w:val="SingleParagraph"/>
              <w:tabs>
                <w:tab w:val="num" w:pos="1134"/>
              </w:tabs>
              <w:spacing w:after="240"/>
              <w:ind w:left="1134" w:hanging="567"/>
              <w:jc w:val="left"/>
              <w:rPr>
                <w:rFonts w:ascii="Calibri" w:hAnsi="Calibri"/>
                <w:b/>
                <w:color w:val="auto"/>
                <w:lang w:val="en-GB"/>
              </w:rPr>
            </w:pPr>
            <w:r w:rsidRPr="001B7D5F">
              <w:rPr>
                <w:rFonts w:ascii="Calibri" w:hAnsi="Calibri"/>
                <w:b/>
                <w:color w:val="auto"/>
                <w:lang w:val="en-GB"/>
              </w:rPr>
              <w:t>Date</w:t>
            </w:r>
          </w:p>
        </w:tc>
        <w:tc>
          <w:tcPr>
            <w:tcW w:w="284" w:type="dxa"/>
          </w:tcPr>
          <w:p w14:paraId="03D0B15F" w14:textId="77777777" w:rsidR="0087658A" w:rsidRPr="001B7D5F" w:rsidRDefault="0087658A" w:rsidP="00A70546">
            <w:pPr>
              <w:rPr>
                <w:rFonts w:ascii="Calibri" w:hAnsi="Calibri"/>
                <w:b/>
                <w:color w:val="auto"/>
                <w:lang w:val="en-GB"/>
              </w:rPr>
            </w:pPr>
          </w:p>
        </w:tc>
        <w:tc>
          <w:tcPr>
            <w:tcW w:w="4536" w:type="dxa"/>
          </w:tcPr>
          <w:p w14:paraId="7831302D" w14:textId="77777777" w:rsidR="0087658A" w:rsidRPr="001B7D5F" w:rsidRDefault="0087658A" w:rsidP="00A70546">
            <w:pPr>
              <w:rPr>
                <w:rFonts w:ascii="Calibri" w:hAnsi="Calibri"/>
                <w:b/>
                <w:color w:val="auto"/>
                <w:lang w:val="en-GB"/>
              </w:rPr>
            </w:pPr>
          </w:p>
        </w:tc>
      </w:tr>
      <w:tr w:rsidR="0087658A" w:rsidRPr="001B7D5F" w14:paraId="47CCB3EA" w14:textId="77777777" w:rsidTr="00BD1E43">
        <w:tc>
          <w:tcPr>
            <w:tcW w:w="4677" w:type="dxa"/>
          </w:tcPr>
          <w:p w14:paraId="5AB099A6" w14:textId="77777777" w:rsidR="0087658A" w:rsidRPr="001B7D5F" w:rsidRDefault="0087658A" w:rsidP="00A70546">
            <w:pPr>
              <w:pStyle w:val="SingleParagraph"/>
              <w:jc w:val="left"/>
              <w:rPr>
                <w:rFonts w:ascii="Calibri" w:hAnsi="Calibri"/>
                <w:b/>
                <w:color w:val="auto"/>
                <w:lang w:val="en-GB"/>
              </w:rPr>
            </w:pPr>
          </w:p>
        </w:tc>
        <w:tc>
          <w:tcPr>
            <w:tcW w:w="284" w:type="dxa"/>
          </w:tcPr>
          <w:p w14:paraId="44035CDB" w14:textId="77777777" w:rsidR="0087658A" w:rsidRPr="001B7D5F" w:rsidRDefault="0087658A" w:rsidP="00A70546">
            <w:pPr>
              <w:pStyle w:val="SingleParagraph"/>
              <w:jc w:val="left"/>
              <w:rPr>
                <w:rFonts w:ascii="Calibri" w:hAnsi="Calibri"/>
                <w:b/>
                <w:color w:val="auto"/>
                <w:lang w:val="en-GB"/>
              </w:rPr>
            </w:pPr>
          </w:p>
        </w:tc>
        <w:tc>
          <w:tcPr>
            <w:tcW w:w="4536" w:type="dxa"/>
          </w:tcPr>
          <w:p w14:paraId="500E1872" w14:textId="77777777" w:rsidR="0087658A" w:rsidRPr="001B7D5F" w:rsidRDefault="0087658A" w:rsidP="00A70546">
            <w:pPr>
              <w:pStyle w:val="SingleParagraph"/>
              <w:jc w:val="left"/>
              <w:rPr>
                <w:rFonts w:ascii="Calibri" w:hAnsi="Calibri"/>
                <w:b/>
                <w:color w:val="auto"/>
                <w:lang w:val="en-GB"/>
              </w:rPr>
            </w:pPr>
          </w:p>
        </w:tc>
      </w:tr>
      <w:tr w:rsidR="0087658A" w:rsidRPr="001B7D5F" w14:paraId="35501966" w14:textId="77777777" w:rsidTr="00BD1E43">
        <w:tc>
          <w:tcPr>
            <w:tcW w:w="4677" w:type="dxa"/>
          </w:tcPr>
          <w:p w14:paraId="131F046F" w14:textId="77777777" w:rsidR="0087658A" w:rsidRPr="001B7D5F" w:rsidRDefault="0087658A" w:rsidP="00A70546">
            <w:pPr>
              <w:pStyle w:val="Signed"/>
              <w:jc w:val="left"/>
              <w:rPr>
                <w:rFonts w:ascii="Calibri" w:hAnsi="Calibri"/>
                <w:b/>
                <w:color w:val="auto"/>
              </w:rPr>
            </w:pPr>
            <w:r w:rsidRPr="001B7D5F">
              <w:rPr>
                <w:rStyle w:val="SignedBold"/>
                <w:rFonts w:ascii="Calibri" w:hAnsi="Calibri"/>
                <w:color w:val="auto"/>
              </w:rPr>
              <w:t>Signed</w:t>
            </w:r>
            <w:r w:rsidRPr="001B7D5F">
              <w:rPr>
                <w:rFonts w:ascii="Calibri" w:hAnsi="Calibri"/>
                <w:b/>
                <w:color w:val="auto"/>
              </w:rPr>
              <w:t xml:space="preserve"> for and on behalf of the </w:t>
            </w:r>
            <w:r w:rsidRPr="001B7D5F">
              <w:rPr>
                <w:rFonts w:ascii="Calibri" w:hAnsi="Calibri"/>
                <w:b/>
                <w:color w:val="auto"/>
              </w:rPr>
              <w:br/>
              <w:t>State of New South Wales by</w:t>
            </w:r>
          </w:p>
          <w:p w14:paraId="27F9C36F" w14:textId="77777777" w:rsidR="0087658A" w:rsidRPr="001B7D5F" w:rsidRDefault="0087658A" w:rsidP="00A70546">
            <w:pPr>
              <w:pStyle w:val="LineForSignature"/>
              <w:jc w:val="left"/>
              <w:rPr>
                <w:rFonts w:ascii="Calibri" w:hAnsi="Calibri"/>
                <w:b/>
                <w:color w:val="auto"/>
              </w:rPr>
            </w:pPr>
            <w:r w:rsidRPr="001B7D5F">
              <w:rPr>
                <w:rFonts w:ascii="Calibri" w:hAnsi="Calibri"/>
                <w:b/>
                <w:color w:val="auto"/>
              </w:rPr>
              <w:tab/>
            </w:r>
          </w:p>
          <w:p w14:paraId="33CB3A23" w14:textId="703942D7" w:rsidR="0087658A" w:rsidRPr="001B7D5F" w:rsidRDefault="0087658A" w:rsidP="00A70546">
            <w:pPr>
              <w:pStyle w:val="SingleParagraph"/>
              <w:jc w:val="left"/>
              <w:rPr>
                <w:rStyle w:val="Bold"/>
                <w:rFonts w:ascii="Calibri" w:hAnsi="Calibri"/>
                <w:color w:val="auto"/>
                <w:lang w:val="en-GB"/>
              </w:rPr>
            </w:pPr>
            <w:r w:rsidRPr="001B7D5F">
              <w:rPr>
                <w:rStyle w:val="Bold"/>
                <w:rFonts w:ascii="Calibri" w:hAnsi="Calibri"/>
                <w:color w:val="auto"/>
              </w:rPr>
              <w:t xml:space="preserve">The Honourable </w:t>
            </w:r>
            <w:r w:rsidR="00156852">
              <w:rPr>
                <w:rStyle w:val="Bold"/>
                <w:rFonts w:ascii="Calibri" w:hAnsi="Calibri"/>
                <w:color w:val="auto"/>
              </w:rPr>
              <w:t>Ryan Park</w:t>
            </w:r>
            <w:r w:rsidRPr="001B7D5F">
              <w:rPr>
                <w:rStyle w:val="Bold"/>
                <w:rFonts w:ascii="Calibri" w:hAnsi="Calibri"/>
                <w:color w:val="auto"/>
              </w:rPr>
              <w:t xml:space="preserve"> MP</w:t>
            </w:r>
          </w:p>
          <w:p w14:paraId="16822F21" w14:textId="4EACD7A5" w:rsidR="0087658A" w:rsidRDefault="0087658A" w:rsidP="00A70546">
            <w:pPr>
              <w:pStyle w:val="Position"/>
              <w:spacing w:line="240" w:lineRule="auto"/>
              <w:jc w:val="left"/>
              <w:rPr>
                <w:rFonts w:ascii="Calibri" w:hAnsi="Calibri"/>
                <w:b/>
                <w:color w:val="auto"/>
                <w:lang w:val="en-GB"/>
              </w:rPr>
            </w:pPr>
            <w:r w:rsidRPr="001B7D5F">
              <w:rPr>
                <w:rFonts w:ascii="Calibri" w:hAnsi="Calibri"/>
                <w:b/>
                <w:color w:val="auto"/>
                <w:lang w:val="en-GB"/>
              </w:rPr>
              <w:t>Minister for Health of the State of New South Wales</w:t>
            </w:r>
          </w:p>
          <w:p w14:paraId="1B56B35F" w14:textId="77777777" w:rsidR="0087658A" w:rsidRPr="001B7D5F" w:rsidRDefault="0087658A" w:rsidP="00A70546">
            <w:pPr>
              <w:pStyle w:val="SingleParagraph"/>
              <w:tabs>
                <w:tab w:val="num" w:pos="1134"/>
              </w:tabs>
              <w:spacing w:after="240"/>
              <w:ind w:left="1134" w:hanging="567"/>
              <w:jc w:val="left"/>
              <w:rPr>
                <w:rFonts w:ascii="Calibri" w:hAnsi="Calibri"/>
                <w:b/>
                <w:color w:val="auto"/>
                <w:szCs w:val="22"/>
                <w:lang w:val="en-GB"/>
              </w:rPr>
            </w:pPr>
            <w:r w:rsidRPr="001B7D5F">
              <w:rPr>
                <w:rFonts w:ascii="Calibri" w:hAnsi="Calibri"/>
                <w:b/>
                <w:color w:val="auto"/>
                <w:lang w:val="en-GB"/>
              </w:rPr>
              <w:t>Date</w:t>
            </w:r>
          </w:p>
        </w:tc>
        <w:tc>
          <w:tcPr>
            <w:tcW w:w="284" w:type="dxa"/>
          </w:tcPr>
          <w:p w14:paraId="682C07B2" w14:textId="77777777" w:rsidR="0087658A" w:rsidRPr="001B7D5F" w:rsidRDefault="0087658A" w:rsidP="00A70546">
            <w:pPr>
              <w:rPr>
                <w:rFonts w:ascii="Calibri" w:hAnsi="Calibri"/>
                <w:b/>
                <w:color w:val="auto"/>
                <w:lang w:val="en-GB"/>
              </w:rPr>
            </w:pPr>
          </w:p>
        </w:tc>
        <w:tc>
          <w:tcPr>
            <w:tcW w:w="4536" w:type="dxa"/>
          </w:tcPr>
          <w:p w14:paraId="7C301CBD" w14:textId="77777777" w:rsidR="0087658A" w:rsidRPr="001B7D5F" w:rsidRDefault="0087658A" w:rsidP="00A70546">
            <w:pPr>
              <w:pStyle w:val="Signed"/>
              <w:jc w:val="left"/>
              <w:rPr>
                <w:rFonts w:ascii="Calibri" w:hAnsi="Calibri"/>
                <w:b/>
                <w:color w:val="auto"/>
              </w:rPr>
            </w:pPr>
            <w:r w:rsidRPr="001B7D5F">
              <w:rPr>
                <w:rStyle w:val="SignedBold"/>
                <w:rFonts w:ascii="Calibri" w:hAnsi="Calibri"/>
                <w:color w:val="auto"/>
              </w:rPr>
              <w:t>Signed</w:t>
            </w:r>
            <w:r w:rsidRPr="001B7D5F">
              <w:rPr>
                <w:rFonts w:ascii="Calibri" w:hAnsi="Calibri"/>
                <w:b/>
                <w:color w:val="auto"/>
              </w:rPr>
              <w:t xml:space="preserve"> for and on behalf of the</w:t>
            </w:r>
            <w:r w:rsidRPr="001B7D5F">
              <w:rPr>
                <w:rFonts w:ascii="Calibri" w:hAnsi="Calibri"/>
                <w:b/>
                <w:color w:val="auto"/>
              </w:rPr>
              <w:br/>
              <w:t>State of Victoria by</w:t>
            </w:r>
          </w:p>
          <w:p w14:paraId="5CCB8023" w14:textId="77777777" w:rsidR="0087658A" w:rsidRPr="001B7D5F" w:rsidRDefault="0087658A" w:rsidP="00A70546">
            <w:pPr>
              <w:pStyle w:val="LineForSignature"/>
              <w:jc w:val="left"/>
              <w:rPr>
                <w:rFonts w:ascii="Calibri" w:hAnsi="Calibri"/>
                <w:b/>
                <w:color w:val="auto"/>
              </w:rPr>
            </w:pPr>
            <w:r w:rsidRPr="001B7D5F">
              <w:rPr>
                <w:rFonts w:ascii="Calibri" w:hAnsi="Calibri"/>
                <w:b/>
                <w:color w:val="auto"/>
              </w:rPr>
              <w:tab/>
            </w:r>
          </w:p>
          <w:p w14:paraId="05FF93C3" w14:textId="2845813D" w:rsidR="0087658A" w:rsidRPr="001B7D5F" w:rsidRDefault="0087658A" w:rsidP="00A70546">
            <w:pPr>
              <w:pStyle w:val="SingleParagraph"/>
              <w:jc w:val="left"/>
              <w:rPr>
                <w:rStyle w:val="Bold"/>
                <w:rFonts w:ascii="Calibri" w:hAnsi="Calibri"/>
                <w:color w:val="auto"/>
                <w:lang w:val="en-GB"/>
              </w:rPr>
            </w:pPr>
            <w:r w:rsidRPr="001B7D5F">
              <w:rPr>
                <w:rStyle w:val="Bold"/>
                <w:rFonts w:ascii="Calibri" w:hAnsi="Calibri"/>
                <w:color w:val="auto"/>
              </w:rPr>
              <w:t>The Honourable Mary-Anne Thomas</w:t>
            </w:r>
            <w:r w:rsidRPr="001B7D5F">
              <w:rPr>
                <w:rFonts w:ascii="Calibri" w:hAnsi="Calibri"/>
                <w:b/>
                <w:color w:val="auto"/>
              </w:rPr>
              <w:t xml:space="preserve"> </w:t>
            </w:r>
            <w:r w:rsidRPr="001B7D5F">
              <w:rPr>
                <w:rStyle w:val="Bold"/>
                <w:rFonts w:ascii="Calibri" w:hAnsi="Calibri"/>
                <w:color w:val="auto"/>
              </w:rPr>
              <w:t>MP</w:t>
            </w:r>
          </w:p>
          <w:p w14:paraId="38D45989" w14:textId="211C6667" w:rsidR="0087658A" w:rsidRPr="001B7D5F" w:rsidRDefault="0087658A" w:rsidP="00A70546">
            <w:pPr>
              <w:pStyle w:val="Position"/>
              <w:spacing w:line="240" w:lineRule="auto"/>
              <w:jc w:val="left"/>
              <w:rPr>
                <w:rFonts w:ascii="Calibri" w:hAnsi="Calibri"/>
                <w:b/>
                <w:color w:val="auto"/>
                <w:lang w:val="en-GB"/>
              </w:rPr>
            </w:pPr>
            <w:r w:rsidRPr="001B7D5F">
              <w:rPr>
                <w:rFonts w:ascii="Calibri" w:hAnsi="Calibri"/>
                <w:b/>
                <w:color w:val="auto"/>
                <w:lang w:val="en-GB"/>
              </w:rPr>
              <w:t>Minister for Health of the State of Victoria</w:t>
            </w:r>
          </w:p>
          <w:p w14:paraId="457BB15D" w14:textId="1AA196FE" w:rsidR="0087658A" w:rsidRPr="001B7D5F" w:rsidRDefault="0087658A" w:rsidP="00A70546">
            <w:pPr>
              <w:pStyle w:val="SingleParagraph"/>
              <w:tabs>
                <w:tab w:val="num" w:pos="1134"/>
              </w:tabs>
              <w:spacing w:after="240"/>
              <w:ind w:left="1134" w:hanging="567"/>
              <w:jc w:val="left"/>
              <w:rPr>
                <w:rFonts w:ascii="Calibri" w:hAnsi="Calibri"/>
                <w:b/>
                <w:color w:val="auto"/>
                <w:lang w:val="en-GB"/>
              </w:rPr>
            </w:pPr>
            <w:r w:rsidRPr="001B7D5F">
              <w:rPr>
                <w:rFonts w:ascii="Calibri" w:hAnsi="Calibri"/>
                <w:b/>
                <w:color w:val="auto"/>
                <w:lang w:val="en-GB"/>
              </w:rPr>
              <w:t>Date</w:t>
            </w:r>
          </w:p>
        </w:tc>
      </w:tr>
      <w:tr w:rsidR="0087658A" w:rsidRPr="001B7D5F" w14:paraId="791047F9" w14:textId="77777777" w:rsidTr="00BD1E43">
        <w:tc>
          <w:tcPr>
            <w:tcW w:w="4677" w:type="dxa"/>
          </w:tcPr>
          <w:p w14:paraId="5CEB2503" w14:textId="77777777" w:rsidR="0087658A" w:rsidRPr="001B7D5F" w:rsidRDefault="0087658A" w:rsidP="00A70546">
            <w:pPr>
              <w:pStyle w:val="SingleParagraph"/>
              <w:jc w:val="left"/>
              <w:rPr>
                <w:rFonts w:ascii="Calibri" w:hAnsi="Calibri"/>
                <w:b/>
                <w:color w:val="auto"/>
                <w:lang w:val="en-GB"/>
              </w:rPr>
            </w:pPr>
          </w:p>
        </w:tc>
        <w:tc>
          <w:tcPr>
            <w:tcW w:w="284" w:type="dxa"/>
          </w:tcPr>
          <w:p w14:paraId="43F7BE74" w14:textId="77777777" w:rsidR="0087658A" w:rsidRPr="001B7D5F" w:rsidRDefault="0087658A" w:rsidP="00A70546">
            <w:pPr>
              <w:pStyle w:val="SingleParagraph"/>
              <w:jc w:val="left"/>
              <w:rPr>
                <w:rFonts w:ascii="Calibri" w:hAnsi="Calibri"/>
                <w:b/>
                <w:color w:val="auto"/>
                <w:lang w:val="en-GB"/>
              </w:rPr>
            </w:pPr>
          </w:p>
        </w:tc>
        <w:tc>
          <w:tcPr>
            <w:tcW w:w="4536" w:type="dxa"/>
          </w:tcPr>
          <w:p w14:paraId="1252443B" w14:textId="77777777" w:rsidR="0087658A" w:rsidRPr="001B7D5F" w:rsidRDefault="0087658A" w:rsidP="00A70546">
            <w:pPr>
              <w:pStyle w:val="SingleParagraph"/>
              <w:jc w:val="left"/>
              <w:rPr>
                <w:rFonts w:ascii="Calibri" w:hAnsi="Calibri"/>
                <w:b/>
                <w:color w:val="auto"/>
                <w:lang w:val="en-GB"/>
              </w:rPr>
            </w:pPr>
          </w:p>
        </w:tc>
      </w:tr>
      <w:tr w:rsidR="0087658A" w:rsidRPr="001B7D5F" w14:paraId="628E2572" w14:textId="77777777" w:rsidTr="00BD1E43">
        <w:tc>
          <w:tcPr>
            <w:tcW w:w="4677" w:type="dxa"/>
          </w:tcPr>
          <w:p w14:paraId="00A612AC" w14:textId="77777777" w:rsidR="0087658A" w:rsidRPr="001B7D5F" w:rsidRDefault="0087658A" w:rsidP="00A70546">
            <w:pPr>
              <w:pStyle w:val="Signed"/>
              <w:jc w:val="left"/>
              <w:rPr>
                <w:rFonts w:ascii="Calibri" w:hAnsi="Calibri"/>
                <w:b/>
                <w:color w:val="auto"/>
              </w:rPr>
            </w:pPr>
            <w:r w:rsidRPr="001B7D5F">
              <w:rPr>
                <w:rStyle w:val="SignedBold"/>
                <w:rFonts w:ascii="Calibri" w:hAnsi="Calibri"/>
                <w:color w:val="auto"/>
              </w:rPr>
              <w:t>Signed</w:t>
            </w:r>
            <w:r w:rsidRPr="001B7D5F">
              <w:rPr>
                <w:rFonts w:ascii="Calibri" w:hAnsi="Calibri"/>
                <w:b/>
                <w:color w:val="auto"/>
              </w:rPr>
              <w:t xml:space="preserve"> for and on behalf of the</w:t>
            </w:r>
            <w:r w:rsidRPr="001B7D5F">
              <w:rPr>
                <w:rFonts w:ascii="Calibri" w:hAnsi="Calibri"/>
                <w:b/>
                <w:color w:val="auto"/>
              </w:rPr>
              <w:br/>
              <w:t>State of Queensland by</w:t>
            </w:r>
          </w:p>
          <w:p w14:paraId="7E2703A8" w14:textId="77777777" w:rsidR="0087658A" w:rsidRPr="001B7D5F" w:rsidRDefault="0087658A" w:rsidP="00A70546">
            <w:pPr>
              <w:pStyle w:val="LineForSignature"/>
              <w:jc w:val="left"/>
              <w:rPr>
                <w:rFonts w:ascii="Calibri" w:hAnsi="Calibri"/>
                <w:b/>
                <w:color w:val="auto"/>
              </w:rPr>
            </w:pPr>
            <w:r w:rsidRPr="001B7D5F">
              <w:rPr>
                <w:rFonts w:ascii="Calibri" w:hAnsi="Calibri"/>
                <w:b/>
                <w:color w:val="auto"/>
              </w:rPr>
              <w:tab/>
            </w:r>
          </w:p>
          <w:p w14:paraId="39C4468F" w14:textId="1BD778E8" w:rsidR="0087658A" w:rsidRPr="00290AC5" w:rsidRDefault="0087658A" w:rsidP="00A70546">
            <w:pPr>
              <w:pStyle w:val="SingleParagraph"/>
              <w:jc w:val="left"/>
              <w:rPr>
                <w:rFonts w:ascii="Calibri" w:hAnsi="Calibri"/>
                <w:b/>
                <w:color w:val="auto"/>
              </w:rPr>
            </w:pPr>
            <w:r w:rsidRPr="00290AC5">
              <w:rPr>
                <w:rFonts w:ascii="Calibri" w:hAnsi="Calibri"/>
                <w:b/>
                <w:color w:val="auto"/>
              </w:rPr>
              <w:t xml:space="preserve">The Honourable </w:t>
            </w:r>
            <w:r w:rsidR="00322A2A" w:rsidRPr="00290AC5">
              <w:rPr>
                <w:rFonts w:ascii="Calibri" w:hAnsi="Calibri"/>
                <w:b/>
                <w:color w:val="auto"/>
              </w:rPr>
              <w:t>Shannon Fentiman</w:t>
            </w:r>
            <w:r w:rsidRPr="00290AC5">
              <w:rPr>
                <w:rFonts w:ascii="Calibri" w:hAnsi="Calibri"/>
                <w:b/>
                <w:color w:val="auto"/>
              </w:rPr>
              <w:t xml:space="preserve"> MP</w:t>
            </w:r>
          </w:p>
          <w:p w14:paraId="39D3AB00" w14:textId="18037DC9" w:rsidR="0087658A" w:rsidRPr="001B7D5F" w:rsidRDefault="0087658A" w:rsidP="00A70546">
            <w:pPr>
              <w:pStyle w:val="Position"/>
              <w:jc w:val="left"/>
              <w:rPr>
                <w:rFonts w:ascii="Calibri" w:hAnsi="Calibri"/>
                <w:b/>
                <w:bCs/>
                <w:color w:val="auto"/>
                <w:lang w:val="en-GB"/>
              </w:rPr>
            </w:pPr>
            <w:r w:rsidRPr="00290AC5">
              <w:rPr>
                <w:rFonts w:ascii="Calibri" w:hAnsi="Calibri"/>
                <w:b/>
                <w:color w:val="auto"/>
                <w:lang w:val="en-GB"/>
              </w:rPr>
              <w:t>Minister for Health</w:t>
            </w:r>
            <w:r w:rsidR="00322A2A" w:rsidRPr="00290AC5">
              <w:rPr>
                <w:rFonts w:ascii="Calibri" w:hAnsi="Calibri"/>
                <w:b/>
                <w:color w:val="auto"/>
                <w:lang w:val="en-GB"/>
              </w:rPr>
              <w:t xml:space="preserve"> of the State of Queensland </w:t>
            </w:r>
          </w:p>
          <w:p w14:paraId="0853EAAE" w14:textId="77777777" w:rsidR="0087658A" w:rsidRPr="001B7D5F" w:rsidRDefault="0087658A" w:rsidP="00A70546">
            <w:pPr>
              <w:pStyle w:val="SingleParagraph"/>
              <w:tabs>
                <w:tab w:val="num" w:pos="1134"/>
              </w:tabs>
              <w:spacing w:after="240"/>
              <w:ind w:left="1134" w:hanging="567"/>
              <w:jc w:val="left"/>
              <w:rPr>
                <w:rFonts w:ascii="Calibri" w:hAnsi="Calibri"/>
                <w:b/>
                <w:color w:val="auto"/>
                <w:lang w:val="en-GB"/>
              </w:rPr>
            </w:pPr>
            <w:r w:rsidRPr="001B7D5F">
              <w:rPr>
                <w:rFonts w:ascii="Calibri" w:hAnsi="Calibri"/>
                <w:b/>
                <w:color w:val="auto"/>
                <w:lang w:val="en-GB"/>
              </w:rPr>
              <w:t>Date</w:t>
            </w:r>
          </w:p>
        </w:tc>
        <w:tc>
          <w:tcPr>
            <w:tcW w:w="284" w:type="dxa"/>
          </w:tcPr>
          <w:p w14:paraId="165EDA39" w14:textId="77777777" w:rsidR="0087658A" w:rsidRPr="001B7D5F" w:rsidRDefault="0087658A" w:rsidP="00A70546">
            <w:pPr>
              <w:rPr>
                <w:rFonts w:ascii="Calibri" w:hAnsi="Calibri"/>
                <w:b/>
                <w:color w:val="auto"/>
                <w:lang w:val="en-GB"/>
              </w:rPr>
            </w:pPr>
          </w:p>
        </w:tc>
        <w:tc>
          <w:tcPr>
            <w:tcW w:w="4536" w:type="dxa"/>
          </w:tcPr>
          <w:p w14:paraId="4FE67B59" w14:textId="77777777" w:rsidR="0087658A" w:rsidRPr="001B7D5F" w:rsidRDefault="0087658A" w:rsidP="00A70546">
            <w:pPr>
              <w:pStyle w:val="Signed"/>
              <w:jc w:val="left"/>
              <w:rPr>
                <w:rFonts w:ascii="Calibri" w:hAnsi="Calibri"/>
                <w:b/>
                <w:color w:val="auto"/>
              </w:rPr>
            </w:pPr>
            <w:r w:rsidRPr="001B7D5F">
              <w:rPr>
                <w:rStyle w:val="SignedBold"/>
                <w:rFonts w:ascii="Calibri" w:hAnsi="Calibri"/>
                <w:color w:val="auto"/>
              </w:rPr>
              <w:t>Signed</w:t>
            </w:r>
            <w:r w:rsidRPr="001B7D5F">
              <w:rPr>
                <w:rFonts w:ascii="Calibri" w:hAnsi="Calibri"/>
                <w:b/>
                <w:color w:val="auto"/>
              </w:rPr>
              <w:t xml:space="preserve"> for and on behalf of the</w:t>
            </w:r>
            <w:r w:rsidRPr="001B7D5F">
              <w:rPr>
                <w:rFonts w:ascii="Calibri" w:hAnsi="Calibri"/>
                <w:b/>
                <w:color w:val="auto"/>
              </w:rPr>
              <w:br/>
              <w:t>State of South Australia by</w:t>
            </w:r>
          </w:p>
          <w:p w14:paraId="5816D97A" w14:textId="77777777" w:rsidR="0087658A" w:rsidRPr="001B7D5F" w:rsidRDefault="0087658A" w:rsidP="00A70546">
            <w:pPr>
              <w:pStyle w:val="LineForSignature"/>
              <w:jc w:val="left"/>
              <w:rPr>
                <w:rFonts w:ascii="Calibri" w:hAnsi="Calibri"/>
                <w:b/>
                <w:color w:val="auto"/>
              </w:rPr>
            </w:pPr>
            <w:r w:rsidRPr="001B7D5F">
              <w:rPr>
                <w:rFonts w:ascii="Calibri" w:hAnsi="Calibri"/>
                <w:b/>
                <w:color w:val="auto"/>
              </w:rPr>
              <w:tab/>
            </w:r>
          </w:p>
          <w:p w14:paraId="7FA1F67B" w14:textId="1A4E9627" w:rsidR="0087658A" w:rsidRPr="001B7D5F" w:rsidRDefault="0087658A" w:rsidP="00A70546">
            <w:pPr>
              <w:pStyle w:val="SingleParagraph"/>
              <w:jc w:val="left"/>
              <w:rPr>
                <w:rStyle w:val="Bold"/>
                <w:rFonts w:ascii="Calibri" w:hAnsi="Calibri"/>
                <w:color w:val="auto"/>
                <w:lang w:val="en-GB"/>
              </w:rPr>
            </w:pPr>
            <w:r w:rsidRPr="001B7D5F">
              <w:rPr>
                <w:rStyle w:val="Bold"/>
                <w:rFonts w:ascii="Calibri" w:hAnsi="Calibri"/>
                <w:color w:val="auto"/>
              </w:rPr>
              <w:t>The Honourable Chris Picton M</w:t>
            </w:r>
            <w:r w:rsidR="00E83382" w:rsidRPr="001B7D5F">
              <w:rPr>
                <w:rStyle w:val="Bold"/>
                <w:rFonts w:ascii="Calibri" w:hAnsi="Calibri"/>
                <w:color w:val="auto"/>
              </w:rPr>
              <w:t>P</w:t>
            </w:r>
          </w:p>
          <w:p w14:paraId="0379D2BC" w14:textId="58FD48FB" w:rsidR="0087658A" w:rsidRPr="001B7D5F" w:rsidRDefault="0087658A" w:rsidP="00A70546">
            <w:pPr>
              <w:pStyle w:val="Position"/>
              <w:jc w:val="left"/>
              <w:rPr>
                <w:rFonts w:ascii="Calibri" w:hAnsi="Calibri"/>
                <w:b/>
                <w:bCs/>
                <w:color w:val="auto"/>
                <w:lang w:val="en-GB"/>
              </w:rPr>
            </w:pPr>
            <w:r w:rsidRPr="001B7D5F">
              <w:rPr>
                <w:rFonts w:ascii="Calibri" w:hAnsi="Calibri"/>
                <w:b/>
                <w:color w:val="auto"/>
                <w:lang w:val="en-GB"/>
              </w:rPr>
              <w:t>Minister for Health</w:t>
            </w:r>
            <w:r w:rsidR="0014720D" w:rsidRPr="001B7D5F">
              <w:rPr>
                <w:rFonts w:ascii="Calibri" w:hAnsi="Calibri"/>
                <w:b/>
                <w:color w:val="auto"/>
                <w:lang w:val="en-GB"/>
              </w:rPr>
              <w:t xml:space="preserve"> </w:t>
            </w:r>
            <w:r w:rsidRPr="001B7D5F">
              <w:rPr>
                <w:rFonts w:ascii="Calibri" w:hAnsi="Calibri"/>
                <w:b/>
                <w:color w:val="auto"/>
                <w:lang w:val="en-GB"/>
              </w:rPr>
              <w:t>of the State of South Australia</w:t>
            </w:r>
          </w:p>
          <w:p w14:paraId="7396281F" w14:textId="77777777" w:rsidR="0087658A" w:rsidRPr="001B7D5F" w:rsidRDefault="0087658A" w:rsidP="00A70546">
            <w:pPr>
              <w:pStyle w:val="SingleParagraph"/>
              <w:tabs>
                <w:tab w:val="num" w:pos="1134"/>
              </w:tabs>
              <w:spacing w:after="240"/>
              <w:ind w:left="1134" w:hanging="567"/>
              <w:jc w:val="left"/>
              <w:rPr>
                <w:rFonts w:ascii="Calibri" w:hAnsi="Calibri"/>
                <w:b/>
                <w:i/>
                <w:iCs/>
                <w:color w:val="auto"/>
                <w:lang w:val="en-GB"/>
              </w:rPr>
            </w:pPr>
            <w:r w:rsidRPr="001B7D5F">
              <w:rPr>
                <w:rFonts w:ascii="Calibri" w:hAnsi="Calibri"/>
                <w:b/>
                <w:color w:val="auto"/>
                <w:lang w:val="en-GB"/>
              </w:rPr>
              <w:t>Date</w:t>
            </w:r>
            <w:r w:rsidRPr="001B7D5F">
              <w:rPr>
                <w:rStyle w:val="SignedBold"/>
                <w:rFonts w:ascii="Calibri" w:hAnsi="Calibri"/>
                <w:color w:val="auto"/>
              </w:rPr>
              <w:t xml:space="preserve"> </w:t>
            </w:r>
          </w:p>
        </w:tc>
      </w:tr>
      <w:tr w:rsidR="0087658A" w:rsidRPr="001B7D5F" w14:paraId="17D86060" w14:textId="77777777" w:rsidTr="00BD1E43">
        <w:tc>
          <w:tcPr>
            <w:tcW w:w="4677" w:type="dxa"/>
          </w:tcPr>
          <w:p w14:paraId="023F6DBF" w14:textId="77777777" w:rsidR="0087658A" w:rsidRPr="001B7D5F" w:rsidRDefault="0087658A" w:rsidP="00A70546">
            <w:pPr>
              <w:pStyle w:val="SingleParagraph"/>
              <w:jc w:val="left"/>
              <w:rPr>
                <w:rFonts w:ascii="Calibri" w:hAnsi="Calibri"/>
                <w:b/>
                <w:color w:val="auto"/>
                <w:lang w:val="en-GB"/>
              </w:rPr>
            </w:pPr>
          </w:p>
        </w:tc>
        <w:tc>
          <w:tcPr>
            <w:tcW w:w="284" w:type="dxa"/>
          </w:tcPr>
          <w:p w14:paraId="5661D801" w14:textId="77777777" w:rsidR="0087658A" w:rsidRPr="001B7D5F" w:rsidRDefault="0087658A" w:rsidP="00A70546">
            <w:pPr>
              <w:pStyle w:val="SingleParagraph"/>
              <w:jc w:val="left"/>
              <w:rPr>
                <w:rFonts w:ascii="Calibri" w:hAnsi="Calibri"/>
                <w:b/>
                <w:color w:val="auto"/>
                <w:lang w:val="en-GB"/>
              </w:rPr>
            </w:pPr>
          </w:p>
        </w:tc>
        <w:tc>
          <w:tcPr>
            <w:tcW w:w="4536" w:type="dxa"/>
          </w:tcPr>
          <w:p w14:paraId="02A8913C" w14:textId="77777777" w:rsidR="0087658A" w:rsidRPr="001B7D5F" w:rsidRDefault="0087658A" w:rsidP="00A70546">
            <w:pPr>
              <w:pStyle w:val="SingleParagraph"/>
              <w:jc w:val="left"/>
              <w:rPr>
                <w:rFonts w:ascii="Calibri" w:hAnsi="Calibri"/>
                <w:b/>
                <w:color w:val="auto"/>
                <w:lang w:val="en-GB"/>
              </w:rPr>
            </w:pPr>
          </w:p>
        </w:tc>
      </w:tr>
      <w:tr w:rsidR="0087658A" w:rsidRPr="001B7D5F" w14:paraId="4F76B774" w14:textId="77777777" w:rsidTr="00BD1E43">
        <w:trPr>
          <w:trHeight w:val="143"/>
        </w:trPr>
        <w:tc>
          <w:tcPr>
            <w:tcW w:w="4677" w:type="dxa"/>
          </w:tcPr>
          <w:p w14:paraId="62F5F17B" w14:textId="77777777" w:rsidR="0087658A" w:rsidRPr="001B7D5F" w:rsidRDefault="0087658A" w:rsidP="00A70546">
            <w:pPr>
              <w:pStyle w:val="Signed"/>
              <w:jc w:val="left"/>
              <w:rPr>
                <w:rFonts w:ascii="Calibri" w:hAnsi="Calibri"/>
                <w:b/>
                <w:color w:val="auto"/>
              </w:rPr>
            </w:pPr>
            <w:r w:rsidRPr="001B7D5F">
              <w:rPr>
                <w:rStyle w:val="SignedBold"/>
                <w:rFonts w:ascii="Calibri" w:hAnsi="Calibri"/>
                <w:color w:val="auto"/>
              </w:rPr>
              <w:t>Signed</w:t>
            </w:r>
            <w:r w:rsidRPr="001B7D5F">
              <w:rPr>
                <w:rFonts w:ascii="Calibri" w:hAnsi="Calibri"/>
                <w:b/>
                <w:color w:val="auto"/>
              </w:rPr>
              <w:t xml:space="preserve"> for and on behalf of the</w:t>
            </w:r>
            <w:r w:rsidRPr="001B7D5F">
              <w:rPr>
                <w:rFonts w:ascii="Calibri" w:hAnsi="Calibri"/>
                <w:b/>
                <w:color w:val="auto"/>
              </w:rPr>
              <w:br/>
              <w:t>State of Western Australia by</w:t>
            </w:r>
          </w:p>
          <w:p w14:paraId="103DEBC8" w14:textId="77777777" w:rsidR="0087658A" w:rsidRPr="001B7D5F" w:rsidRDefault="0087658A" w:rsidP="00A70546">
            <w:pPr>
              <w:pStyle w:val="LineForSignature"/>
              <w:jc w:val="left"/>
              <w:rPr>
                <w:rFonts w:ascii="Calibri" w:hAnsi="Calibri"/>
                <w:b/>
                <w:color w:val="auto"/>
              </w:rPr>
            </w:pPr>
            <w:r w:rsidRPr="001B7D5F">
              <w:rPr>
                <w:rFonts w:ascii="Calibri" w:hAnsi="Calibri"/>
                <w:b/>
                <w:color w:val="auto"/>
              </w:rPr>
              <w:tab/>
            </w:r>
          </w:p>
          <w:p w14:paraId="328B00F1" w14:textId="53E30AB1" w:rsidR="0087658A" w:rsidRPr="001B7D5F" w:rsidRDefault="0087658A" w:rsidP="00A70546">
            <w:pPr>
              <w:pStyle w:val="SingleParagraph"/>
              <w:jc w:val="left"/>
              <w:rPr>
                <w:rStyle w:val="Bold"/>
                <w:rFonts w:ascii="Calibri" w:hAnsi="Calibri"/>
                <w:color w:val="auto"/>
                <w:lang w:val="en-GB"/>
              </w:rPr>
            </w:pPr>
            <w:r w:rsidRPr="001B7D5F">
              <w:rPr>
                <w:rStyle w:val="Bold"/>
                <w:rFonts w:ascii="Calibri" w:hAnsi="Calibri"/>
                <w:color w:val="auto"/>
              </w:rPr>
              <w:t xml:space="preserve">The Honourable </w:t>
            </w:r>
            <w:r w:rsidR="00620F1A" w:rsidRPr="001B7D5F">
              <w:rPr>
                <w:rStyle w:val="Bold"/>
                <w:rFonts w:ascii="Calibri" w:hAnsi="Calibri"/>
                <w:color w:val="auto"/>
              </w:rPr>
              <w:t>Amber-Jade Sanderson</w:t>
            </w:r>
            <w:r w:rsidRPr="001B7D5F">
              <w:rPr>
                <w:rStyle w:val="Bold"/>
                <w:rFonts w:ascii="Calibri" w:hAnsi="Calibri"/>
                <w:color w:val="auto"/>
              </w:rPr>
              <w:t xml:space="preserve"> MLA</w:t>
            </w:r>
          </w:p>
          <w:p w14:paraId="5CC727BE" w14:textId="77777777" w:rsidR="00A15B7A" w:rsidRDefault="0087658A" w:rsidP="00A70546">
            <w:pPr>
              <w:pStyle w:val="Position"/>
              <w:jc w:val="left"/>
              <w:rPr>
                <w:rFonts w:ascii="Calibri" w:hAnsi="Calibri"/>
                <w:b/>
                <w:color w:val="auto"/>
                <w:lang w:val="en-GB"/>
              </w:rPr>
            </w:pPr>
            <w:r w:rsidRPr="001B7D5F">
              <w:rPr>
                <w:rFonts w:ascii="Calibri" w:hAnsi="Calibri"/>
                <w:b/>
                <w:color w:val="auto"/>
                <w:lang w:val="en-GB"/>
              </w:rPr>
              <w:t xml:space="preserve">Minister for </w:t>
            </w:r>
            <w:r w:rsidRPr="00290AC5">
              <w:rPr>
                <w:rFonts w:ascii="Calibri" w:hAnsi="Calibri"/>
                <w:b/>
                <w:color w:val="auto"/>
                <w:lang w:val="en-GB"/>
              </w:rPr>
              <w:t>Health</w:t>
            </w:r>
            <w:r w:rsidR="00290AC5" w:rsidRPr="00290AC5">
              <w:rPr>
                <w:rFonts w:ascii="Calibri" w:hAnsi="Calibri"/>
                <w:b/>
                <w:color w:val="auto"/>
                <w:lang w:val="en-GB"/>
              </w:rPr>
              <w:t xml:space="preserve"> of the State of </w:t>
            </w:r>
            <w:r w:rsidR="00290AC5" w:rsidRPr="00290AC5">
              <w:rPr>
                <w:rFonts w:ascii="Calibri" w:hAnsi="Calibri"/>
                <w:b/>
                <w:color w:val="auto"/>
                <w:spacing w:val="-4"/>
                <w:lang w:val="en-GB"/>
              </w:rPr>
              <w:t>Western Australia</w:t>
            </w:r>
            <w:r w:rsidR="0014720D" w:rsidRPr="001B7D5F">
              <w:rPr>
                <w:rFonts w:ascii="Calibri" w:hAnsi="Calibri"/>
                <w:b/>
                <w:color w:val="auto"/>
                <w:lang w:val="en-GB"/>
              </w:rPr>
              <w:t xml:space="preserve"> </w:t>
            </w:r>
          </w:p>
          <w:p w14:paraId="0F2E2371" w14:textId="33F86F00" w:rsidR="0087658A" w:rsidRPr="001B7D5F" w:rsidRDefault="0087658A" w:rsidP="00A70546">
            <w:pPr>
              <w:pStyle w:val="SingleParagraph"/>
              <w:tabs>
                <w:tab w:val="num" w:pos="1134"/>
              </w:tabs>
              <w:spacing w:after="240"/>
              <w:ind w:left="1134" w:hanging="567"/>
              <w:jc w:val="left"/>
              <w:rPr>
                <w:rFonts w:ascii="Calibri" w:hAnsi="Calibri"/>
                <w:b/>
                <w:color w:val="auto"/>
                <w:lang w:val="en-GB"/>
              </w:rPr>
            </w:pPr>
            <w:r w:rsidRPr="00A15B7A">
              <w:rPr>
                <w:rFonts w:ascii="Calibri" w:hAnsi="Calibri"/>
                <w:b/>
                <w:color w:val="auto"/>
                <w:lang w:val="en-GB"/>
              </w:rPr>
              <w:t>Date</w:t>
            </w:r>
            <w:r w:rsidRPr="001B7D5F">
              <w:rPr>
                <w:rStyle w:val="SignedBold"/>
                <w:rFonts w:ascii="Calibri" w:hAnsi="Calibri"/>
                <w:color w:val="auto"/>
              </w:rPr>
              <w:t xml:space="preserve"> </w:t>
            </w:r>
          </w:p>
        </w:tc>
        <w:tc>
          <w:tcPr>
            <w:tcW w:w="284" w:type="dxa"/>
          </w:tcPr>
          <w:p w14:paraId="781267AF" w14:textId="77777777" w:rsidR="0087658A" w:rsidRPr="001B7D5F" w:rsidRDefault="0087658A" w:rsidP="00A70546">
            <w:pPr>
              <w:rPr>
                <w:rFonts w:ascii="Calibri" w:hAnsi="Calibri"/>
                <w:b/>
                <w:color w:val="auto"/>
                <w:lang w:val="en-GB"/>
              </w:rPr>
            </w:pPr>
          </w:p>
        </w:tc>
        <w:tc>
          <w:tcPr>
            <w:tcW w:w="4536" w:type="dxa"/>
          </w:tcPr>
          <w:p w14:paraId="7520A945" w14:textId="77777777" w:rsidR="0087658A" w:rsidRPr="001B7D5F" w:rsidRDefault="0087658A" w:rsidP="00A70546">
            <w:pPr>
              <w:pStyle w:val="Signed"/>
              <w:jc w:val="left"/>
              <w:rPr>
                <w:rFonts w:ascii="Calibri" w:hAnsi="Calibri"/>
                <w:b/>
                <w:color w:val="auto"/>
              </w:rPr>
            </w:pPr>
            <w:r w:rsidRPr="001B7D5F">
              <w:rPr>
                <w:rStyle w:val="SignedBold"/>
                <w:rFonts w:ascii="Calibri" w:hAnsi="Calibri"/>
                <w:color w:val="auto"/>
              </w:rPr>
              <w:t>Signed</w:t>
            </w:r>
            <w:r w:rsidRPr="001B7D5F">
              <w:rPr>
                <w:rFonts w:ascii="Calibri" w:hAnsi="Calibri"/>
                <w:b/>
                <w:color w:val="auto"/>
              </w:rPr>
              <w:t xml:space="preserve"> for and on behalf of the</w:t>
            </w:r>
            <w:r w:rsidRPr="001B7D5F">
              <w:rPr>
                <w:rFonts w:ascii="Calibri" w:hAnsi="Calibri"/>
                <w:b/>
                <w:color w:val="auto"/>
              </w:rPr>
              <w:br/>
              <w:t>State of Tasmania by</w:t>
            </w:r>
          </w:p>
          <w:p w14:paraId="010AB049" w14:textId="77777777" w:rsidR="0087658A" w:rsidRPr="001B7D5F" w:rsidRDefault="0087658A" w:rsidP="00A70546">
            <w:pPr>
              <w:pStyle w:val="LineForSignature"/>
              <w:jc w:val="left"/>
              <w:rPr>
                <w:rFonts w:ascii="Calibri" w:hAnsi="Calibri"/>
                <w:b/>
                <w:color w:val="auto"/>
              </w:rPr>
            </w:pPr>
            <w:r w:rsidRPr="001B7D5F">
              <w:rPr>
                <w:rFonts w:ascii="Calibri" w:hAnsi="Calibri"/>
                <w:b/>
                <w:color w:val="auto"/>
              </w:rPr>
              <w:tab/>
            </w:r>
          </w:p>
          <w:p w14:paraId="12198982" w14:textId="442ABAE5" w:rsidR="0087658A" w:rsidRPr="001B7D5F" w:rsidRDefault="0087658A" w:rsidP="00A70546">
            <w:pPr>
              <w:pStyle w:val="SingleParagraph"/>
              <w:jc w:val="left"/>
              <w:rPr>
                <w:rStyle w:val="Bold"/>
                <w:rFonts w:ascii="Calibri" w:hAnsi="Calibri"/>
                <w:color w:val="auto"/>
                <w:lang w:val="en-GB"/>
              </w:rPr>
            </w:pPr>
            <w:r w:rsidRPr="001B7D5F">
              <w:rPr>
                <w:rStyle w:val="Bold"/>
                <w:rFonts w:ascii="Calibri" w:hAnsi="Calibri"/>
                <w:color w:val="auto"/>
              </w:rPr>
              <w:t>The Honourable</w:t>
            </w:r>
            <w:r w:rsidR="00620F1A" w:rsidRPr="001B7D5F">
              <w:rPr>
                <w:rStyle w:val="Bold"/>
                <w:rFonts w:ascii="Calibri" w:hAnsi="Calibri"/>
                <w:color w:val="auto"/>
              </w:rPr>
              <w:t xml:space="preserve"> Jeremy Rockliff</w:t>
            </w:r>
            <w:r w:rsidRPr="001B7D5F">
              <w:rPr>
                <w:rStyle w:val="Bold"/>
                <w:rFonts w:ascii="Calibri" w:hAnsi="Calibri"/>
                <w:color w:val="auto"/>
              </w:rPr>
              <w:t xml:space="preserve"> MP</w:t>
            </w:r>
          </w:p>
          <w:p w14:paraId="3E3BDA9D" w14:textId="77777777" w:rsidR="00A15B7A" w:rsidRDefault="0087658A" w:rsidP="00A70546">
            <w:pPr>
              <w:pStyle w:val="Position"/>
              <w:jc w:val="left"/>
              <w:rPr>
                <w:rFonts w:ascii="Calibri" w:hAnsi="Calibri"/>
                <w:b/>
                <w:color w:val="auto"/>
                <w:lang w:val="en-GB"/>
              </w:rPr>
            </w:pPr>
            <w:r w:rsidRPr="001B7D5F">
              <w:rPr>
                <w:rFonts w:ascii="Calibri" w:hAnsi="Calibri"/>
                <w:b/>
                <w:color w:val="auto"/>
                <w:lang w:val="en-GB"/>
              </w:rPr>
              <w:t xml:space="preserve">Minister for Health of the </w:t>
            </w:r>
            <w:r w:rsidRPr="00A15B7A">
              <w:rPr>
                <w:rFonts w:ascii="Calibri" w:hAnsi="Calibri"/>
                <w:b/>
                <w:color w:val="auto"/>
                <w:spacing w:val="-4"/>
                <w:lang w:val="en-GB"/>
              </w:rPr>
              <w:t>State</w:t>
            </w:r>
            <w:r w:rsidRPr="001B7D5F">
              <w:rPr>
                <w:rFonts w:ascii="Calibri" w:hAnsi="Calibri"/>
                <w:b/>
                <w:color w:val="auto"/>
                <w:lang w:val="en-GB"/>
              </w:rPr>
              <w:t xml:space="preserve"> of Tasmania</w:t>
            </w:r>
          </w:p>
          <w:p w14:paraId="05EC25E7" w14:textId="538F5EFC" w:rsidR="0087658A" w:rsidRPr="001B7D5F" w:rsidRDefault="0087658A" w:rsidP="00A70546">
            <w:pPr>
              <w:pStyle w:val="SingleParagraph"/>
              <w:tabs>
                <w:tab w:val="num" w:pos="1134"/>
              </w:tabs>
              <w:spacing w:after="240"/>
              <w:ind w:left="1134" w:hanging="567"/>
              <w:jc w:val="left"/>
              <w:rPr>
                <w:rFonts w:ascii="Calibri" w:hAnsi="Calibri"/>
                <w:b/>
                <w:color w:val="auto"/>
                <w:lang w:val="en-GB"/>
              </w:rPr>
            </w:pPr>
            <w:r w:rsidRPr="001B7D5F">
              <w:rPr>
                <w:rFonts w:ascii="Calibri" w:hAnsi="Calibri"/>
                <w:b/>
                <w:color w:val="auto"/>
                <w:lang w:val="en-GB"/>
              </w:rPr>
              <w:t>Date</w:t>
            </w:r>
          </w:p>
        </w:tc>
      </w:tr>
      <w:tr w:rsidR="00290AC5" w:rsidRPr="001B7D5F" w14:paraId="77E4D247" w14:textId="77777777" w:rsidTr="00BD1E43">
        <w:tc>
          <w:tcPr>
            <w:tcW w:w="4677" w:type="dxa"/>
          </w:tcPr>
          <w:p w14:paraId="3F367730" w14:textId="77777777" w:rsidR="00290AC5" w:rsidRPr="001B7D5F" w:rsidRDefault="00290AC5" w:rsidP="00A70546">
            <w:pPr>
              <w:pStyle w:val="Signed"/>
              <w:jc w:val="left"/>
              <w:rPr>
                <w:rFonts w:ascii="Calibri" w:hAnsi="Calibri"/>
                <w:b/>
                <w:color w:val="auto"/>
              </w:rPr>
            </w:pPr>
            <w:r w:rsidRPr="001B7D5F">
              <w:rPr>
                <w:rStyle w:val="SignedBold"/>
                <w:rFonts w:ascii="Calibri" w:hAnsi="Calibri"/>
                <w:color w:val="auto"/>
              </w:rPr>
              <w:t>Signed</w:t>
            </w:r>
            <w:r w:rsidRPr="001B7D5F">
              <w:rPr>
                <w:rFonts w:ascii="Calibri" w:hAnsi="Calibri"/>
                <w:b/>
                <w:i w:val="0"/>
                <w:color w:val="auto"/>
              </w:rPr>
              <w:t xml:space="preserve"> </w:t>
            </w:r>
            <w:r w:rsidRPr="00D8684E">
              <w:rPr>
                <w:rFonts w:ascii="Calibri" w:hAnsi="Calibri"/>
                <w:b/>
                <w:iCs w:val="0"/>
                <w:color w:val="auto"/>
              </w:rPr>
              <w:t xml:space="preserve">for and on behalf of the </w:t>
            </w:r>
            <w:r w:rsidRPr="001B7D5F">
              <w:rPr>
                <w:rFonts w:ascii="Calibri" w:hAnsi="Calibri"/>
                <w:b/>
                <w:color w:val="auto"/>
              </w:rPr>
              <w:t>Northern Territory by</w:t>
            </w:r>
          </w:p>
          <w:p w14:paraId="2787430E" w14:textId="77777777" w:rsidR="00290AC5" w:rsidRPr="001B7D5F" w:rsidRDefault="00290AC5" w:rsidP="00A70546">
            <w:pPr>
              <w:pStyle w:val="LineForSignature"/>
              <w:jc w:val="left"/>
              <w:rPr>
                <w:rFonts w:ascii="Calibri" w:hAnsi="Calibri"/>
                <w:b/>
                <w:color w:val="auto"/>
              </w:rPr>
            </w:pPr>
            <w:r w:rsidRPr="001B7D5F">
              <w:rPr>
                <w:rFonts w:ascii="Calibri" w:hAnsi="Calibri"/>
                <w:b/>
                <w:color w:val="auto"/>
              </w:rPr>
              <w:tab/>
            </w:r>
          </w:p>
          <w:p w14:paraId="0B244908" w14:textId="77777777" w:rsidR="00290AC5" w:rsidRPr="001B7D5F" w:rsidRDefault="00290AC5" w:rsidP="00A70546">
            <w:pPr>
              <w:pStyle w:val="SingleParagraph"/>
              <w:jc w:val="left"/>
              <w:rPr>
                <w:rStyle w:val="Bold"/>
                <w:rFonts w:ascii="Calibri" w:hAnsi="Calibri"/>
                <w:color w:val="auto"/>
                <w:lang w:val="en-GB"/>
              </w:rPr>
            </w:pPr>
            <w:r w:rsidRPr="001B7D5F">
              <w:rPr>
                <w:rStyle w:val="Bold"/>
                <w:rFonts w:ascii="Calibri" w:hAnsi="Calibri"/>
                <w:color w:val="auto"/>
              </w:rPr>
              <w:t>The Honourable Natasha Fyles MLA</w:t>
            </w:r>
          </w:p>
          <w:p w14:paraId="0A125C53" w14:textId="77777777" w:rsidR="00290AC5" w:rsidRPr="001B7D5F" w:rsidRDefault="00290AC5" w:rsidP="00A70546">
            <w:pPr>
              <w:pStyle w:val="Position"/>
              <w:jc w:val="left"/>
              <w:rPr>
                <w:rFonts w:ascii="Calibri" w:hAnsi="Calibri"/>
                <w:b/>
                <w:bCs/>
                <w:color w:val="auto"/>
                <w:lang w:val="en-GB"/>
              </w:rPr>
            </w:pPr>
            <w:r w:rsidRPr="001B7D5F">
              <w:rPr>
                <w:rFonts w:ascii="Calibri" w:hAnsi="Calibri"/>
                <w:b/>
                <w:color w:val="auto"/>
                <w:lang w:val="en-GB"/>
              </w:rPr>
              <w:t>Minister for Health of the Northern Territory of Australia</w:t>
            </w:r>
          </w:p>
          <w:p w14:paraId="1868C13F" w14:textId="7D6C9A44" w:rsidR="00290AC5" w:rsidRPr="001B7D5F" w:rsidRDefault="00290AC5" w:rsidP="00A70546">
            <w:pPr>
              <w:pStyle w:val="SingleParagraph"/>
              <w:tabs>
                <w:tab w:val="num" w:pos="1134"/>
              </w:tabs>
              <w:spacing w:after="240"/>
              <w:ind w:left="1134" w:hanging="567"/>
              <w:jc w:val="left"/>
              <w:rPr>
                <w:rFonts w:ascii="Calibri" w:hAnsi="Calibri"/>
                <w:b/>
                <w:color w:val="auto"/>
                <w:lang w:val="en-GB"/>
              </w:rPr>
            </w:pPr>
            <w:r w:rsidRPr="001B7D5F">
              <w:rPr>
                <w:rFonts w:ascii="Calibri" w:hAnsi="Calibri"/>
                <w:b/>
                <w:color w:val="auto"/>
                <w:lang w:val="en-GB"/>
              </w:rPr>
              <w:t>Date</w:t>
            </w:r>
          </w:p>
        </w:tc>
        <w:tc>
          <w:tcPr>
            <w:tcW w:w="284" w:type="dxa"/>
          </w:tcPr>
          <w:p w14:paraId="05CA5B24" w14:textId="77777777" w:rsidR="00290AC5" w:rsidRPr="001B7D5F" w:rsidRDefault="00290AC5" w:rsidP="00A70546">
            <w:pPr>
              <w:pStyle w:val="SingleParagraph"/>
              <w:jc w:val="left"/>
              <w:rPr>
                <w:rFonts w:ascii="Calibri" w:hAnsi="Calibri"/>
                <w:b/>
                <w:color w:val="auto"/>
                <w:lang w:val="en-GB"/>
              </w:rPr>
            </w:pPr>
          </w:p>
        </w:tc>
        <w:tc>
          <w:tcPr>
            <w:tcW w:w="4536" w:type="dxa"/>
          </w:tcPr>
          <w:p w14:paraId="4A6712CC" w14:textId="77777777" w:rsidR="00290AC5" w:rsidRPr="001B7D5F" w:rsidRDefault="00290AC5" w:rsidP="00A70546">
            <w:pPr>
              <w:pStyle w:val="Signed"/>
              <w:jc w:val="left"/>
              <w:rPr>
                <w:rFonts w:ascii="Calibri" w:hAnsi="Calibri"/>
                <w:b/>
                <w:color w:val="auto"/>
              </w:rPr>
            </w:pPr>
            <w:r w:rsidRPr="001B7D5F">
              <w:rPr>
                <w:rStyle w:val="SignedBold"/>
                <w:rFonts w:ascii="Calibri" w:hAnsi="Calibri"/>
                <w:color w:val="auto"/>
              </w:rPr>
              <w:t>Signed</w:t>
            </w:r>
            <w:r w:rsidRPr="001B7D5F">
              <w:rPr>
                <w:rFonts w:ascii="Calibri" w:hAnsi="Calibri"/>
                <w:b/>
                <w:i w:val="0"/>
                <w:color w:val="auto"/>
              </w:rPr>
              <w:t xml:space="preserve"> </w:t>
            </w:r>
            <w:r w:rsidRPr="00D8684E">
              <w:rPr>
                <w:rFonts w:ascii="Calibri" w:hAnsi="Calibri"/>
                <w:b/>
                <w:iCs w:val="0"/>
                <w:color w:val="auto"/>
              </w:rPr>
              <w:t>for and on behalf of the</w:t>
            </w:r>
            <w:r w:rsidRPr="001B7D5F">
              <w:rPr>
                <w:rFonts w:ascii="Calibri" w:hAnsi="Calibri"/>
                <w:b/>
                <w:i w:val="0"/>
                <w:color w:val="auto"/>
              </w:rPr>
              <w:t xml:space="preserve"> </w:t>
            </w:r>
            <w:r w:rsidRPr="001B7D5F">
              <w:rPr>
                <w:rFonts w:ascii="Calibri" w:hAnsi="Calibri"/>
                <w:b/>
                <w:color w:val="auto"/>
              </w:rPr>
              <w:t>Australian Capital Territory by</w:t>
            </w:r>
          </w:p>
          <w:p w14:paraId="6F48EBC1" w14:textId="77777777" w:rsidR="00290AC5" w:rsidRPr="001B7D5F" w:rsidRDefault="00290AC5" w:rsidP="00A70546">
            <w:pPr>
              <w:pStyle w:val="LineForSignature"/>
              <w:jc w:val="left"/>
              <w:rPr>
                <w:rFonts w:ascii="Calibri" w:hAnsi="Calibri"/>
                <w:b/>
                <w:color w:val="auto"/>
              </w:rPr>
            </w:pPr>
            <w:r w:rsidRPr="001B7D5F">
              <w:rPr>
                <w:rFonts w:ascii="Calibri" w:hAnsi="Calibri"/>
                <w:b/>
                <w:color w:val="auto"/>
              </w:rPr>
              <w:tab/>
            </w:r>
          </w:p>
          <w:p w14:paraId="5B894E89" w14:textId="77777777" w:rsidR="00290AC5" w:rsidRPr="001B7D5F" w:rsidRDefault="00290AC5" w:rsidP="00A70546">
            <w:pPr>
              <w:pStyle w:val="SingleParagraph"/>
              <w:jc w:val="left"/>
              <w:rPr>
                <w:rStyle w:val="Bold"/>
                <w:rFonts w:ascii="Calibri" w:hAnsi="Calibri"/>
                <w:color w:val="auto"/>
                <w:lang w:val="en-GB"/>
              </w:rPr>
            </w:pPr>
            <w:r w:rsidRPr="001B7D5F">
              <w:rPr>
                <w:rStyle w:val="Bold"/>
                <w:rFonts w:ascii="Calibri" w:hAnsi="Calibri"/>
                <w:color w:val="auto"/>
              </w:rPr>
              <w:t>Ms Rachel Stephen-Smith MLA</w:t>
            </w:r>
          </w:p>
          <w:p w14:paraId="3D96CEB0" w14:textId="77777777" w:rsidR="00290AC5" w:rsidRPr="001B7D5F" w:rsidRDefault="00290AC5" w:rsidP="00A70546">
            <w:pPr>
              <w:pStyle w:val="Position"/>
              <w:jc w:val="left"/>
              <w:rPr>
                <w:rFonts w:ascii="Calibri" w:hAnsi="Calibri"/>
                <w:b/>
                <w:bCs/>
                <w:color w:val="auto"/>
                <w:lang w:val="en-GB"/>
              </w:rPr>
            </w:pPr>
            <w:r w:rsidRPr="001B7D5F">
              <w:rPr>
                <w:rFonts w:ascii="Calibri" w:hAnsi="Calibri"/>
                <w:b/>
                <w:color w:val="auto"/>
                <w:lang w:val="en-GB"/>
              </w:rPr>
              <w:t>Minister for Health of the Australian Capital Territory</w:t>
            </w:r>
          </w:p>
          <w:p w14:paraId="3F1731F8" w14:textId="5D840583" w:rsidR="00290AC5" w:rsidRPr="001B7D5F" w:rsidRDefault="00290AC5" w:rsidP="00A70546">
            <w:pPr>
              <w:pStyle w:val="SingleParagraph"/>
              <w:tabs>
                <w:tab w:val="num" w:pos="1134"/>
              </w:tabs>
              <w:spacing w:after="240"/>
              <w:ind w:left="1134" w:hanging="567"/>
              <w:jc w:val="left"/>
              <w:rPr>
                <w:rFonts w:ascii="Calibri" w:hAnsi="Calibri"/>
                <w:b/>
                <w:color w:val="auto"/>
                <w:lang w:val="en-GB"/>
              </w:rPr>
            </w:pPr>
            <w:r w:rsidRPr="001B7D5F">
              <w:rPr>
                <w:rFonts w:ascii="Calibri" w:hAnsi="Calibri"/>
                <w:b/>
                <w:color w:val="auto"/>
                <w:lang w:val="en-GB"/>
              </w:rPr>
              <w:t>Date</w:t>
            </w:r>
          </w:p>
        </w:tc>
      </w:tr>
      <w:tr w:rsidR="00290AC5" w:rsidRPr="001B7D5F" w14:paraId="01623B05" w14:textId="77777777" w:rsidTr="00BD1E43">
        <w:tc>
          <w:tcPr>
            <w:tcW w:w="4677" w:type="dxa"/>
          </w:tcPr>
          <w:p w14:paraId="2E439A95" w14:textId="33BD27D8" w:rsidR="00290AC5" w:rsidRPr="001B7D5F" w:rsidRDefault="00290AC5" w:rsidP="00A70546">
            <w:pPr>
              <w:pStyle w:val="SingleParagraph"/>
              <w:tabs>
                <w:tab w:val="num" w:pos="1134"/>
              </w:tabs>
              <w:spacing w:after="240"/>
              <w:jc w:val="left"/>
              <w:rPr>
                <w:rFonts w:ascii="Calibri" w:hAnsi="Calibri"/>
                <w:b/>
                <w:i/>
                <w:iCs/>
                <w:color w:val="auto"/>
                <w:lang w:val="en-GB"/>
              </w:rPr>
            </w:pPr>
          </w:p>
        </w:tc>
        <w:tc>
          <w:tcPr>
            <w:tcW w:w="284" w:type="dxa"/>
          </w:tcPr>
          <w:p w14:paraId="728E225D" w14:textId="77777777" w:rsidR="00290AC5" w:rsidRPr="001B7D5F" w:rsidRDefault="00290AC5" w:rsidP="00A70546">
            <w:pPr>
              <w:rPr>
                <w:rFonts w:ascii="Calibri" w:hAnsi="Calibri"/>
                <w:b/>
                <w:color w:val="auto"/>
                <w:lang w:val="en-GB"/>
              </w:rPr>
            </w:pPr>
          </w:p>
        </w:tc>
        <w:tc>
          <w:tcPr>
            <w:tcW w:w="4536" w:type="dxa"/>
          </w:tcPr>
          <w:p w14:paraId="105AAB17" w14:textId="14D2F59A" w:rsidR="00290AC5" w:rsidRPr="001B7D5F" w:rsidRDefault="00290AC5" w:rsidP="00A70546">
            <w:pPr>
              <w:pStyle w:val="SingleParagraph"/>
              <w:tabs>
                <w:tab w:val="num" w:pos="1134"/>
              </w:tabs>
              <w:spacing w:after="240"/>
              <w:ind w:left="1168" w:hanging="567"/>
              <w:jc w:val="left"/>
              <w:rPr>
                <w:rFonts w:ascii="Calibri" w:hAnsi="Calibri"/>
                <w:b/>
                <w:color w:val="auto"/>
                <w:lang w:val="en-GB"/>
              </w:rPr>
            </w:pPr>
          </w:p>
        </w:tc>
      </w:tr>
    </w:tbl>
    <w:p w14:paraId="344C965F" w14:textId="77777777" w:rsidR="00794A6F" w:rsidRPr="001B7D5F" w:rsidRDefault="7C3D8554" w:rsidP="00A70546">
      <w:pPr>
        <w:pStyle w:val="Heading2"/>
        <w:rPr>
          <w:color w:val="000000" w:themeColor="text1"/>
          <w:sz w:val="24"/>
          <w:szCs w:val="24"/>
        </w:rPr>
      </w:pPr>
      <w:bookmarkStart w:id="96" w:name="_Toc1962429325"/>
      <w:bookmarkStart w:id="97" w:name="_Toc1737211741"/>
      <w:r w:rsidRPr="001B7D5F">
        <w:t>Schedules:</w:t>
      </w:r>
      <w:bookmarkEnd w:id="96"/>
      <w:bookmarkEnd w:id="97"/>
    </w:p>
    <w:p w14:paraId="7931983E" w14:textId="37A6F6AA" w:rsidR="00794A6F" w:rsidRPr="001B7D5F" w:rsidRDefault="00DD3ADF" w:rsidP="00A70546">
      <w:pPr>
        <w:pStyle w:val="BodyText"/>
        <w:numPr>
          <w:ilvl w:val="0"/>
          <w:numId w:val="4"/>
        </w:numPr>
      </w:pPr>
      <w:r w:rsidRPr="001B7D5F">
        <w:t>Service Descriptions</w:t>
      </w:r>
    </w:p>
    <w:p w14:paraId="2E46210E" w14:textId="0404136C" w:rsidR="00500BE7" w:rsidRPr="001B7D5F" w:rsidRDefault="00DD3ADF" w:rsidP="00A70546">
      <w:pPr>
        <w:pStyle w:val="BodyText"/>
        <w:numPr>
          <w:ilvl w:val="0"/>
          <w:numId w:val="4"/>
        </w:numPr>
      </w:pPr>
      <w:r w:rsidRPr="001B7D5F">
        <w:t>Oversight Committee Terms of Reference</w:t>
      </w:r>
    </w:p>
    <w:p w14:paraId="7EAA8BA4" w14:textId="2C1A7914" w:rsidR="00794A6F" w:rsidRPr="001B7D5F" w:rsidRDefault="00DD3ADF" w:rsidP="00A70546">
      <w:pPr>
        <w:pStyle w:val="BodyText"/>
        <w:numPr>
          <w:ilvl w:val="0"/>
          <w:numId w:val="4"/>
        </w:numPr>
      </w:pPr>
      <w:r w:rsidRPr="001B7D5F">
        <w:t>Financial Arrangements</w:t>
      </w:r>
    </w:p>
    <w:p w14:paraId="5207E5A0" w14:textId="1FF6E5EC" w:rsidR="00794A6F" w:rsidRPr="00FE6209" w:rsidRDefault="00DD3ADF" w:rsidP="00A70546">
      <w:pPr>
        <w:pStyle w:val="BodyText"/>
        <w:numPr>
          <w:ilvl w:val="0"/>
          <w:numId w:val="4"/>
        </w:numPr>
      </w:pPr>
      <w:r w:rsidRPr="001B7D5F">
        <w:t>Process for the Design and Implementation of New Initiatives</w:t>
      </w:r>
    </w:p>
    <w:p w14:paraId="56D2AA66" w14:textId="2050A367" w:rsidR="00441244" w:rsidRPr="001B7D5F" w:rsidRDefault="0BBF5BB4" w:rsidP="00FE6209">
      <w:pPr>
        <w:pStyle w:val="Heading2"/>
        <w:pageBreakBefore/>
      </w:pPr>
      <w:bookmarkStart w:id="98" w:name="_Toc1882853295"/>
      <w:bookmarkStart w:id="99" w:name="_Toc364368214"/>
      <w:r w:rsidRPr="001B7D5F">
        <w:lastRenderedPageBreak/>
        <w:t xml:space="preserve">Schedule </w:t>
      </w:r>
      <w:r w:rsidR="53E55C0C" w:rsidRPr="001B7D5F">
        <w:t>A</w:t>
      </w:r>
      <w:r w:rsidRPr="001B7D5F">
        <w:t xml:space="preserve"> – Service Descriptions</w:t>
      </w:r>
      <w:bookmarkEnd w:id="98"/>
      <w:bookmarkEnd w:id="99"/>
    </w:p>
    <w:p w14:paraId="50995938" w14:textId="05283A7F" w:rsidR="0060321E" w:rsidRPr="001B7D5F" w:rsidRDefault="0060321E" w:rsidP="00A70546">
      <w:pPr>
        <w:pStyle w:val="BodyText"/>
      </w:pPr>
      <w:r w:rsidRPr="001B7D5F">
        <w:t>*</w:t>
      </w:r>
      <w:r w:rsidR="00D1312A" w:rsidRPr="001B7D5F">
        <w:t xml:space="preserve"> </w:t>
      </w:r>
      <w:r w:rsidRPr="001B7D5F">
        <w:t>IGA funded</w:t>
      </w:r>
    </w:p>
    <w:p w14:paraId="7420B565" w14:textId="3373EDA4" w:rsidR="0060321E" w:rsidRPr="001B7D5F" w:rsidRDefault="0060321E" w:rsidP="00A70546">
      <w:pPr>
        <w:pStyle w:val="BodyText"/>
      </w:pPr>
      <w:r w:rsidRPr="001B7D5F">
        <w:t>**</w:t>
      </w:r>
      <w:r w:rsidR="00D1312A" w:rsidRPr="001B7D5F">
        <w:t xml:space="preserve"> </w:t>
      </w:r>
      <w:r w:rsidRPr="001B7D5F">
        <w:t>Non-IGA funded</w:t>
      </w:r>
    </w:p>
    <w:p w14:paraId="61985198" w14:textId="76759484" w:rsidR="00CD0267" w:rsidRPr="001B7D5F" w:rsidRDefault="16AA7239" w:rsidP="00A70546">
      <w:pPr>
        <w:pStyle w:val="Heading3"/>
      </w:pPr>
      <w:bookmarkStart w:id="100" w:name="_Toc1392078369"/>
      <w:bookmarkStart w:id="101" w:name="_Toc454058417"/>
      <w:r w:rsidRPr="001B7D5F">
        <w:t>Foundation Services</w:t>
      </w:r>
      <w:bookmarkEnd w:id="100"/>
      <w:bookmarkEnd w:id="101"/>
    </w:p>
    <w:p w14:paraId="7DB97FBD" w14:textId="17E40D8A" w:rsidR="00CD0267" w:rsidRPr="001B7D5F" w:rsidRDefault="00CD0267" w:rsidP="00A70546">
      <w:pPr>
        <w:pStyle w:val="BodyText"/>
        <w:rPr>
          <w:rFonts w:cstheme="minorHAnsi"/>
          <w:i/>
          <w:iCs/>
        </w:rPr>
      </w:pPr>
      <w:r w:rsidRPr="006F2B87">
        <w:rPr>
          <w:rFonts w:cstheme="minorHAnsi"/>
          <w:i/>
          <w:iCs/>
        </w:rPr>
        <w:t>Healthcare Identifiers Service</w:t>
      </w:r>
      <w:r w:rsidRPr="001B7D5F">
        <w:rPr>
          <w:rFonts w:cstheme="minorHAnsi"/>
          <w:i/>
          <w:iCs/>
        </w:rPr>
        <w:t xml:space="preserve"> </w:t>
      </w:r>
      <w:r w:rsidR="0060321E" w:rsidRPr="001B7D5F">
        <w:rPr>
          <w:rFonts w:cstheme="minorHAnsi"/>
          <w:i/>
          <w:iCs/>
        </w:rPr>
        <w:t>*</w:t>
      </w:r>
    </w:p>
    <w:p w14:paraId="50667689" w14:textId="778FCB9C" w:rsidR="00CD0267" w:rsidRPr="001B7D5F" w:rsidRDefault="00CD0267" w:rsidP="00A70546">
      <w:pPr>
        <w:pStyle w:val="BodyText"/>
        <w:ind w:left="360"/>
      </w:pPr>
      <w:r w:rsidRPr="001B7D5F">
        <w:t xml:space="preserve">The </w:t>
      </w:r>
      <w:r w:rsidR="00D1312A" w:rsidRPr="001B7D5F">
        <w:t>HI</w:t>
      </w:r>
      <w:r w:rsidR="00783523" w:rsidRPr="001B7D5F">
        <w:t xml:space="preserve"> </w:t>
      </w:r>
      <w:r w:rsidRPr="001B7D5F">
        <w:t>Service is a national system that assigns a unique 16-digit number to people, healthcare providers and healthcare organisations.</w:t>
      </w:r>
      <w:r w:rsidR="00783523" w:rsidRPr="001B7D5F">
        <w:t xml:space="preserve"> </w:t>
      </w:r>
      <w:r w:rsidRPr="001B7D5F">
        <w:t>This</w:t>
      </w:r>
      <w:r w:rsidR="00783523" w:rsidRPr="001B7D5F">
        <w:t xml:space="preserve"> </w:t>
      </w:r>
      <w:r w:rsidRPr="001B7D5F">
        <w:t xml:space="preserve">allows electronic systems across the national healthcare system to identify them correctly, and associate information with the right patient and provider at the point of care. </w:t>
      </w:r>
    </w:p>
    <w:p w14:paraId="52363C00" w14:textId="77777777" w:rsidR="00965672" w:rsidRPr="001B7D5F" w:rsidRDefault="00CD0267" w:rsidP="00A70546">
      <w:pPr>
        <w:pStyle w:val="BodyText"/>
        <w:ind w:left="360"/>
      </w:pPr>
      <w:r w:rsidRPr="001B7D5F">
        <w:t xml:space="preserve">The </w:t>
      </w:r>
      <w:r w:rsidRPr="001B7D5F">
        <w:rPr>
          <w:i/>
          <w:iCs/>
        </w:rPr>
        <w:t>Healthcare Identifiers Act 2010</w:t>
      </w:r>
      <w:r w:rsidRPr="001B7D5F">
        <w:t xml:space="preserve"> and the Healthcare Identifiers Regulations 2020 set the framework and rules for the HI Service.</w:t>
      </w:r>
    </w:p>
    <w:p w14:paraId="4E445C79" w14:textId="484C4853" w:rsidR="005D2C4F" w:rsidRPr="001B7D5F" w:rsidRDefault="005D2C4F" w:rsidP="00A70546">
      <w:pPr>
        <w:pStyle w:val="BodyText"/>
        <w:rPr>
          <w:rFonts w:cstheme="minorHAnsi"/>
          <w:i/>
          <w:iCs/>
        </w:rPr>
      </w:pPr>
      <w:r w:rsidRPr="001B7D5F">
        <w:rPr>
          <w:rFonts w:cstheme="minorHAnsi"/>
          <w:i/>
          <w:iCs/>
        </w:rPr>
        <w:t>My Health Record</w:t>
      </w:r>
      <w:r w:rsidR="0060321E" w:rsidRPr="001B7D5F">
        <w:rPr>
          <w:rFonts w:cstheme="minorHAnsi"/>
          <w:i/>
          <w:iCs/>
        </w:rPr>
        <w:t xml:space="preserve"> **</w:t>
      </w:r>
    </w:p>
    <w:p w14:paraId="7CFF657F" w14:textId="77777777" w:rsidR="00A63849" w:rsidRPr="001B7D5F" w:rsidRDefault="00A63849" w:rsidP="00A70546">
      <w:pPr>
        <w:pStyle w:val="BodyText"/>
        <w:ind w:left="360"/>
      </w:pPr>
      <w:r w:rsidRPr="001B7D5F">
        <w:t xml:space="preserve">The MHR is a national service that provides a secure digital record of an individual’s healthcare information. It is available to anyone in Australia who has Medicare or an individual healthcare identifier.  </w:t>
      </w:r>
    </w:p>
    <w:p w14:paraId="6CE5A375" w14:textId="77777777" w:rsidR="00A63849" w:rsidRPr="001B7D5F" w:rsidRDefault="00A63849" w:rsidP="00A70546">
      <w:pPr>
        <w:pStyle w:val="BodyText"/>
        <w:ind w:left="360"/>
      </w:pPr>
      <w:r w:rsidRPr="001B7D5F">
        <w:t xml:space="preserve">Healthcare providers can upload clinical documents to an individual’s MHR, such as pathology and diagnostic imaging reports, immunisations, discharge summaries, referrals and test or scan results. Individuals can also add their own information including allergies, medication details and advance care plans. </w:t>
      </w:r>
    </w:p>
    <w:p w14:paraId="40BCB61E" w14:textId="744096FA" w:rsidR="00A63849" w:rsidRPr="001B7D5F" w:rsidRDefault="00D1312A" w:rsidP="00A70546">
      <w:pPr>
        <w:pStyle w:val="BodyText"/>
        <w:ind w:left="360"/>
      </w:pPr>
      <w:r w:rsidRPr="001B7D5F">
        <w:t xml:space="preserve">The </w:t>
      </w:r>
      <w:r w:rsidR="00A63849" w:rsidRPr="001B7D5F">
        <w:t xml:space="preserve">MHR allows an individual’s health information to be shared with healthcare providers. However, individuals can manage and control who has access to their MHR and see what has been accessed. </w:t>
      </w:r>
    </w:p>
    <w:p w14:paraId="22A3650E" w14:textId="77777777" w:rsidR="00A63849" w:rsidRPr="001B7D5F" w:rsidRDefault="00A63849" w:rsidP="00A70546">
      <w:pPr>
        <w:pStyle w:val="BodyText"/>
        <w:ind w:left="360"/>
      </w:pPr>
      <w:r w:rsidRPr="001B7D5F">
        <w:t xml:space="preserve">The Australian Digital Health Agency is the System Operator of MHR. The </w:t>
      </w:r>
      <w:r w:rsidRPr="001B7D5F">
        <w:rPr>
          <w:i/>
          <w:iCs/>
        </w:rPr>
        <w:t>My Health Records Act 2012</w:t>
      </w:r>
      <w:r w:rsidRPr="001B7D5F">
        <w:t>, My Health Records Rule 2016 and My Health Records Regulation 2012 create the legislative framework for the MHR system.</w:t>
      </w:r>
    </w:p>
    <w:p w14:paraId="507F55D1" w14:textId="317F7909" w:rsidR="00CD0267" w:rsidRPr="001B7D5F" w:rsidRDefault="00CD0267" w:rsidP="00A70546">
      <w:pPr>
        <w:pStyle w:val="BodyText"/>
        <w:rPr>
          <w:rFonts w:cstheme="minorHAnsi"/>
          <w:i/>
          <w:iCs/>
        </w:rPr>
      </w:pPr>
      <w:r w:rsidRPr="001B7D5F">
        <w:rPr>
          <w:rFonts w:cstheme="minorHAnsi"/>
          <w:i/>
          <w:iCs/>
        </w:rPr>
        <w:t xml:space="preserve">National Authentication Service for Health </w:t>
      </w:r>
      <w:r w:rsidR="0060321E" w:rsidRPr="001B7D5F">
        <w:rPr>
          <w:rFonts w:cstheme="minorHAnsi"/>
          <w:i/>
          <w:iCs/>
        </w:rPr>
        <w:t>*</w:t>
      </w:r>
    </w:p>
    <w:p w14:paraId="400C0905" w14:textId="59E69781" w:rsidR="00CD0267" w:rsidRPr="001B7D5F" w:rsidRDefault="00783523" w:rsidP="00A70546">
      <w:pPr>
        <w:pStyle w:val="BodyText"/>
        <w:ind w:left="360"/>
      </w:pPr>
      <w:r w:rsidRPr="001B7D5F">
        <w:t xml:space="preserve">The </w:t>
      </w:r>
      <w:r w:rsidR="00CD0267" w:rsidRPr="001B7D5F">
        <w:t>NASH makes it possible for healthcare providers and supporting organisations to securely access and exchange health information.</w:t>
      </w:r>
    </w:p>
    <w:p w14:paraId="28C2D358" w14:textId="77777777" w:rsidR="00CD0267" w:rsidRPr="001B7D5F" w:rsidRDefault="00CD0267" w:rsidP="00A70546">
      <w:pPr>
        <w:pStyle w:val="BodyText"/>
        <w:ind w:left="360"/>
      </w:pPr>
      <w:r w:rsidRPr="001B7D5F">
        <w:t>NASH provides Public Key Infrastructure (PKI) certificates that help healthcare organisations and individuals to:</w:t>
      </w:r>
    </w:p>
    <w:p w14:paraId="5532983B" w14:textId="77777777" w:rsidR="00CD0267" w:rsidRPr="001B7D5F" w:rsidRDefault="00CD0267" w:rsidP="00A70546">
      <w:pPr>
        <w:pStyle w:val="BodyText"/>
        <w:numPr>
          <w:ilvl w:val="0"/>
          <w:numId w:val="24"/>
        </w:numPr>
      </w:pPr>
      <w:r w:rsidRPr="001B7D5F">
        <w:t>access the My Health Record system</w:t>
      </w:r>
    </w:p>
    <w:p w14:paraId="1106F14B" w14:textId="4F4BB157" w:rsidR="00CD0267" w:rsidRPr="001B7D5F" w:rsidRDefault="00CD0267" w:rsidP="00A70546">
      <w:pPr>
        <w:pStyle w:val="BodyText"/>
        <w:numPr>
          <w:ilvl w:val="0"/>
          <w:numId w:val="24"/>
        </w:numPr>
      </w:pPr>
      <w:r w:rsidRPr="001B7D5F">
        <w:t>access the Healthcare Identifiers Service</w:t>
      </w:r>
    </w:p>
    <w:p w14:paraId="52638643" w14:textId="5F9C632C" w:rsidR="00CD0267" w:rsidRPr="001B7D5F" w:rsidRDefault="00CD0267" w:rsidP="00A70546">
      <w:pPr>
        <w:pStyle w:val="BodyText"/>
        <w:numPr>
          <w:ilvl w:val="0"/>
          <w:numId w:val="24"/>
        </w:numPr>
      </w:pPr>
      <w:r w:rsidRPr="001B7D5F">
        <w:t>share health information using software that meets</w:t>
      </w:r>
      <w:r w:rsidR="00B444FF" w:rsidRPr="001B7D5F">
        <w:t xml:space="preserve"> National</w:t>
      </w:r>
      <w:r w:rsidRPr="001B7D5F">
        <w:t xml:space="preserve"> </w:t>
      </w:r>
      <w:r w:rsidR="00B444FF" w:rsidRPr="001B7D5F">
        <w:t>S</w:t>
      </w:r>
      <w:r w:rsidRPr="001B7D5F">
        <w:t xml:space="preserve">ecure </w:t>
      </w:r>
      <w:r w:rsidR="00B444FF" w:rsidRPr="001B7D5F">
        <w:t>M</w:t>
      </w:r>
      <w:r w:rsidRPr="001B7D5F">
        <w:t xml:space="preserve">essaging </w:t>
      </w:r>
      <w:r w:rsidR="00B444FF" w:rsidRPr="001B7D5F">
        <w:t xml:space="preserve">Networking </w:t>
      </w:r>
      <w:r w:rsidRPr="001B7D5F">
        <w:t>or electronic prescribing requirements</w:t>
      </w:r>
    </w:p>
    <w:p w14:paraId="12432849" w14:textId="14662358" w:rsidR="00741546" w:rsidRPr="00FE6209" w:rsidRDefault="00CD0267" w:rsidP="00A70546">
      <w:pPr>
        <w:pStyle w:val="BodyText"/>
        <w:numPr>
          <w:ilvl w:val="0"/>
          <w:numId w:val="24"/>
        </w:numPr>
      </w:pPr>
      <w:r w:rsidRPr="001B7D5F">
        <w:t>access the NASH directory on the Certificates Australia website</w:t>
      </w:r>
    </w:p>
    <w:p w14:paraId="7F25FFA9" w14:textId="3D1964F7" w:rsidR="00CD0267" w:rsidRPr="001B7D5F" w:rsidRDefault="00CD0267" w:rsidP="00FE6209">
      <w:pPr>
        <w:pStyle w:val="BodyText"/>
        <w:pageBreakBefore/>
        <w:rPr>
          <w:rFonts w:cstheme="minorHAnsi"/>
          <w:i/>
          <w:iCs/>
        </w:rPr>
      </w:pPr>
      <w:r w:rsidRPr="001B7D5F">
        <w:rPr>
          <w:rFonts w:cstheme="minorHAnsi"/>
          <w:i/>
          <w:iCs/>
        </w:rPr>
        <w:lastRenderedPageBreak/>
        <w:t xml:space="preserve">National Clinical Terminology Service </w:t>
      </w:r>
      <w:r w:rsidR="0060321E" w:rsidRPr="001B7D5F">
        <w:rPr>
          <w:rFonts w:cstheme="minorHAnsi"/>
          <w:i/>
          <w:iCs/>
        </w:rPr>
        <w:t>*</w:t>
      </w:r>
    </w:p>
    <w:p w14:paraId="6FCDEF54" w14:textId="3C62E1D5" w:rsidR="00CD0267" w:rsidRPr="001B7D5F" w:rsidRDefault="00CD0267" w:rsidP="00A70546">
      <w:pPr>
        <w:pStyle w:val="BodyText"/>
        <w:ind w:left="360"/>
      </w:pPr>
      <w:r w:rsidRPr="001B7D5F">
        <w:t xml:space="preserve">The NCTS aims to support easier, consistent and more meaningful use of clinical terminologies in healthcare. It is responsible for managing, developing and distributing national clinical terminologies and related tools and services to the Australian healthcare community to support their adoption, use and maintenance of terminology. </w:t>
      </w:r>
    </w:p>
    <w:p w14:paraId="37A48D50" w14:textId="7118589F" w:rsidR="005C4E96" w:rsidRPr="001B7D5F" w:rsidRDefault="00A001D7" w:rsidP="00A70546">
      <w:pPr>
        <w:pStyle w:val="BodyText"/>
        <w:rPr>
          <w:rFonts w:cstheme="minorHAnsi"/>
          <w:i/>
          <w:iCs/>
        </w:rPr>
      </w:pPr>
      <w:r w:rsidRPr="001B7D5F">
        <w:rPr>
          <w:rFonts w:cstheme="minorHAnsi"/>
          <w:i/>
          <w:iCs/>
        </w:rPr>
        <w:t>National Healthcare Interoperability Plan</w:t>
      </w:r>
      <w:r w:rsidR="0060321E" w:rsidRPr="001B7D5F">
        <w:rPr>
          <w:rFonts w:cstheme="minorHAnsi"/>
          <w:i/>
          <w:iCs/>
        </w:rPr>
        <w:t xml:space="preserve"> *</w:t>
      </w:r>
    </w:p>
    <w:p w14:paraId="01702C2A" w14:textId="3D908861" w:rsidR="005C4E96" w:rsidRPr="001B7D5F" w:rsidRDefault="005C4E96" w:rsidP="00A70546">
      <w:pPr>
        <w:pStyle w:val="BodyText"/>
        <w:ind w:left="360"/>
      </w:pPr>
      <w:r w:rsidRPr="001B7D5F">
        <w:t>Implementation of the National Healthcare Interoperability Plan (Interoperability Plan) w</w:t>
      </w:r>
      <w:r w:rsidR="00D1312A" w:rsidRPr="001B7D5F">
        <w:t>ill</w:t>
      </w:r>
      <w:r w:rsidRPr="001B7D5F">
        <w:t xml:space="preserve"> map a pathway to a more interoperable Australian health system and support implementation of digitally enabled models of care.</w:t>
      </w:r>
    </w:p>
    <w:p w14:paraId="19710A73" w14:textId="1EE91501" w:rsidR="005D2C4F" w:rsidRPr="001B7D5F" w:rsidRDefault="005D2C4F" w:rsidP="00A70546">
      <w:pPr>
        <w:pStyle w:val="BodyText"/>
        <w:rPr>
          <w:i/>
          <w:iCs/>
        </w:rPr>
      </w:pPr>
      <w:r w:rsidRPr="001B7D5F">
        <w:rPr>
          <w:i/>
          <w:iCs/>
        </w:rPr>
        <w:t>National Health Service</w:t>
      </w:r>
      <w:r w:rsidR="00965672" w:rsidRPr="001B7D5F">
        <w:rPr>
          <w:i/>
          <w:iCs/>
        </w:rPr>
        <w:t>s</w:t>
      </w:r>
      <w:r w:rsidRPr="001B7D5F">
        <w:rPr>
          <w:i/>
          <w:iCs/>
        </w:rPr>
        <w:t xml:space="preserve"> Directory</w:t>
      </w:r>
      <w:r w:rsidR="0060321E" w:rsidRPr="001B7D5F">
        <w:rPr>
          <w:i/>
          <w:iCs/>
        </w:rPr>
        <w:t xml:space="preserve"> **</w:t>
      </w:r>
    </w:p>
    <w:p w14:paraId="67B15C6B" w14:textId="77777777" w:rsidR="00A63849" w:rsidRPr="001B7D5F" w:rsidRDefault="00A63849" w:rsidP="00A70546">
      <w:pPr>
        <w:pStyle w:val="BodyText"/>
        <w:ind w:left="360"/>
      </w:pPr>
      <w:bookmarkStart w:id="102" w:name="_Hlk126583003"/>
      <w:r w:rsidRPr="001B7D5F">
        <w:t xml:space="preserve">Launched in 2012, the NHSD is a comprehensive national directory of health services and the practitioners who provide them. It aggregates large data sets from across the health sector to provide complete, accurate, and up-to-date information about health services. This data is accessible through application programming interfaces and widgets embedded into the systems and websites of health organisations. </w:t>
      </w:r>
    </w:p>
    <w:p w14:paraId="7A1901BE" w14:textId="1740796A" w:rsidR="005D2C4F" w:rsidRPr="001B7D5F" w:rsidRDefault="00A63849" w:rsidP="00A70546">
      <w:pPr>
        <w:pStyle w:val="BodyText"/>
        <w:ind w:left="360"/>
      </w:pPr>
      <w:r w:rsidRPr="001B7D5F">
        <w:t>The NHSD was established by an Australian Health Ministers’ Advisory Council agreement. It is jointly funded by departments of health within state and federal governments and managed by Healthdirect Australia.</w:t>
      </w:r>
    </w:p>
    <w:bookmarkEnd w:id="102"/>
    <w:p w14:paraId="53013F54" w14:textId="5FAC6C71" w:rsidR="00A001D7" w:rsidRPr="001B7D5F" w:rsidRDefault="005C4E96" w:rsidP="00A70546">
      <w:pPr>
        <w:pStyle w:val="BodyText"/>
        <w:rPr>
          <w:rFonts w:cstheme="minorHAnsi"/>
          <w:i/>
          <w:iCs/>
        </w:rPr>
      </w:pPr>
      <w:r w:rsidRPr="001B7D5F">
        <w:rPr>
          <w:rFonts w:cstheme="minorHAnsi"/>
          <w:i/>
          <w:iCs/>
        </w:rPr>
        <w:t>New standard related services</w:t>
      </w:r>
      <w:r w:rsidR="0060321E" w:rsidRPr="001B7D5F">
        <w:rPr>
          <w:rFonts w:cstheme="minorHAnsi"/>
          <w:i/>
          <w:iCs/>
        </w:rPr>
        <w:t xml:space="preserve"> *</w:t>
      </w:r>
    </w:p>
    <w:p w14:paraId="77D4AF74" w14:textId="4844FEA6" w:rsidR="00A001D7" w:rsidRPr="001B7D5F" w:rsidRDefault="005C4E96" w:rsidP="00A70546">
      <w:pPr>
        <w:pStyle w:val="BodyText"/>
        <w:ind w:left="360"/>
      </w:pPr>
      <w:r w:rsidRPr="001B7D5F">
        <w:t>These services are related to the National Healthcare Interoperability Plan and data standards related services.</w:t>
      </w:r>
    </w:p>
    <w:p w14:paraId="7DE90AD0" w14:textId="5069F98C" w:rsidR="00965672" w:rsidRPr="001B7D5F" w:rsidRDefault="008F00C5" w:rsidP="00A70546">
      <w:pPr>
        <w:pStyle w:val="BodyText"/>
        <w:rPr>
          <w:rFonts w:cstheme="minorHAnsi"/>
          <w:i/>
          <w:iCs/>
        </w:rPr>
      </w:pPr>
      <w:r w:rsidRPr="001B7D5F">
        <w:rPr>
          <w:rFonts w:cstheme="minorHAnsi"/>
          <w:i/>
          <w:iCs/>
        </w:rPr>
        <w:t>Standards and informatics</w:t>
      </w:r>
      <w:r w:rsidR="0060321E" w:rsidRPr="001B7D5F">
        <w:rPr>
          <w:rFonts w:cstheme="minorHAnsi"/>
          <w:i/>
          <w:iCs/>
        </w:rPr>
        <w:t xml:space="preserve"> *</w:t>
      </w:r>
    </w:p>
    <w:p w14:paraId="5EA09607" w14:textId="700AB580" w:rsidR="008F00C5" w:rsidRPr="001B7D5F" w:rsidRDefault="008F00C5" w:rsidP="00A70546">
      <w:pPr>
        <w:pStyle w:val="BodyText"/>
        <w:ind w:left="360"/>
      </w:pPr>
      <w:r w:rsidRPr="001B7D5F">
        <w:t>Th</w:t>
      </w:r>
      <w:r w:rsidR="00D1312A" w:rsidRPr="001B7D5F">
        <w:t>is refers to the</w:t>
      </w:r>
      <w:r w:rsidRPr="001B7D5F">
        <w:t xml:space="preserve"> Australian Digital Health Agency’s work on standards and informatics for key products and</w:t>
      </w:r>
      <w:r w:rsidR="000F7866" w:rsidRPr="001B7D5F">
        <w:t xml:space="preserve"> </w:t>
      </w:r>
      <w:r w:rsidRPr="001B7D5F">
        <w:t xml:space="preserve">services to support interoperability, connectivity and solutions for information exchange. </w:t>
      </w:r>
    </w:p>
    <w:p w14:paraId="0A4B0CC7" w14:textId="68F1729E" w:rsidR="00BA1B64" w:rsidRPr="001B7D5F" w:rsidRDefault="17F83B0E" w:rsidP="00A70546">
      <w:pPr>
        <w:pStyle w:val="Heading3"/>
      </w:pPr>
      <w:bookmarkStart w:id="103" w:name="_Toc1099010175"/>
      <w:bookmarkStart w:id="104" w:name="_Toc397782672"/>
      <w:r w:rsidRPr="001B7D5F">
        <w:t>National Services</w:t>
      </w:r>
      <w:bookmarkEnd w:id="103"/>
      <w:bookmarkEnd w:id="104"/>
    </w:p>
    <w:p w14:paraId="5275CE62" w14:textId="2207744E" w:rsidR="00783523" w:rsidRPr="001B7D5F" w:rsidRDefault="00783523" w:rsidP="00A70546">
      <w:pPr>
        <w:pStyle w:val="BodyText"/>
        <w:rPr>
          <w:rFonts w:cstheme="minorHAnsi"/>
          <w:i/>
          <w:iCs/>
          <w:color w:val="000000"/>
          <w:shd w:val="clear" w:color="auto" w:fill="FFFFFF"/>
        </w:rPr>
      </w:pPr>
      <w:r w:rsidRPr="001B7D5F">
        <w:rPr>
          <w:rFonts w:cstheme="minorHAnsi"/>
          <w:i/>
          <w:iCs/>
          <w:color w:val="000000"/>
          <w:shd w:val="clear" w:color="auto" w:fill="FFFFFF"/>
        </w:rPr>
        <w:t>Healthcare Information Provider Service</w:t>
      </w:r>
      <w:r w:rsidR="0060321E" w:rsidRPr="001B7D5F">
        <w:rPr>
          <w:rFonts w:cstheme="minorHAnsi"/>
          <w:i/>
          <w:iCs/>
          <w:color w:val="000000"/>
          <w:shd w:val="clear" w:color="auto" w:fill="FFFFFF"/>
        </w:rPr>
        <w:t xml:space="preserve"> *</w:t>
      </w:r>
    </w:p>
    <w:p w14:paraId="0C7B5F12" w14:textId="25AD559F" w:rsidR="00783523" w:rsidRPr="001B7D5F" w:rsidRDefault="00783523" w:rsidP="00A70546">
      <w:pPr>
        <w:pStyle w:val="BodyText"/>
        <w:ind w:left="360"/>
      </w:pPr>
      <w:r w:rsidRPr="001B7D5F">
        <w:rPr>
          <w:rFonts w:cstheme="minorHAnsi"/>
          <w:color w:val="000000"/>
          <w:shd w:val="clear" w:color="auto" w:fill="FFFFFF"/>
        </w:rPr>
        <w:t xml:space="preserve">The </w:t>
      </w:r>
      <w:r w:rsidRPr="001B7D5F">
        <w:t>HIPS is a middleware product offering seamless integration with systems including:</w:t>
      </w:r>
    </w:p>
    <w:p w14:paraId="73FAE45E" w14:textId="77777777" w:rsidR="00783523" w:rsidRPr="001B7D5F" w:rsidRDefault="00783523" w:rsidP="00A70546">
      <w:pPr>
        <w:pStyle w:val="BodyText"/>
        <w:numPr>
          <w:ilvl w:val="0"/>
          <w:numId w:val="23"/>
        </w:numPr>
      </w:pPr>
      <w:r w:rsidRPr="001B7D5F">
        <w:t>Patient administration systems</w:t>
      </w:r>
    </w:p>
    <w:p w14:paraId="7B17D824" w14:textId="77777777" w:rsidR="00783523" w:rsidRPr="001B7D5F" w:rsidRDefault="00783523" w:rsidP="00A70546">
      <w:pPr>
        <w:pStyle w:val="BodyText"/>
        <w:numPr>
          <w:ilvl w:val="0"/>
          <w:numId w:val="23"/>
        </w:numPr>
      </w:pPr>
      <w:r w:rsidRPr="001B7D5F">
        <w:t>Clinical information systems</w:t>
      </w:r>
    </w:p>
    <w:p w14:paraId="5CCBCFCB" w14:textId="05BA86BD" w:rsidR="00783523" w:rsidRPr="001B7D5F" w:rsidRDefault="00783523" w:rsidP="00A70546">
      <w:pPr>
        <w:pStyle w:val="BodyText"/>
        <w:numPr>
          <w:ilvl w:val="0"/>
          <w:numId w:val="23"/>
        </w:numPr>
      </w:pPr>
      <w:r w:rsidRPr="001B7D5F">
        <w:t>Laboratory and radiology information systems </w:t>
      </w:r>
    </w:p>
    <w:p w14:paraId="11EF7C2F" w14:textId="5FCFA932" w:rsidR="00783523" w:rsidRPr="001B7D5F" w:rsidRDefault="00783523" w:rsidP="00A70546">
      <w:pPr>
        <w:pStyle w:val="BodyText"/>
        <w:ind w:left="360"/>
        <w:rPr>
          <w:rFonts w:cstheme="minorHAnsi"/>
        </w:rPr>
      </w:pPr>
      <w:r w:rsidRPr="001B7D5F">
        <w:t>It is aimed primarily at supporting large-scale digital health environments typically found in organisations such as hospitals</w:t>
      </w:r>
      <w:r w:rsidRPr="001B7D5F">
        <w:rPr>
          <w:rFonts w:cstheme="minorHAnsi"/>
        </w:rPr>
        <w:t xml:space="preserve"> and diagnostic service providers</w:t>
      </w:r>
      <w:r w:rsidR="00D1312A" w:rsidRPr="001B7D5F">
        <w:rPr>
          <w:rFonts w:cstheme="minorHAnsi"/>
        </w:rPr>
        <w:t>.</w:t>
      </w:r>
    </w:p>
    <w:p w14:paraId="65AF06D9" w14:textId="356D26C0" w:rsidR="006C1D66" w:rsidRPr="001B7D5F" w:rsidRDefault="006C1D66" w:rsidP="00A70546">
      <w:pPr>
        <w:pStyle w:val="BodyText"/>
        <w:rPr>
          <w:rFonts w:cstheme="minorHAnsi"/>
          <w:i/>
          <w:iCs/>
        </w:rPr>
      </w:pPr>
      <w:r w:rsidRPr="001B7D5F">
        <w:rPr>
          <w:rFonts w:cstheme="minorHAnsi"/>
          <w:i/>
          <w:iCs/>
        </w:rPr>
        <w:t xml:space="preserve">National Secure Messaging Network </w:t>
      </w:r>
      <w:r w:rsidR="0060321E" w:rsidRPr="001B7D5F">
        <w:rPr>
          <w:rFonts w:cstheme="minorHAnsi"/>
          <w:i/>
          <w:iCs/>
        </w:rPr>
        <w:t>*</w:t>
      </w:r>
    </w:p>
    <w:p w14:paraId="044F6721" w14:textId="22B3E766" w:rsidR="006C1D66" w:rsidRPr="001B7D5F" w:rsidRDefault="006C1D66" w:rsidP="00A70546">
      <w:pPr>
        <w:pStyle w:val="BodyText"/>
        <w:ind w:left="360"/>
      </w:pPr>
      <w:r w:rsidRPr="001B7D5F">
        <w:t xml:space="preserve">Based on a set of Australian and international standards, the </w:t>
      </w:r>
      <w:r w:rsidR="00712E55" w:rsidRPr="001B7D5F">
        <w:t>NSMN will</w:t>
      </w:r>
      <w:r w:rsidR="00400626" w:rsidRPr="001B7D5F">
        <w:t xml:space="preserve"> </w:t>
      </w:r>
      <w:r w:rsidRPr="001B7D5F">
        <w:t>define a</w:t>
      </w:r>
      <w:r w:rsidR="00400626" w:rsidRPr="001B7D5F">
        <w:t xml:space="preserve"> national standard for </w:t>
      </w:r>
      <w:r w:rsidR="00667815" w:rsidRPr="001B7D5F">
        <w:t>a messaging</w:t>
      </w:r>
      <w:r w:rsidRPr="001B7D5F">
        <w:t xml:space="preserve"> solution that can be implemented by clinical information and secure messaging systems to enable secure, reliable</w:t>
      </w:r>
      <w:r w:rsidR="00D1312A" w:rsidRPr="001B7D5F">
        <w:t xml:space="preserve"> and</w:t>
      </w:r>
      <w:r w:rsidRPr="001B7D5F">
        <w:t xml:space="preserve"> interoperable exchange of </w:t>
      </w:r>
      <w:r w:rsidR="00005517">
        <w:t xml:space="preserve">messages including text-only messages, stand-alone </w:t>
      </w:r>
      <w:r w:rsidRPr="001B7D5F">
        <w:t>clinical documents</w:t>
      </w:r>
      <w:r w:rsidR="00005517">
        <w:t xml:space="preserve"> or messages containing text and clinical documents</w:t>
      </w:r>
      <w:r w:rsidRPr="001B7D5F">
        <w:t xml:space="preserve"> between Australian healthcare providers.</w:t>
      </w:r>
    </w:p>
    <w:p w14:paraId="25CE03D8" w14:textId="1DFF8E4B" w:rsidR="00441244" w:rsidRPr="001B7D5F" w:rsidRDefault="00441244" w:rsidP="00A70546">
      <w:pPr>
        <w:pStyle w:val="BodyText"/>
        <w:rPr>
          <w:rFonts w:cstheme="minorHAnsi"/>
          <w:i/>
          <w:iCs/>
        </w:rPr>
      </w:pPr>
      <w:r w:rsidRPr="001B7D5F">
        <w:rPr>
          <w:rFonts w:cstheme="minorHAnsi"/>
          <w:i/>
          <w:iCs/>
        </w:rPr>
        <w:lastRenderedPageBreak/>
        <w:t xml:space="preserve">Provider Connect Australia </w:t>
      </w:r>
      <w:r w:rsidR="0060321E" w:rsidRPr="001B7D5F">
        <w:rPr>
          <w:rFonts w:cstheme="minorHAnsi"/>
          <w:i/>
          <w:iCs/>
        </w:rPr>
        <w:t>*</w:t>
      </w:r>
    </w:p>
    <w:p w14:paraId="6B764D0F" w14:textId="6B661AE3" w:rsidR="00441244" w:rsidRPr="001B7D5F" w:rsidRDefault="00D1312A" w:rsidP="00A70546">
      <w:pPr>
        <w:pStyle w:val="BodyText"/>
        <w:ind w:left="360"/>
      </w:pPr>
      <w:r w:rsidRPr="001B7D5F">
        <w:t xml:space="preserve">PCA </w:t>
      </w:r>
      <w:r w:rsidR="00441244" w:rsidRPr="001B7D5F">
        <w:t xml:space="preserve">connects healthcare organisations with their business partners (such as Primary Health Networks, Medicare and health services directories) to streamline updates of the services they provide and the practitioners providing them. This eliminates the need to keep multiple directories up to date manually and maintains the accuracy of healthcare service and practitioner contact details. </w:t>
      </w:r>
    </w:p>
    <w:p w14:paraId="34771F40" w14:textId="3AFBC3EB" w:rsidR="00441244" w:rsidRPr="001B7D5F" w:rsidRDefault="00441244" w:rsidP="00A70546">
      <w:pPr>
        <w:pStyle w:val="BodyText"/>
        <w:ind w:left="360"/>
        <w:rPr>
          <w:rFonts w:cstheme="minorHAnsi"/>
        </w:rPr>
      </w:pPr>
      <w:r w:rsidRPr="001B7D5F">
        <w:t>The PCA creates unique identifiers for healthcare services, service delivery locations and practitioners’ service delivery roles, allowing</w:t>
      </w:r>
      <w:r w:rsidRPr="001B7D5F">
        <w:rPr>
          <w:rFonts w:cstheme="minorHAnsi"/>
        </w:rPr>
        <w:t xml:space="preserve"> these to be reliably identified and linked across the healthcare system. </w:t>
      </w:r>
    </w:p>
    <w:p w14:paraId="0346C737" w14:textId="01B1C8A4" w:rsidR="00AF321A" w:rsidRPr="00F12EA2" w:rsidRDefault="00AF321A" w:rsidP="00A70546">
      <w:pPr>
        <w:pStyle w:val="BodyText"/>
        <w:rPr>
          <w:rFonts w:cstheme="minorHAnsi"/>
          <w:i/>
          <w:iCs/>
        </w:rPr>
      </w:pPr>
      <w:r w:rsidRPr="00F12EA2">
        <w:rPr>
          <w:rFonts w:cstheme="minorHAnsi"/>
          <w:i/>
          <w:iCs/>
        </w:rPr>
        <w:t>ePrescribing</w:t>
      </w:r>
      <w:r w:rsidR="001136B8">
        <w:rPr>
          <w:rFonts w:cstheme="minorHAnsi"/>
          <w:i/>
          <w:iCs/>
        </w:rPr>
        <w:t xml:space="preserve"> </w:t>
      </w:r>
      <w:r w:rsidR="00B81060" w:rsidRPr="001B7D5F">
        <w:rPr>
          <w:rFonts w:cstheme="minorHAnsi"/>
          <w:i/>
          <w:iCs/>
        </w:rPr>
        <w:t>*</w:t>
      </w:r>
    </w:p>
    <w:p w14:paraId="64C6C37C" w14:textId="77777777" w:rsidR="009B30DA" w:rsidRPr="00F12EA2" w:rsidRDefault="00FB1E8C" w:rsidP="00A70546">
      <w:pPr>
        <w:pStyle w:val="BodyText"/>
        <w:ind w:left="360"/>
      </w:pPr>
      <w:r w:rsidRPr="00F12EA2">
        <w:t xml:space="preserve">Electronic prescribing allows prescribers and their patients to use an electronic prescription. </w:t>
      </w:r>
      <w:r w:rsidR="009B30DA" w:rsidRPr="00F12EA2">
        <w:t>The national model for e-prescriptions in Australia is comprised of three software components:</w:t>
      </w:r>
    </w:p>
    <w:p w14:paraId="384656F8" w14:textId="77777777" w:rsidR="009B30DA" w:rsidRPr="00F12EA2" w:rsidRDefault="009B30DA" w:rsidP="00A70546">
      <w:pPr>
        <w:pStyle w:val="BodyText"/>
        <w:numPr>
          <w:ilvl w:val="0"/>
          <w:numId w:val="29"/>
        </w:numPr>
      </w:pPr>
      <w:r w:rsidRPr="00F12EA2">
        <w:t>practice software used to generate the prescription;</w:t>
      </w:r>
    </w:p>
    <w:p w14:paraId="7D8349A6" w14:textId="77777777" w:rsidR="009B30DA" w:rsidRPr="00F12EA2" w:rsidRDefault="009B30DA" w:rsidP="00A70546">
      <w:pPr>
        <w:pStyle w:val="BodyText"/>
        <w:numPr>
          <w:ilvl w:val="0"/>
          <w:numId w:val="29"/>
        </w:numPr>
      </w:pPr>
      <w:r w:rsidRPr="00F12EA2">
        <w:t>prescription delivery service (PDS), which incorporates a prescription exchange (PE) and holds the prescription; and</w:t>
      </w:r>
    </w:p>
    <w:p w14:paraId="30AD522D" w14:textId="77777777" w:rsidR="009B30DA" w:rsidRPr="00F12EA2" w:rsidRDefault="009B30DA" w:rsidP="00A70546">
      <w:pPr>
        <w:pStyle w:val="BodyText"/>
        <w:numPr>
          <w:ilvl w:val="0"/>
          <w:numId w:val="29"/>
        </w:numPr>
      </w:pPr>
      <w:r w:rsidRPr="00F12EA2">
        <w:t>pharmacy software that retrieves the e-prescription and is used to dispense the prescription.</w:t>
      </w:r>
    </w:p>
    <w:p w14:paraId="58F6BC2E" w14:textId="5FC62532" w:rsidR="00441244" w:rsidRPr="001B7D5F" w:rsidRDefault="00441244" w:rsidP="00A70546">
      <w:pPr>
        <w:pStyle w:val="BodyText"/>
        <w:rPr>
          <w:rFonts w:cstheme="minorHAnsi"/>
          <w:i/>
          <w:iCs/>
        </w:rPr>
      </w:pPr>
      <w:r w:rsidRPr="001B7D5F">
        <w:rPr>
          <w:rFonts w:cstheme="minorHAnsi"/>
          <w:i/>
          <w:iCs/>
        </w:rPr>
        <w:t xml:space="preserve">Real Time Prescription Monitoring </w:t>
      </w:r>
      <w:r w:rsidR="0060321E" w:rsidRPr="001B7D5F">
        <w:rPr>
          <w:rFonts w:cstheme="minorHAnsi"/>
          <w:i/>
          <w:iCs/>
        </w:rPr>
        <w:t>*</w:t>
      </w:r>
    </w:p>
    <w:p w14:paraId="0C9E1A10" w14:textId="68216AE0" w:rsidR="00441244" w:rsidRPr="001B7D5F" w:rsidRDefault="00441244" w:rsidP="00A70546">
      <w:pPr>
        <w:pStyle w:val="BodyText"/>
        <w:ind w:left="360"/>
      </w:pPr>
      <w:r w:rsidRPr="001B7D5F">
        <w:rPr>
          <w:rFonts w:cstheme="minorHAnsi"/>
        </w:rPr>
        <w:t xml:space="preserve">The </w:t>
      </w:r>
      <w:r w:rsidRPr="001B7D5F">
        <w:t>RTPM</w:t>
      </w:r>
      <w:r w:rsidR="00D1312A" w:rsidRPr="001B7D5F">
        <w:t xml:space="preserve"> </w:t>
      </w:r>
      <w:r w:rsidRPr="001B7D5F">
        <w:t>is a nationally implemented system designed to monitor the prescribing and dispensing of controlled medicines with the aim of reducing their misuse in Australia.</w:t>
      </w:r>
    </w:p>
    <w:p w14:paraId="285A9A20" w14:textId="77777777" w:rsidR="00441244" w:rsidRPr="001B7D5F" w:rsidRDefault="00441244" w:rsidP="00A70546">
      <w:pPr>
        <w:pStyle w:val="BodyText"/>
        <w:ind w:left="360"/>
      </w:pPr>
      <w:r w:rsidRPr="001B7D5F">
        <w:t>The RTPM provides information to doctors (prescribers) and pharmacists (dispensers) about a patient’s history and use of controlled medicines when they are considering prescribing or dispensing these medicines.</w:t>
      </w:r>
    </w:p>
    <w:p w14:paraId="2A515653" w14:textId="6398A3C4" w:rsidR="006C1D66" w:rsidRPr="00FE6209" w:rsidRDefault="00441244" w:rsidP="00FE6209">
      <w:pPr>
        <w:pStyle w:val="BodyText"/>
        <w:ind w:left="360"/>
        <w:rPr>
          <w:rFonts w:cstheme="minorHAnsi"/>
        </w:rPr>
      </w:pPr>
      <w:r w:rsidRPr="001B7D5F">
        <w:t>The Commonwealth, state and territory agencies are working together to implement the RTPM system. However, each state or territory remains responsible for the management of controlled medicines in its jurisdiction</w:t>
      </w:r>
      <w:r w:rsidRPr="001B7D5F">
        <w:rPr>
          <w:rFonts w:cstheme="minorHAnsi"/>
        </w:rPr>
        <w:t>.</w:t>
      </w:r>
    </w:p>
    <w:p w14:paraId="1542751C" w14:textId="6FE8A247" w:rsidR="004F716F" w:rsidRPr="001B7D5F" w:rsidRDefault="4707829C" w:rsidP="00FE6209">
      <w:pPr>
        <w:pStyle w:val="Heading2"/>
        <w:pageBreakBefore/>
      </w:pPr>
      <w:bookmarkStart w:id="105" w:name="_Toc1977755826"/>
      <w:bookmarkStart w:id="106" w:name="_Toc444773991"/>
      <w:r w:rsidRPr="001B7D5F">
        <w:lastRenderedPageBreak/>
        <w:t xml:space="preserve">Schedule </w:t>
      </w:r>
      <w:r w:rsidR="53E55C0C" w:rsidRPr="001B7D5F">
        <w:t>B</w:t>
      </w:r>
      <w:r w:rsidR="17A7063F" w:rsidRPr="001B7D5F">
        <w:t xml:space="preserve"> –</w:t>
      </w:r>
      <w:r w:rsidR="1FBC41C3" w:rsidRPr="001B7D5F">
        <w:t xml:space="preserve"> </w:t>
      </w:r>
      <w:r w:rsidRPr="001B7D5F">
        <w:t>Oversight Committee Terms of Reference</w:t>
      </w:r>
      <w:bookmarkEnd w:id="105"/>
      <w:bookmarkEnd w:id="106"/>
    </w:p>
    <w:p w14:paraId="31935E1B" w14:textId="77777777" w:rsidR="004F716F" w:rsidRPr="001B7D5F" w:rsidRDefault="4707829C" w:rsidP="00A70546">
      <w:pPr>
        <w:pStyle w:val="Heading3"/>
        <w:numPr>
          <w:ilvl w:val="0"/>
          <w:numId w:val="8"/>
        </w:numPr>
      </w:pPr>
      <w:bookmarkStart w:id="107" w:name="_Toc126920723"/>
      <w:bookmarkStart w:id="108" w:name="_Toc82072730"/>
      <w:bookmarkStart w:id="109" w:name="_Toc2140262712"/>
      <w:r w:rsidRPr="001B7D5F">
        <w:t>Purpose</w:t>
      </w:r>
      <w:bookmarkEnd w:id="107"/>
      <w:bookmarkEnd w:id="108"/>
      <w:bookmarkEnd w:id="109"/>
    </w:p>
    <w:p w14:paraId="7D8E0EB7" w14:textId="0A060C40" w:rsidR="004F716F" w:rsidRPr="001B7D5F" w:rsidRDefault="004F716F" w:rsidP="00A70546">
      <w:pPr>
        <w:pStyle w:val="BodyText"/>
        <w:rPr>
          <w:rFonts w:cstheme="minorHAnsi"/>
          <w:szCs w:val="22"/>
        </w:rPr>
      </w:pPr>
      <w:r w:rsidRPr="001B7D5F">
        <w:rPr>
          <w:rFonts w:cstheme="minorHAnsi"/>
          <w:color w:val="auto"/>
          <w:szCs w:val="22"/>
        </w:rPr>
        <w:t xml:space="preserve">An Oversight Committee is to be </w:t>
      </w:r>
      <w:r w:rsidRPr="001B7D5F">
        <w:rPr>
          <w:rFonts w:cstheme="minorHAnsi"/>
          <w:szCs w:val="22"/>
        </w:rPr>
        <w:t>established as a time-limited committee to provide oversight</w:t>
      </w:r>
      <w:r w:rsidR="000C48A0" w:rsidRPr="001B7D5F">
        <w:rPr>
          <w:rFonts w:cstheme="minorHAnsi"/>
          <w:szCs w:val="22"/>
        </w:rPr>
        <w:t xml:space="preserve"> of, and reporting on,</w:t>
      </w:r>
      <w:r w:rsidRPr="001B7D5F">
        <w:rPr>
          <w:rFonts w:cstheme="minorHAnsi"/>
          <w:szCs w:val="22"/>
        </w:rPr>
        <w:t xml:space="preserve"> the implementation of </w:t>
      </w:r>
      <w:r w:rsidRPr="001B7D5F">
        <w:rPr>
          <w:rFonts w:cstheme="minorHAnsi"/>
          <w:color w:val="auto"/>
          <w:szCs w:val="22"/>
        </w:rPr>
        <w:t>the</w:t>
      </w:r>
      <w:r w:rsidRPr="001B7D5F">
        <w:rPr>
          <w:rFonts w:cstheme="minorHAnsi"/>
          <w:i/>
          <w:iCs/>
          <w:color w:val="auto"/>
          <w:szCs w:val="22"/>
        </w:rPr>
        <w:t xml:space="preserve"> Intergovernmental Agreement on National Digital Health</w:t>
      </w:r>
      <w:r w:rsidR="004A4452" w:rsidRPr="001B7D5F">
        <w:rPr>
          <w:rFonts w:cstheme="minorHAnsi"/>
          <w:i/>
          <w:iCs/>
          <w:color w:val="auto"/>
          <w:szCs w:val="22"/>
        </w:rPr>
        <w:t xml:space="preserve"> 2023-2027</w:t>
      </w:r>
      <w:r w:rsidRPr="001B7D5F">
        <w:rPr>
          <w:rFonts w:cstheme="minorHAnsi"/>
          <w:i/>
          <w:iCs/>
          <w:szCs w:val="22"/>
        </w:rPr>
        <w:t xml:space="preserve"> </w:t>
      </w:r>
      <w:r w:rsidRPr="001B7D5F">
        <w:rPr>
          <w:rFonts w:cstheme="minorHAnsi"/>
          <w:szCs w:val="22"/>
        </w:rPr>
        <w:t xml:space="preserve">(the </w:t>
      </w:r>
      <w:r w:rsidR="00E03D27" w:rsidRPr="001B7D5F">
        <w:rPr>
          <w:rFonts w:cstheme="minorHAnsi"/>
          <w:szCs w:val="22"/>
        </w:rPr>
        <w:t>Agreement</w:t>
      </w:r>
      <w:r w:rsidRPr="001B7D5F">
        <w:rPr>
          <w:rFonts w:cstheme="minorHAnsi"/>
          <w:szCs w:val="22"/>
        </w:rPr>
        <w:t>) including but not limited to:</w:t>
      </w:r>
    </w:p>
    <w:p w14:paraId="2A9AB119" w14:textId="75604DA5" w:rsidR="00D627B2" w:rsidRPr="001B7D5F" w:rsidRDefault="00D627B2" w:rsidP="00A70546">
      <w:pPr>
        <w:pStyle w:val="BodyText"/>
        <w:numPr>
          <w:ilvl w:val="0"/>
          <w:numId w:val="7"/>
        </w:numPr>
        <w:ind w:left="720"/>
        <w:rPr>
          <w:rFonts w:cstheme="minorHAnsi"/>
          <w:szCs w:val="22"/>
        </w:rPr>
      </w:pPr>
      <w:r w:rsidRPr="001B7D5F">
        <w:rPr>
          <w:rFonts w:cstheme="minorHAnsi"/>
          <w:szCs w:val="22"/>
        </w:rPr>
        <w:t>Ensuring</w:t>
      </w:r>
      <w:r w:rsidR="00254876" w:rsidRPr="001B7D5F">
        <w:rPr>
          <w:rFonts w:cstheme="minorHAnsi"/>
          <w:szCs w:val="22"/>
        </w:rPr>
        <w:t xml:space="preserve"> </w:t>
      </w:r>
      <w:r w:rsidR="004F716F" w:rsidRPr="001B7D5F">
        <w:rPr>
          <w:rFonts w:cstheme="minorHAnsi"/>
          <w:szCs w:val="22"/>
        </w:rPr>
        <w:t xml:space="preserve">digital health </w:t>
      </w:r>
      <w:r w:rsidR="005C7ABC" w:rsidRPr="001B7D5F">
        <w:rPr>
          <w:rFonts w:cstheme="minorHAnsi"/>
          <w:szCs w:val="22"/>
        </w:rPr>
        <w:t xml:space="preserve">services and </w:t>
      </w:r>
      <w:r w:rsidRPr="001B7D5F">
        <w:rPr>
          <w:rFonts w:cstheme="minorHAnsi"/>
          <w:szCs w:val="22"/>
        </w:rPr>
        <w:t xml:space="preserve">projects funded </w:t>
      </w:r>
      <w:r w:rsidR="00254876" w:rsidRPr="001B7D5F">
        <w:rPr>
          <w:rFonts w:cstheme="minorHAnsi"/>
          <w:szCs w:val="22"/>
        </w:rPr>
        <w:t>under the</w:t>
      </w:r>
      <w:r w:rsidR="00E03D27" w:rsidRPr="001B7D5F">
        <w:rPr>
          <w:rFonts w:cstheme="minorHAnsi"/>
          <w:szCs w:val="22"/>
        </w:rPr>
        <w:t xml:space="preserve"> Agreement</w:t>
      </w:r>
      <w:r w:rsidR="00254876" w:rsidRPr="001B7D5F">
        <w:rPr>
          <w:rFonts w:cstheme="minorHAnsi"/>
          <w:szCs w:val="22"/>
        </w:rPr>
        <w:t xml:space="preserve"> </w:t>
      </w:r>
      <w:r w:rsidR="004C7293" w:rsidRPr="001B7D5F">
        <w:rPr>
          <w:rFonts w:cstheme="minorHAnsi"/>
          <w:szCs w:val="22"/>
        </w:rPr>
        <w:t xml:space="preserve">align </w:t>
      </w:r>
      <w:r w:rsidR="00254876" w:rsidRPr="001B7D5F">
        <w:rPr>
          <w:rFonts w:cstheme="minorHAnsi"/>
          <w:szCs w:val="22"/>
        </w:rPr>
        <w:t>with</w:t>
      </w:r>
      <w:r w:rsidRPr="001B7D5F">
        <w:rPr>
          <w:rFonts w:cstheme="minorHAnsi"/>
          <w:szCs w:val="22"/>
        </w:rPr>
        <w:t xml:space="preserve"> the objective</w:t>
      </w:r>
      <w:r w:rsidR="009F0864" w:rsidRPr="001B7D5F">
        <w:rPr>
          <w:rFonts w:cstheme="minorHAnsi"/>
          <w:szCs w:val="22"/>
        </w:rPr>
        <w:t>s</w:t>
      </w:r>
      <w:r w:rsidRPr="001B7D5F">
        <w:rPr>
          <w:rFonts w:cstheme="minorHAnsi"/>
          <w:szCs w:val="22"/>
        </w:rPr>
        <w:t xml:space="preserve"> of this Agreement and </w:t>
      </w:r>
      <w:r w:rsidR="009F0864" w:rsidRPr="001B7D5F">
        <w:rPr>
          <w:rFonts w:cstheme="minorHAnsi"/>
          <w:szCs w:val="22"/>
        </w:rPr>
        <w:t>H</w:t>
      </w:r>
      <w:r w:rsidRPr="001B7D5F">
        <w:rPr>
          <w:rFonts w:cstheme="minorHAnsi"/>
          <w:szCs w:val="22"/>
        </w:rPr>
        <w:t xml:space="preserve">ealth </w:t>
      </w:r>
      <w:r w:rsidR="009F0864" w:rsidRPr="001B7D5F">
        <w:rPr>
          <w:rFonts w:cstheme="minorHAnsi"/>
          <w:szCs w:val="22"/>
        </w:rPr>
        <w:t>M</w:t>
      </w:r>
      <w:r w:rsidRPr="001B7D5F">
        <w:rPr>
          <w:rFonts w:cstheme="minorHAnsi"/>
          <w:szCs w:val="22"/>
        </w:rPr>
        <w:t>inisters’ priorities</w:t>
      </w:r>
      <w:r w:rsidR="009F0864" w:rsidRPr="001B7D5F">
        <w:rPr>
          <w:rFonts w:cstheme="minorHAnsi"/>
          <w:szCs w:val="22"/>
        </w:rPr>
        <w:t>.</w:t>
      </w:r>
    </w:p>
    <w:p w14:paraId="4DD78BAC" w14:textId="425C32C7" w:rsidR="004F716F" w:rsidRPr="001B7D5F" w:rsidRDefault="009F0864" w:rsidP="00A70546">
      <w:pPr>
        <w:pStyle w:val="BodyText"/>
        <w:numPr>
          <w:ilvl w:val="0"/>
          <w:numId w:val="7"/>
        </w:numPr>
        <w:tabs>
          <w:tab w:val="left" w:pos="7251"/>
        </w:tabs>
        <w:ind w:left="720"/>
        <w:rPr>
          <w:rFonts w:cstheme="minorHAnsi"/>
          <w:szCs w:val="22"/>
        </w:rPr>
      </w:pPr>
      <w:r w:rsidRPr="001B7D5F">
        <w:rPr>
          <w:rFonts w:cstheme="minorHAnsi"/>
          <w:szCs w:val="22"/>
        </w:rPr>
        <w:t xml:space="preserve">Ensuring </w:t>
      </w:r>
      <w:r w:rsidR="00D627B2" w:rsidRPr="001B7D5F">
        <w:rPr>
          <w:rFonts w:cstheme="minorHAnsi"/>
          <w:szCs w:val="22"/>
        </w:rPr>
        <w:t>Services and Pr</w:t>
      </w:r>
      <w:r w:rsidRPr="001B7D5F">
        <w:rPr>
          <w:rFonts w:cstheme="minorHAnsi"/>
          <w:szCs w:val="22"/>
        </w:rPr>
        <w:t>iorities</w:t>
      </w:r>
      <w:r w:rsidR="00254876" w:rsidRPr="001B7D5F">
        <w:rPr>
          <w:rFonts w:cstheme="minorHAnsi"/>
          <w:szCs w:val="22"/>
        </w:rPr>
        <w:t xml:space="preserve"> </w:t>
      </w:r>
      <w:r w:rsidR="00D627B2" w:rsidRPr="001B7D5F">
        <w:rPr>
          <w:rFonts w:cstheme="minorHAnsi"/>
          <w:szCs w:val="22"/>
        </w:rPr>
        <w:t xml:space="preserve">are </w:t>
      </w:r>
      <w:r w:rsidR="004C7293" w:rsidRPr="001B7D5F">
        <w:rPr>
          <w:rFonts w:cstheme="minorHAnsi"/>
          <w:szCs w:val="22"/>
        </w:rPr>
        <w:t xml:space="preserve">being </w:t>
      </w:r>
      <w:r w:rsidR="00D627B2" w:rsidRPr="001B7D5F">
        <w:rPr>
          <w:rFonts w:cstheme="minorHAnsi"/>
          <w:szCs w:val="22"/>
        </w:rPr>
        <w:t>support</w:t>
      </w:r>
      <w:r w:rsidRPr="001B7D5F">
        <w:rPr>
          <w:rFonts w:cstheme="minorHAnsi"/>
          <w:szCs w:val="22"/>
        </w:rPr>
        <w:t>ed</w:t>
      </w:r>
      <w:r w:rsidR="00D627B2" w:rsidRPr="001B7D5F">
        <w:rPr>
          <w:rFonts w:cstheme="minorHAnsi"/>
          <w:szCs w:val="22"/>
        </w:rPr>
        <w:t xml:space="preserve"> and </w:t>
      </w:r>
      <w:r w:rsidR="004C7293" w:rsidRPr="001B7D5F">
        <w:rPr>
          <w:rFonts w:cstheme="minorHAnsi"/>
          <w:szCs w:val="22"/>
        </w:rPr>
        <w:t xml:space="preserve">utilised in </w:t>
      </w:r>
      <w:r w:rsidR="00D627B2" w:rsidRPr="001B7D5F">
        <w:rPr>
          <w:rFonts w:cstheme="minorHAnsi"/>
          <w:szCs w:val="22"/>
        </w:rPr>
        <w:t xml:space="preserve">national and </w:t>
      </w:r>
      <w:r w:rsidR="004F716F" w:rsidRPr="001B7D5F">
        <w:rPr>
          <w:rFonts w:cstheme="minorHAnsi"/>
          <w:szCs w:val="22"/>
        </w:rPr>
        <w:t>jurisdiction</w:t>
      </w:r>
      <w:r w:rsidR="00254876" w:rsidRPr="001B7D5F">
        <w:rPr>
          <w:rFonts w:cstheme="minorHAnsi"/>
          <w:szCs w:val="22"/>
        </w:rPr>
        <w:t xml:space="preserve">al </w:t>
      </w:r>
      <w:r w:rsidR="00D627B2" w:rsidRPr="001B7D5F">
        <w:rPr>
          <w:rFonts w:cstheme="minorHAnsi"/>
          <w:szCs w:val="22"/>
        </w:rPr>
        <w:t xml:space="preserve">digital health </w:t>
      </w:r>
      <w:r w:rsidR="00254876" w:rsidRPr="001B7D5F">
        <w:rPr>
          <w:rFonts w:cstheme="minorHAnsi"/>
          <w:szCs w:val="22"/>
        </w:rPr>
        <w:t>programs of work</w:t>
      </w:r>
      <w:r w:rsidR="004F716F" w:rsidRPr="001B7D5F">
        <w:rPr>
          <w:rFonts w:cstheme="minorHAnsi"/>
          <w:szCs w:val="22"/>
        </w:rPr>
        <w:t>.</w:t>
      </w:r>
    </w:p>
    <w:p w14:paraId="611635CD" w14:textId="332732D4" w:rsidR="004F716F" w:rsidRPr="001B7D5F" w:rsidRDefault="003F7AF6" w:rsidP="00A70546">
      <w:pPr>
        <w:pStyle w:val="BodyText"/>
        <w:numPr>
          <w:ilvl w:val="0"/>
          <w:numId w:val="7"/>
        </w:numPr>
        <w:ind w:left="720"/>
        <w:rPr>
          <w:rFonts w:cstheme="minorHAnsi"/>
          <w:szCs w:val="22"/>
        </w:rPr>
      </w:pPr>
      <w:r w:rsidRPr="001B7D5F">
        <w:rPr>
          <w:rFonts w:cstheme="minorHAnsi"/>
          <w:szCs w:val="22"/>
        </w:rPr>
        <w:t>Identifying o</w:t>
      </w:r>
      <w:r w:rsidR="004F716F" w:rsidRPr="001B7D5F">
        <w:rPr>
          <w:rFonts w:cstheme="minorHAnsi"/>
          <w:szCs w:val="22"/>
        </w:rPr>
        <w:t xml:space="preserve">pportunities for improving the coordination of activities and programs, including those delivered by the </w:t>
      </w:r>
      <w:r w:rsidR="005C7ABC" w:rsidRPr="001B7D5F">
        <w:rPr>
          <w:rFonts w:cstheme="minorHAnsi"/>
          <w:szCs w:val="22"/>
        </w:rPr>
        <w:t>D</w:t>
      </w:r>
      <w:r w:rsidR="004F716F" w:rsidRPr="001B7D5F">
        <w:rPr>
          <w:rFonts w:cstheme="minorHAnsi"/>
          <w:szCs w:val="22"/>
        </w:rPr>
        <w:t xml:space="preserve">elivery </w:t>
      </w:r>
      <w:r w:rsidR="005C7ABC" w:rsidRPr="001B7D5F">
        <w:rPr>
          <w:rFonts w:cstheme="minorHAnsi"/>
          <w:szCs w:val="22"/>
        </w:rPr>
        <w:t>P</w:t>
      </w:r>
      <w:r w:rsidR="004F716F" w:rsidRPr="001B7D5F">
        <w:rPr>
          <w:rFonts w:cstheme="minorHAnsi"/>
          <w:szCs w:val="22"/>
        </w:rPr>
        <w:t>artners.</w:t>
      </w:r>
    </w:p>
    <w:p w14:paraId="2C1ADE07" w14:textId="15AB562B" w:rsidR="004F716F" w:rsidRPr="001B7D5F" w:rsidRDefault="004F716F" w:rsidP="00A70546">
      <w:pPr>
        <w:pStyle w:val="BodyText"/>
        <w:numPr>
          <w:ilvl w:val="0"/>
          <w:numId w:val="7"/>
        </w:numPr>
        <w:ind w:left="720"/>
        <w:rPr>
          <w:rFonts w:cstheme="minorHAnsi"/>
          <w:szCs w:val="22"/>
        </w:rPr>
      </w:pPr>
      <w:r w:rsidRPr="001B7D5F">
        <w:rPr>
          <w:rFonts w:cstheme="minorHAnsi"/>
          <w:szCs w:val="22"/>
        </w:rPr>
        <w:t>Consider</w:t>
      </w:r>
      <w:r w:rsidR="003F7AF6" w:rsidRPr="001B7D5F">
        <w:rPr>
          <w:rFonts w:cstheme="minorHAnsi"/>
          <w:szCs w:val="22"/>
        </w:rPr>
        <w:t>i</w:t>
      </w:r>
      <w:r w:rsidR="000C7BB9" w:rsidRPr="001B7D5F">
        <w:rPr>
          <w:rFonts w:cstheme="minorHAnsi"/>
          <w:szCs w:val="22"/>
        </w:rPr>
        <w:t>ng</w:t>
      </w:r>
      <w:r w:rsidRPr="001B7D5F">
        <w:rPr>
          <w:rFonts w:cstheme="minorHAnsi"/>
          <w:szCs w:val="22"/>
        </w:rPr>
        <w:t xml:space="preserve"> any business cases for new programs, and associated funding per the process and requirements outlined in Schedule </w:t>
      </w:r>
      <w:r w:rsidR="00E03D27" w:rsidRPr="001B7D5F">
        <w:rPr>
          <w:rFonts w:cstheme="minorHAnsi"/>
          <w:color w:val="auto"/>
          <w:szCs w:val="22"/>
        </w:rPr>
        <w:t>D</w:t>
      </w:r>
      <w:r w:rsidRPr="001B7D5F">
        <w:rPr>
          <w:rFonts w:cstheme="minorHAnsi"/>
          <w:szCs w:val="22"/>
        </w:rPr>
        <w:t>.</w:t>
      </w:r>
    </w:p>
    <w:p w14:paraId="1DC4833E" w14:textId="11FF5E6B" w:rsidR="004F716F" w:rsidRPr="001B7D5F" w:rsidRDefault="004F716F" w:rsidP="00A70546">
      <w:pPr>
        <w:pStyle w:val="BodyText"/>
        <w:numPr>
          <w:ilvl w:val="0"/>
          <w:numId w:val="7"/>
        </w:numPr>
        <w:ind w:left="720"/>
        <w:rPr>
          <w:rFonts w:cstheme="minorHAnsi"/>
          <w:szCs w:val="22"/>
        </w:rPr>
      </w:pPr>
      <w:r w:rsidRPr="001B7D5F">
        <w:rPr>
          <w:rFonts w:cstheme="minorHAnsi"/>
          <w:szCs w:val="22"/>
        </w:rPr>
        <w:t>Consider</w:t>
      </w:r>
      <w:r w:rsidR="000C7BB9" w:rsidRPr="001B7D5F">
        <w:rPr>
          <w:rFonts w:cstheme="minorHAnsi"/>
          <w:szCs w:val="22"/>
        </w:rPr>
        <w:t>ing</w:t>
      </w:r>
      <w:r w:rsidRPr="001B7D5F">
        <w:rPr>
          <w:rFonts w:cstheme="minorHAnsi"/>
          <w:szCs w:val="22"/>
        </w:rPr>
        <w:t xml:space="preserve"> changes to priorities where critical emerging needs arise and reallocate funding where there is minimal detriment to an existing program.</w:t>
      </w:r>
    </w:p>
    <w:p w14:paraId="16EBAD0E" w14:textId="5E99F9D7" w:rsidR="004F716F" w:rsidRPr="001B7D5F" w:rsidRDefault="004F716F" w:rsidP="00A70546">
      <w:pPr>
        <w:pStyle w:val="BodyText"/>
        <w:numPr>
          <w:ilvl w:val="0"/>
          <w:numId w:val="7"/>
        </w:numPr>
        <w:ind w:left="720"/>
        <w:rPr>
          <w:rFonts w:cstheme="minorHAnsi"/>
          <w:szCs w:val="22"/>
        </w:rPr>
      </w:pPr>
      <w:r w:rsidRPr="001B7D5F">
        <w:rPr>
          <w:rFonts w:cstheme="minorHAnsi"/>
          <w:szCs w:val="22"/>
        </w:rPr>
        <w:t>Monitor</w:t>
      </w:r>
      <w:r w:rsidR="000C7BB9" w:rsidRPr="001B7D5F">
        <w:rPr>
          <w:rFonts w:cstheme="minorHAnsi"/>
          <w:szCs w:val="22"/>
        </w:rPr>
        <w:t>ing</w:t>
      </w:r>
      <w:r w:rsidR="000C48A0" w:rsidRPr="001B7D5F">
        <w:rPr>
          <w:rFonts w:cstheme="minorHAnsi"/>
          <w:szCs w:val="22"/>
        </w:rPr>
        <w:t xml:space="preserve"> and report</w:t>
      </w:r>
      <w:r w:rsidR="009F0864" w:rsidRPr="001B7D5F">
        <w:rPr>
          <w:rFonts w:cstheme="minorHAnsi"/>
          <w:szCs w:val="22"/>
        </w:rPr>
        <w:t>ing</w:t>
      </w:r>
      <w:r w:rsidR="000C48A0" w:rsidRPr="001B7D5F">
        <w:rPr>
          <w:rFonts w:cstheme="minorHAnsi"/>
          <w:szCs w:val="22"/>
        </w:rPr>
        <w:t xml:space="preserve"> to </w:t>
      </w:r>
      <w:r w:rsidR="009F0864" w:rsidRPr="001B7D5F">
        <w:rPr>
          <w:rFonts w:cstheme="minorHAnsi"/>
          <w:szCs w:val="22"/>
        </w:rPr>
        <w:t>H</w:t>
      </w:r>
      <w:r w:rsidR="00E83382" w:rsidRPr="001B7D5F">
        <w:rPr>
          <w:rFonts w:cstheme="minorHAnsi"/>
          <w:szCs w:val="22"/>
        </w:rPr>
        <w:t>ealth</w:t>
      </w:r>
      <w:r w:rsidR="009F0864" w:rsidRPr="001B7D5F">
        <w:rPr>
          <w:rFonts w:cstheme="minorHAnsi"/>
          <w:szCs w:val="22"/>
        </w:rPr>
        <w:t xml:space="preserve"> Chief</w:t>
      </w:r>
      <w:r w:rsidR="00E83382" w:rsidRPr="001B7D5F">
        <w:rPr>
          <w:rFonts w:cstheme="minorHAnsi"/>
          <w:szCs w:val="22"/>
        </w:rPr>
        <w:t xml:space="preserve"> </w:t>
      </w:r>
      <w:r w:rsidR="009F0864" w:rsidRPr="001B7D5F">
        <w:rPr>
          <w:rFonts w:cstheme="minorHAnsi"/>
          <w:szCs w:val="22"/>
        </w:rPr>
        <w:t>E</w:t>
      </w:r>
      <w:r w:rsidR="00E83382" w:rsidRPr="001B7D5F">
        <w:rPr>
          <w:rFonts w:cstheme="minorHAnsi"/>
          <w:szCs w:val="22"/>
        </w:rPr>
        <w:t xml:space="preserve">xecutives as required </w:t>
      </w:r>
      <w:r w:rsidR="000C48A0" w:rsidRPr="001B7D5F">
        <w:rPr>
          <w:rFonts w:cstheme="minorHAnsi"/>
          <w:szCs w:val="22"/>
        </w:rPr>
        <w:t>on the</w:t>
      </w:r>
      <w:r w:rsidRPr="001B7D5F">
        <w:rPr>
          <w:rFonts w:cstheme="minorHAnsi"/>
          <w:szCs w:val="22"/>
        </w:rPr>
        <w:t xml:space="preserve"> progress against the </w:t>
      </w:r>
      <w:r w:rsidR="00E03D27" w:rsidRPr="001B7D5F">
        <w:rPr>
          <w:rFonts w:cstheme="minorHAnsi"/>
          <w:szCs w:val="22"/>
        </w:rPr>
        <w:t>Agreement</w:t>
      </w:r>
      <w:r w:rsidRPr="001B7D5F">
        <w:rPr>
          <w:rFonts w:cstheme="minorHAnsi"/>
          <w:szCs w:val="22"/>
        </w:rPr>
        <w:t>.</w:t>
      </w:r>
    </w:p>
    <w:p w14:paraId="6A5AA928" w14:textId="12819511" w:rsidR="004F716F" w:rsidRPr="001B7D5F" w:rsidRDefault="19B4EFF6" w:rsidP="00A70546">
      <w:pPr>
        <w:pStyle w:val="Heading3"/>
        <w:numPr>
          <w:ilvl w:val="0"/>
          <w:numId w:val="8"/>
        </w:numPr>
      </w:pPr>
      <w:bookmarkStart w:id="110" w:name="_Toc126920724"/>
      <w:bookmarkStart w:id="111" w:name="_Toc1081742014"/>
      <w:bookmarkStart w:id="112" w:name="_Toc1648879711"/>
      <w:r w:rsidRPr="001B7D5F">
        <w:t>Functions</w:t>
      </w:r>
      <w:bookmarkEnd w:id="110"/>
      <w:bookmarkEnd w:id="111"/>
      <w:bookmarkEnd w:id="112"/>
    </w:p>
    <w:p w14:paraId="331850C7" w14:textId="51B11639" w:rsidR="004F716F" w:rsidRPr="001B7D5F" w:rsidRDefault="004F716F" w:rsidP="00A70546">
      <w:pPr>
        <w:pStyle w:val="BodyText"/>
        <w:rPr>
          <w:rFonts w:cstheme="minorHAnsi"/>
          <w:szCs w:val="22"/>
        </w:rPr>
      </w:pPr>
      <w:r w:rsidRPr="001B7D5F">
        <w:rPr>
          <w:rFonts w:cstheme="minorHAnsi"/>
          <w:color w:val="auto"/>
          <w:szCs w:val="22"/>
        </w:rPr>
        <w:t xml:space="preserve">The Oversight </w:t>
      </w:r>
      <w:r w:rsidRPr="001B7D5F">
        <w:t>Committee</w:t>
      </w:r>
      <w:r w:rsidRPr="001B7D5F">
        <w:rPr>
          <w:rFonts w:cstheme="minorHAnsi"/>
          <w:szCs w:val="22"/>
        </w:rPr>
        <w:t xml:space="preserve"> will consider</w:t>
      </w:r>
      <w:r w:rsidR="007624C1" w:rsidRPr="001B7D5F">
        <w:rPr>
          <w:rFonts w:cstheme="minorHAnsi"/>
          <w:szCs w:val="22"/>
        </w:rPr>
        <w:t xml:space="preserve"> and determine</w:t>
      </w:r>
      <w:r w:rsidRPr="001B7D5F">
        <w:rPr>
          <w:rFonts w:cstheme="minorHAnsi"/>
          <w:szCs w:val="22"/>
        </w:rPr>
        <w:t>:</w:t>
      </w:r>
    </w:p>
    <w:p w14:paraId="639B41EB" w14:textId="6896F3E0" w:rsidR="00D73035" w:rsidRPr="001B7D5F" w:rsidRDefault="004C6633" w:rsidP="00A70546">
      <w:pPr>
        <w:pStyle w:val="BodyText"/>
        <w:numPr>
          <w:ilvl w:val="0"/>
          <w:numId w:val="7"/>
        </w:numPr>
        <w:ind w:left="720"/>
        <w:rPr>
          <w:rFonts w:cstheme="minorHAnsi"/>
          <w:szCs w:val="22"/>
        </w:rPr>
      </w:pPr>
      <w:r w:rsidRPr="001B7D5F">
        <w:rPr>
          <w:rFonts w:cstheme="minorHAnsi"/>
          <w:szCs w:val="22"/>
        </w:rPr>
        <w:t>A</w:t>
      </w:r>
      <w:r w:rsidR="004C246A" w:rsidRPr="001B7D5F">
        <w:rPr>
          <w:rFonts w:cstheme="minorHAnsi"/>
          <w:szCs w:val="22"/>
        </w:rPr>
        <w:t>llocation of funding for delivery of Foundation Services, National Services and Strategic Priorit</w:t>
      </w:r>
      <w:r w:rsidR="004C352D">
        <w:rPr>
          <w:rFonts w:cstheme="minorHAnsi"/>
          <w:szCs w:val="22"/>
        </w:rPr>
        <w:t>y Projects</w:t>
      </w:r>
      <w:r w:rsidR="004C246A" w:rsidRPr="001B7D5F">
        <w:rPr>
          <w:rFonts w:cstheme="minorHAnsi"/>
          <w:szCs w:val="22"/>
        </w:rPr>
        <w:t xml:space="preserve"> for each year of the Agreement</w:t>
      </w:r>
      <w:r w:rsidR="00346A9F" w:rsidRPr="001B7D5F">
        <w:rPr>
          <w:rFonts w:cstheme="minorHAnsi"/>
          <w:szCs w:val="22"/>
        </w:rPr>
        <w:t xml:space="preserve">. Any adjustments to allocations will be reflected in </w:t>
      </w:r>
      <w:r w:rsidR="004C246A" w:rsidRPr="001B7D5F">
        <w:rPr>
          <w:rFonts w:cstheme="minorHAnsi"/>
          <w:szCs w:val="22"/>
        </w:rPr>
        <w:t>Schedule</w:t>
      </w:r>
      <w:r w:rsidR="008259D6" w:rsidRPr="001B7D5F">
        <w:rPr>
          <w:rFonts w:cstheme="minorHAnsi"/>
          <w:szCs w:val="22"/>
        </w:rPr>
        <w:t xml:space="preserve"> C</w:t>
      </w:r>
      <w:r w:rsidR="00346A9F" w:rsidRPr="001B7D5F">
        <w:rPr>
          <w:rFonts w:cstheme="minorHAnsi"/>
          <w:szCs w:val="22"/>
        </w:rPr>
        <w:t xml:space="preserve"> to the Agreement</w:t>
      </w:r>
      <w:r w:rsidR="004C246A" w:rsidRPr="001B7D5F">
        <w:rPr>
          <w:rFonts w:cstheme="minorHAnsi"/>
          <w:szCs w:val="22"/>
        </w:rPr>
        <w:t xml:space="preserve">. </w:t>
      </w:r>
    </w:p>
    <w:p w14:paraId="7AC81A04" w14:textId="122F6DA0" w:rsidR="004C246A" w:rsidRPr="001B7D5F" w:rsidRDefault="004C246A" w:rsidP="00A70546">
      <w:pPr>
        <w:pStyle w:val="BodyText"/>
        <w:numPr>
          <w:ilvl w:val="0"/>
          <w:numId w:val="7"/>
        </w:numPr>
        <w:ind w:left="720"/>
        <w:rPr>
          <w:rFonts w:cstheme="minorHAnsi"/>
          <w:szCs w:val="22"/>
        </w:rPr>
      </w:pPr>
      <w:r w:rsidRPr="001B7D5F">
        <w:rPr>
          <w:rFonts w:cstheme="minorHAnsi"/>
          <w:szCs w:val="22"/>
        </w:rPr>
        <w:t xml:space="preserve">Redistribution of funding across existing </w:t>
      </w:r>
      <w:r w:rsidR="005C7ABC" w:rsidRPr="001B7D5F">
        <w:rPr>
          <w:rFonts w:cstheme="minorHAnsi"/>
          <w:szCs w:val="22"/>
        </w:rPr>
        <w:t>F</w:t>
      </w:r>
      <w:r w:rsidRPr="001B7D5F">
        <w:rPr>
          <w:rFonts w:cstheme="minorHAnsi"/>
          <w:szCs w:val="22"/>
        </w:rPr>
        <w:t xml:space="preserve">unding </w:t>
      </w:r>
      <w:r w:rsidR="005C7ABC" w:rsidRPr="001B7D5F">
        <w:rPr>
          <w:rFonts w:cstheme="minorHAnsi"/>
          <w:szCs w:val="22"/>
        </w:rPr>
        <w:t>S</w:t>
      </w:r>
      <w:r w:rsidRPr="001B7D5F">
        <w:rPr>
          <w:rFonts w:cstheme="minorHAnsi"/>
          <w:szCs w:val="22"/>
        </w:rPr>
        <w:t xml:space="preserve">treams </w:t>
      </w:r>
      <w:r w:rsidR="00D73035" w:rsidRPr="001B7D5F">
        <w:rPr>
          <w:rFonts w:cstheme="minorHAnsi"/>
          <w:szCs w:val="22"/>
        </w:rPr>
        <w:t>if required and</w:t>
      </w:r>
      <w:r w:rsidRPr="001B7D5F">
        <w:rPr>
          <w:rFonts w:cstheme="minorHAnsi"/>
          <w:szCs w:val="22"/>
        </w:rPr>
        <w:t xml:space="preserve"> agreed by Committee members, following consultation with the relevant Delivery Partne</w:t>
      </w:r>
      <w:r w:rsidR="00F34208" w:rsidRPr="001B7D5F">
        <w:rPr>
          <w:rFonts w:cstheme="minorHAnsi"/>
          <w:szCs w:val="22"/>
        </w:rPr>
        <w:t>r</w:t>
      </w:r>
      <w:r w:rsidR="004C6633" w:rsidRPr="001B7D5F">
        <w:rPr>
          <w:rFonts w:cstheme="minorHAnsi"/>
          <w:szCs w:val="22"/>
        </w:rPr>
        <w:t>.</w:t>
      </w:r>
    </w:p>
    <w:p w14:paraId="207512B9" w14:textId="05B9DF20" w:rsidR="00AD2854" w:rsidRPr="001B7D5F" w:rsidRDefault="002D7608" w:rsidP="00A70546">
      <w:pPr>
        <w:pStyle w:val="BodyText"/>
        <w:numPr>
          <w:ilvl w:val="0"/>
          <w:numId w:val="7"/>
        </w:numPr>
        <w:ind w:left="720"/>
      </w:pPr>
      <w:r w:rsidRPr="001B7D5F">
        <w:t xml:space="preserve">The </w:t>
      </w:r>
      <w:r w:rsidR="00394E9A" w:rsidRPr="001B7D5F">
        <w:t xml:space="preserve">Agency </w:t>
      </w:r>
      <w:r w:rsidR="005C7ABC" w:rsidRPr="001B7D5F">
        <w:t>Work P</w:t>
      </w:r>
      <w:r w:rsidR="00AD2854" w:rsidRPr="001B7D5F">
        <w:t>lan</w:t>
      </w:r>
      <w:r w:rsidR="00D74DCF" w:rsidRPr="001B7D5F">
        <w:t xml:space="preserve">, </w:t>
      </w:r>
      <w:r w:rsidR="00AD2854" w:rsidRPr="001B7D5F">
        <w:t xml:space="preserve">and how </w:t>
      </w:r>
      <w:r w:rsidR="00D74DCF" w:rsidRPr="001B7D5F">
        <w:t xml:space="preserve">Agreement </w:t>
      </w:r>
      <w:r w:rsidR="00AD2854" w:rsidRPr="001B7D5F">
        <w:t>funds will be allocated.</w:t>
      </w:r>
    </w:p>
    <w:p w14:paraId="46DFB5B0" w14:textId="46B18360" w:rsidR="004F716F" w:rsidRPr="001B7D5F" w:rsidRDefault="004F716F" w:rsidP="00A70546">
      <w:pPr>
        <w:pStyle w:val="BodyText"/>
        <w:numPr>
          <w:ilvl w:val="0"/>
          <w:numId w:val="7"/>
        </w:numPr>
        <w:ind w:left="720"/>
        <w:rPr>
          <w:rFonts w:cstheme="minorHAnsi"/>
          <w:szCs w:val="22"/>
        </w:rPr>
      </w:pPr>
      <w:r w:rsidRPr="001B7D5F">
        <w:rPr>
          <w:rFonts w:cstheme="minorHAnsi"/>
          <w:szCs w:val="22"/>
        </w:rPr>
        <w:t xml:space="preserve">The delivery of </w:t>
      </w:r>
      <w:r w:rsidR="0077646D" w:rsidRPr="001B7D5F">
        <w:rPr>
          <w:rFonts w:cstheme="minorHAnsi"/>
          <w:szCs w:val="22"/>
        </w:rPr>
        <w:t>Foundation National Services</w:t>
      </w:r>
      <w:r w:rsidRPr="001B7D5F">
        <w:rPr>
          <w:rFonts w:cstheme="minorHAnsi"/>
          <w:szCs w:val="22"/>
        </w:rPr>
        <w:t xml:space="preserve"> in line with strategic commitments in the </w:t>
      </w:r>
      <w:r w:rsidR="00E03D27" w:rsidRPr="001B7D5F">
        <w:rPr>
          <w:rFonts w:cstheme="minorHAnsi"/>
          <w:szCs w:val="22"/>
        </w:rPr>
        <w:t>Agreement</w:t>
      </w:r>
      <w:r w:rsidR="00D74DCF" w:rsidRPr="001B7D5F">
        <w:rPr>
          <w:rFonts w:cstheme="minorHAnsi"/>
          <w:szCs w:val="22"/>
        </w:rPr>
        <w:t xml:space="preserve"> and the National Digital Health Strategy</w:t>
      </w:r>
      <w:r w:rsidRPr="001B7D5F">
        <w:rPr>
          <w:rFonts w:cstheme="minorHAnsi"/>
          <w:szCs w:val="22"/>
        </w:rPr>
        <w:t>.</w:t>
      </w:r>
    </w:p>
    <w:p w14:paraId="0F4A0126" w14:textId="4DCD93D0" w:rsidR="004F716F" w:rsidRPr="001B7D5F" w:rsidRDefault="004F716F" w:rsidP="00A70546">
      <w:pPr>
        <w:pStyle w:val="BodyText"/>
        <w:numPr>
          <w:ilvl w:val="0"/>
          <w:numId w:val="7"/>
        </w:numPr>
        <w:ind w:left="720"/>
        <w:rPr>
          <w:rFonts w:cstheme="minorHAnsi"/>
          <w:szCs w:val="22"/>
        </w:rPr>
      </w:pPr>
      <w:r w:rsidRPr="001B7D5F">
        <w:rPr>
          <w:rFonts w:cstheme="minorHAnsi"/>
          <w:szCs w:val="22"/>
        </w:rPr>
        <w:t xml:space="preserve">The extent to which the </w:t>
      </w:r>
      <w:r w:rsidR="00E03D27" w:rsidRPr="001B7D5F">
        <w:rPr>
          <w:rFonts w:cstheme="minorHAnsi"/>
          <w:szCs w:val="22"/>
        </w:rPr>
        <w:t>o</w:t>
      </w:r>
      <w:r w:rsidRPr="001B7D5F">
        <w:rPr>
          <w:rFonts w:cstheme="minorHAnsi"/>
          <w:szCs w:val="22"/>
        </w:rPr>
        <w:t>bjectives</w:t>
      </w:r>
      <w:r w:rsidR="00E03D27" w:rsidRPr="001B7D5F">
        <w:rPr>
          <w:rFonts w:cstheme="minorHAnsi"/>
          <w:szCs w:val="22"/>
        </w:rPr>
        <w:t xml:space="preserve"> </w:t>
      </w:r>
      <w:r w:rsidRPr="001B7D5F">
        <w:rPr>
          <w:rFonts w:cstheme="minorHAnsi"/>
          <w:szCs w:val="22"/>
        </w:rPr>
        <w:t xml:space="preserve">of the </w:t>
      </w:r>
      <w:r w:rsidR="00D74DCF" w:rsidRPr="001B7D5F">
        <w:rPr>
          <w:rFonts w:cstheme="minorHAnsi"/>
          <w:iCs/>
          <w:szCs w:val="22"/>
        </w:rPr>
        <w:t>Agreement</w:t>
      </w:r>
      <w:r w:rsidR="00D74DCF" w:rsidRPr="001B7D5F">
        <w:rPr>
          <w:rFonts w:cstheme="minorHAnsi"/>
          <w:szCs w:val="22"/>
        </w:rPr>
        <w:t xml:space="preserve"> </w:t>
      </w:r>
      <w:r w:rsidRPr="001B7D5F">
        <w:rPr>
          <w:rFonts w:cstheme="minorHAnsi"/>
          <w:szCs w:val="22"/>
        </w:rPr>
        <w:t>are being achieved</w:t>
      </w:r>
      <w:r w:rsidR="00D74DCF" w:rsidRPr="001B7D5F">
        <w:rPr>
          <w:rFonts w:cstheme="minorHAnsi"/>
          <w:szCs w:val="22"/>
        </w:rPr>
        <w:t xml:space="preserve"> by all Parties</w:t>
      </w:r>
      <w:r w:rsidRPr="001B7D5F">
        <w:rPr>
          <w:rFonts w:cstheme="minorHAnsi"/>
          <w:szCs w:val="22"/>
        </w:rPr>
        <w:t>.</w:t>
      </w:r>
    </w:p>
    <w:p w14:paraId="251ACAF9" w14:textId="07565ADF" w:rsidR="004F716F" w:rsidRPr="001B7D5F" w:rsidRDefault="000C48A0" w:rsidP="00A70546">
      <w:pPr>
        <w:pStyle w:val="BodyText"/>
        <w:numPr>
          <w:ilvl w:val="0"/>
          <w:numId w:val="7"/>
        </w:numPr>
        <w:ind w:left="720"/>
        <w:rPr>
          <w:rFonts w:cstheme="minorHAnsi"/>
          <w:szCs w:val="22"/>
        </w:rPr>
      </w:pPr>
      <w:r w:rsidRPr="001B7D5F">
        <w:rPr>
          <w:rFonts w:cstheme="minorHAnsi"/>
          <w:szCs w:val="22"/>
        </w:rPr>
        <w:t>Agreement to and funding for a</w:t>
      </w:r>
      <w:r w:rsidR="00D74DCF" w:rsidRPr="001B7D5F">
        <w:rPr>
          <w:rFonts w:cstheme="minorHAnsi"/>
          <w:szCs w:val="22"/>
        </w:rPr>
        <w:t>ny b</w:t>
      </w:r>
      <w:r w:rsidR="004F716F" w:rsidRPr="001B7D5F">
        <w:rPr>
          <w:rFonts w:cstheme="minorHAnsi"/>
          <w:szCs w:val="22"/>
        </w:rPr>
        <w:t xml:space="preserve">usiness cases presented by Parties to the </w:t>
      </w:r>
      <w:r w:rsidR="00D74DCF" w:rsidRPr="001B7D5F">
        <w:rPr>
          <w:rFonts w:cstheme="minorHAnsi"/>
          <w:szCs w:val="22"/>
        </w:rPr>
        <w:t>Agreement</w:t>
      </w:r>
      <w:r w:rsidR="002411D2">
        <w:rPr>
          <w:rFonts w:cstheme="minorHAnsi"/>
          <w:szCs w:val="22"/>
        </w:rPr>
        <w:t>.</w:t>
      </w:r>
    </w:p>
    <w:p w14:paraId="0FE986D4" w14:textId="11871C53" w:rsidR="004F716F" w:rsidRPr="001B7D5F" w:rsidRDefault="002C1571" w:rsidP="00A70546">
      <w:pPr>
        <w:pStyle w:val="BodyText"/>
        <w:numPr>
          <w:ilvl w:val="0"/>
          <w:numId w:val="7"/>
        </w:numPr>
        <w:ind w:left="720"/>
        <w:rPr>
          <w:rFonts w:cstheme="minorHAnsi"/>
          <w:szCs w:val="22"/>
        </w:rPr>
      </w:pPr>
      <w:r w:rsidRPr="001B7D5F">
        <w:rPr>
          <w:rFonts w:cstheme="minorHAnsi"/>
          <w:szCs w:val="22"/>
        </w:rPr>
        <w:t xml:space="preserve">Where additional projects are identified as critical national infrastructure by governments but are not funded through agreed base funding, the Committee will use the </w:t>
      </w:r>
      <w:r w:rsidR="004F716F" w:rsidRPr="001B7D5F">
        <w:rPr>
          <w:rFonts w:cstheme="minorHAnsi"/>
          <w:szCs w:val="22"/>
        </w:rPr>
        <w:t xml:space="preserve">process </w:t>
      </w:r>
      <w:r w:rsidRPr="001B7D5F">
        <w:rPr>
          <w:rFonts w:cstheme="minorHAnsi"/>
          <w:szCs w:val="22"/>
        </w:rPr>
        <w:t xml:space="preserve">outlined in Schedule D to develop </w:t>
      </w:r>
      <w:r w:rsidR="004F716F" w:rsidRPr="001B7D5F">
        <w:rPr>
          <w:rFonts w:cstheme="minorHAnsi"/>
          <w:szCs w:val="22"/>
        </w:rPr>
        <w:t>new business cases</w:t>
      </w:r>
      <w:r w:rsidRPr="001B7D5F">
        <w:rPr>
          <w:rFonts w:cstheme="minorHAnsi"/>
          <w:szCs w:val="22"/>
        </w:rPr>
        <w:t xml:space="preserve"> for </w:t>
      </w:r>
      <w:r w:rsidR="002411D2">
        <w:rPr>
          <w:rFonts w:cstheme="minorHAnsi"/>
          <w:szCs w:val="22"/>
        </w:rPr>
        <w:t>c</w:t>
      </w:r>
      <w:r w:rsidRPr="001B7D5F">
        <w:rPr>
          <w:rFonts w:cstheme="minorHAnsi"/>
          <w:szCs w:val="22"/>
        </w:rPr>
        <w:t>onsideration by the Parties.</w:t>
      </w:r>
      <w:r w:rsidR="004F716F" w:rsidRPr="001B7D5F">
        <w:rPr>
          <w:rFonts w:cstheme="minorHAnsi"/>
          <w:szCs w:val="22"/>
        </w:rPr>
        <w:t xml:space="preserve"> </w:t>
      </w:r>
    </w:p>
    <w:p w14:paraId="0CE63ABA" w14:textId="277AC9BA" w:rsidR="004F716F" w:rsidRPr="001B7D5F" w:rsidRDefault="004F716F" w:rsidP="00A70546">
      <w:pPr>
        <w:pStyle w:val="BodyText"/>
        <w:numPr>
          <w:ilvl w:val="0"/>
          <w:numId w:val="7"/>
        </w:numPr>
        <w:ind w:left="720"/>
        <w:rPr>
          <w:rFonts w:cstheme="minorHAnsi"/>
          <w:szCs w:val="22"/>
        </w:rPr>
      </w:pPr>
      <w:r w:rsidRPr="001B7D5F">
        <w:rPr>
          <w:rFonts w:cstheme="minorHAnsi"/>
          <w:szCs w:val="22"/>
        </w:rPr>
        <w:t>The process for any mid-term review</w:t>
      </w:r>
      <w:r w:rsidR="00D74DCF" w:rsidRPr="001B7D5F">
        <w:rPr>
          <w:rFonts w:cstheme="minorHAnsi"/>
          <w:szCs w:val="22"/>
        </w:rPr>
        <w:t xml:space="preserve"> of the Agreement</w:t>
      </w:r>
      <w:r w:rsidRPr="001B7D5F">
        <w:rPr>
          <w:rFonts w:cstheme="minorHAnsi"/>
          <w:szCs w:val="22"/>
        </w:rPr>
        <w:t>.</w:t>
      </w:r>
    </w:p>
    <w:p w14:paraId="77679E86" w14:textId="18A9AE32" w:rsidR="004F716F" w:rsidRPr="001B7D5F" w:rsidRDefault="004F716F" w:rsidP="00A70546">
      <w:pPr>
        <w:pStyle w:val="BodyText"/>
        <w:numPr>
          <w:ilvl w:val="0"/>
          <w:numId w:val="7"/>
        </w:numPr>
        <w:ind w:left="720"/>
        <w:rPr>
          <w:rFonts w:cstheme="minorHAnsi"/>
          <w:szCs w:val="22"/>
        </w:rPr>
      </w:pPr>
      <w:r w:rsidRPr="001B7D5F">
        <w:rPr>
          <w:rFonts w:cstheme="minorHAnsi"/>
          <w:szCs w:val="22"/>
        </w:rPr>
        <w:t xml:space="preserve">Opportunities for improving the coordination of activities and programs, including those delivered by </w:t>
      </w:r>
      <w:r w:rsidR="005C7ABC" w:rsidRPr="001B7D5F">
        <w:rPr>
          <w:rFonts w:cstheme="minorHAnsi"/>
          <w:szCs w:val="22"/>
        </w:rPr>
        <w:t>D</w:t>
      </w:r>
      <w:r w:rsidRPr="001B7D5F">
        <w:rPr>
          <w:rFonts w:cstheme="minorHAnsi"/>
          <w:szCs w:val="22"/>
        </w:rPr>
        <w:t xml:space="preserve">elivery </w:t>
      </w:r>
      <w:r w:rsidR="005C7ABC" w:rsidRPr="001B7D5F">
        <w:rPr>
          <w:rFonts w:cstheme="minorHAnsi"/>
          <w:szCs w:val="22"/>
        </w:rPr>
        <w:t>P</w:t>
      </w:r>
      <w:r w:rsidRPr="001B7D5F">
        <w:rPr>
          <w:rFonts w:cstheme="minorHAnsi"/>
          <w:szCs w:val="22"/>
        </w:rPr>
        <w:t>artners.</w:t>
      </w:r>
    </w:p>
    <w:p w14:paraId="5D397A48" w14:textId="3D2CC08C" w:rsidR="004F716F" w:rsidRPr="001B7D5F" w:rsidRDefault="004F716F" w:rsidP="00A70546">
      <w:pPr>
        <w:pStyle w:val="BodyText"/>
        <w:numPr>
          <w:ilvl w:val="0"/>
          <w:numId w:val="7"/>
        </w:numPr>
        <w:ind w:left="720"/>
        <w:rPr>
          <w:rFonts w:cstheme="minorHAnsi"/>
          <w:szCs w:val="22"/>
        </w:rPr>
      </w:pPr>
      <w:r w:rsidRPr="001B7D5F">
        <w:rPr>
          <w:rFonts w:cstheme="minorHAnsi"/>
          <w:szCs w:val="22"/>
        </w:rPr>
        <w:lastRenderedPageBreak/>
        <w:t>Ensuring accountability for expenditure of funds</w:t>
      </w:r>
      <w:r w:rsidR="00DB2711">
        <w:rPr>
          <w:rFonts w:cstheme="minorHAnsi"/>
          <w:szCs w:val="22"/>
        </w:rPr>
        <w:t>, including consideration of implementation and ongoing costs of operation</w:t>
      </w:r>
      <w:r w:rsidR="00635E46">
        <w:rPr>
          <w:rFonts w:cstheme="minorHAnsi"/>
          <w:szCs w:val="22"/>
        </w:rPr>
        <w:t xml:space="preserve"> to ensure sustainability of initiatives</w:t>
      </w:r>
      <w:r w:rsidRPr="001B7D5F">
        <w:rPr>
          <w:rFonts w:cstheme="minorHAnsi"/>
          <w:szCs w:val="22"/>
        </w:rPr>
        <w:t xml:space="preserve"> (deliberations and decisions limited to financial contributors only).</w:t>
      </w:r>
    </w:p>
    <w:p w14:paraId="1E1C7311" w14:textId="4F8DC901" w:rsidR="004F716F" w:rsidRPr="001B7D5F" w:rsidRDefault="005C7ABC" w:rsidP="00A70546">
      <w:pPr>
        <w:pStyle w:val="BodyText"/>
        <w:numPr>
          <w:ilvl w:val="0"/>
          <w:numId w:val="7"/>
        </w:numPr>
        <w:ind w:left="720"/>
        <w:rPr>
          <w:rFonts w:cstheme="minorHAnsi"/>
          <w:szCs w:val="22"/>
        </w:rPr>
      </w:pPr>
      <w:r w:rsidRPr="001B7D5F">
        <w:rPr>
          <w:rFonts w:cstheme="minorHAnsi"/>
          <w:szCs w:val="22"/>
        </w:rPr>
        <w:t>Working with Delivery Partners to deliver a n</w:t>
      </w:r>
      <w:r w:rsidR="004F716F" w:rsidRPr="001B7D5F">
        <w:rPr>
          <w:rFonts w:cstheme="minorHAnsi"/>
          <w:szCs w:val="22"/>
        </w:rPr>
        <w:t xml:space="preserve">ationally agreed </w:t>
      </w:r>
      <w:r w:rsidR="00494D29">
        <w:rPr>
          <w:rFonts w:cstheme="minorHAnsi"/>
          <w:szCs w:val="22"/>
        </w:rPr>
        <w:t>framework for</w:t>
      </w:r>
      <w:r w:rsidR="004F716F" w:rsidRPr="001B7D5F">
        <w:rPr>
          <w:rFonts w:cstheme="minorHAnsi"/>
          <w:szCs w:val="22"/>
        </w:rPr>
        <w:t xml:space="preserve"> evaluating the benefits realised over the term of the </w:t>
      </w:r>
      <w:r w:rsidR="00D74DCF" w:rsidRPr="001B7D5F">
        <w:rPr>
          <w:rFonts w:cstheme="minorHAnsi"/>
          <w:szCs w:val="22"/>
        </w:rPr>
        <w:t>Agreement</w:t>
      </w:r>
      <w:r w:rsidR="004F716F" w:rsidRPr="001B7D5F">
        <w:rPr>
          <w:rFonts w:cstheme="minorHAnsi"/>
          <w:szCs w:val="22"/>
        </w:rPr>
        <w:t>.</w:t>
      </w:r>
    </w:p>
    <w:p w14:paraId="2C47CB92" w14:textId="4449F4E9" w:rsidR="005571FC" w:rsidRPr="001B7D5F" w:rsidRDefault="001F2C62" w:rsidP="00A70546">
      <w:pPr>
        <w:pStyle w:val="BodyText"/>
        <w:numPr>
          <w:ilvl w:val="0"/>
          <w:numId w:val="7"/>
        </w:numPr>
        <w:ind w:left="720"/>
        <w:rPr>
          <w:szCs w:val="22"/>
        </w:rPr>
      </w:pPr>
      <w:r w:rsidRPr="001B7D5F">
        <w:rPr>
          <w:rFonts w:cstheme="minorHAnsi"/>
          <w:szCs w:val="22"/>
        </w:rPr>
        <w:t>Providing input to the mid-term review of the National Health Reform Agreement</w:t>
      </w:r>
      <w:r w:rsidR="00093CBD" w:rsidRPr="001B7D5F">
        <w:rPr>
          <w:rFonts w:cstheme="minorHAnsi"/>
          <w:szCs w:val="22"/>
        </w:rPr>
        <w:t xml:space="preserve"> to ensure alignment between the activities funded and managed under th</w:t>
      </w:r>
      <w:r w:rsidR="00F8582E" w:rsidRPr="001B7D5F">
        <w:rPr>
          <w:rFonts w:cstheme="minorHAnsi"/>
          <w:szCs w:val="22"/>
        </w:rPr>
        <w:t>e IGA on National Digital Health and the objectives of the National Health Reform Agreement.</w:t>
      </w:r>
    </w:p>
    <w:p w14:paraId="644574EB" w14:textId="13FE7B95" w:rsidR="000C48A0" w:rsidRPr="001B7D5F" w:rsidRDefault="000C48A0" w:rsidP="00A70546">
      <w:pPr>
        <w:pStyle w:val="BodyText"/>
        <w:numPr>
          <w:ilvl w:val="0"/>
          <w:numId w:val="7"/>
        </w:numPr>
        <w:ind w:left="720"/>
        <w:rPr>
          <w:szCs w:val="22"/>
        </w:rPr>
      </w:pPr>
      <w:r w:rsidRPr="001B7D5F">
        <w:rPr>
          <w:rFonts w:cstheme="minorHAnsi"/>
          <w:szCs w:val="22"/>
        </w:rPr>
        <w:t xml:space="preserve">Reporting to </w:t>
      </w:r>
      <w:r w:rsidR="00AC1AEB">
        <w:rPr>
          <w:rFonts w:cstheme="minorHAnsi"/>
          <w:szCs w:val="22"/>
        </w:rPr>
        <w:t xml:space="preserve">the </w:t>
      </w:r>
      <w:r w:rsidRPr="001B7D5F">
        <w:rPr>
          <w:rFonts w:cstheme="minorHAnsi"/>
          <w:szCs w:val="22"/>
        </w:rPr>
        <w:t>Health Chief Executive</w:t>
      </w:r>
      <w:r w:rsidR="007825A0">
        <w:rPr>
          <w:rFonts w:cstheme="minorHAnsi"/>
          <w:szCs w:val="22"/>
        </w:rPr>
        <w:t>s</w:t>
      </w:r>
      <w:r w:rsidR="00AC1AEB">
        <w:rPr>
          <w:rFonts w:cstheme="minorHAnsi"/>
          <w:szCs w:val="22"/>
        </w:rPr>
        <w:t xml:space="preserve"> Forum</w:t>
      </w:r>
      <w:r w:rsidRPr="001B7D5F">
        <w:rPr>
          <w:rFonts w:cstheme="minorHAnsi"/>
          <w:szCs w:val="22"/>
        </w:rPr>
        <w:t>, or any other relevant authoritative governance arrangement, upon request.</w:t>
      </w:r>
    </w:p>
    <w:p w14:paraId="44771A49" w14:textId="20926C0C" w:rsidR="004F716F" w:rsidRPr="004C352D" w:rsidRDefault="4707829C" w:rsidP="00A70546">
      <w:pPr>
        <w:pStyle w:val="Heading3"/>
        <w:numPr>
          <w:ilvl w:val="0"/>
          <w:numId w:val="8"/>
        </w:numPr>
      </w:pPr>
      <w:bookmarkStart w:id="113" w:name="_Toc126920725"/>
      <w:bookmarkStart w:id="114" w:name="_Toc738095147"/>
      <w:bookmarkStart w:id="115" w:name="_Toc1366928087"/>
      <w:r w:rsidRPr="004C352D">
        <w:t>Working Groups</w:t>
      </w:r>
      <w:bookmarkEnd w:id="113"/>
      <w:r w:rsidRPr="004C352D">
        <w:t xml:space="preserve"> </w:t>
      </w:r>
      <w:bookmarkEnd w:id="114"/>
      <w:bookmarkEnd w:id="115"/>
    </w:p>
    <w:p w14:paraId="28382FF6" w14:textId="2E32969A" w:rsidR="004F716F" w:rsidRPr="001B7D5F" w:rsidRDefault="004F716F" w:rsidP="00A70546">
      <w:pPr>
        <w:pStyle w:val="BodyText"/>
        <w:rPr>
          <w:rFonts w:cstheme="minorHAnsi"/>
          <w:szCs w:val="22"/>
        </w:rPr>
      </w:pPr>
      <w:r w:rsidRPr="001B7D5F">
        <w:rPr>
          <w:rFonts w:cstheme="minorHAnsi"/>
          <w:szCs w:val="22"/>
        </w:rPr>
        <w:t xml:space="preserve">The </w:t>
      </w:r>
      <w:r w:rsidRPr="001B7D5F">
        <w:rPr>
          <w:rFonts w:cstheme="minorHAnsi"/>
          <w:color w:val="auto"/>
          <w:szCs w:val="22"/>
        </w:rPr>
        <w:t xml:space="preserve">Oversight Committee </w:t>
      </w:r>
      <w:r w:rsidR="00BF73F7" w:rsidRPr="001B7D5F">
        <w:rPr>
          <w:rFonts w:cstheme="minorHAnsi"/>
          <w:color w:val="auto"/>
          <w:szCs w:val="22"/>
        </w:rPr>
        <w:t>may</w:t>
      </w:r>
      <w:r w:rsidR="00BF73F7" w:rsidRPr="001B7D5F">
        <w:rPr>
          <w:rFonts w:cstheme="minorHAnsi"/>
          <w:szCs w:val="22"/>
        </w:rPr>
        <w:t xml:space="preserve"> </w:t>
      </w:r>
      <w:r w:rsidRPr="001B7D5F">
        <w:rPr>
          <w:rFonts w:cstheme="minorHAnsi"/>
          <w:szCs w:val="22"/>
        </w:rPr>
        <w:t xml:space="preserve">establish topic or project specific working groups, as required, to support the work </w:t>
      </w:r>
      <w:r w:rsidRPr="001B7D5F">
        <w:t>of</w:t>
      </w:r>
      <w:r w:rsidRPr="001B7D5F">
        <w:rPr>
          <w:rFonts w:cstheme="minorHAnsi"/>
          <w:szCs w:val="22"/>
        </w:rPr>
        <w:t xml:space="preserve"> the committee. </w:t>
      </w:r>
    </w:p>
    <w:p w14:paraId="78A8F844" w14:textId="77777777" w:rsidR="004F716F" w:rsidRPr="001B7D5F" w:rsidRDefault="4707829C" w:rsidP="00A70546">
      <w:pPr>
        <w:pStyle w:val="Heading3"/>
        <w:numPr>
          <w:ilvl w:val="0"/>
          <w:numId w:val="8"/>
        </w:numPr>
      </w:pPr>
      <w:bookmarkStart w:id="116" w:name="_Toc126920726"/>
      <w:bookmarkStart w:id="117" w:name="_Toc564981224"/>
      <w:bookmarkStart w:id="118" w:name="_Toc496010482"/>
      <w:r w:rsidRPr="001B7D5F">
        <w:t>Membership and Quorum</w:t>
      </w:r>
      <w:bookmarkEnd w:id="116"/>
      <w:r w:rsidRPr="001B7D5F">
        <w:t xml:space="preserve"> </w:t>
      </w:r>
      <w:bookmarkEnd w:id="117"/>
      <w:bookmarkEnd w:id="118"/>
    </w:p>
    <w:p w14:paraId="6700DA2D" w14:textId="2937D0AD" w:rsidR="004F716F" w:rsidRPr="001B7D5F" w:rsidRDefault="004F716F" w:rsidP="00A70546">
      <w:pPr>
        <w:pStyle w:val="BodyText"/>
        <w:rPr>
          <w:rFonts w:cstheme="minorHAnsi"/>
          <w:szCs w:val="22"/>
        </w:rPr>
      </w:pPr>
      <w:r w:rsidRPr="001B7D5F">
        <w:rPr>
          <w:rFonts w:cstheme="minorHAnsi"/>
          <w:szCs w:val="22"/>
        </w:rPr>
        <w:t xml:space="preserve">The </w:t>
      </w:r>
      <w:r w:rsidRPr="001B7D5F">
        <w:rPr>
          <w:rFonts w:cstheme="minorHAnsi"/>
          <w:color w:val="auto"/>
          <w:szCs w:val="22"/>
        </w:rPr>
        <w:t xml:space="preserve">Oversight Committee </w:t>
      </w:r>
      <w:r w:rsidRPr="001B7D5F">
        <w:rPr>
          <w:rFonts w:cstheme="minorHAnsi"/>
          <w:szCs w:val="22"/>
        </w:rPr>
        <w:t xml:space="preserve">will comprise of one representative from </w:t>
      </w:r>
      <w:r w:rsidR="00AE1287" w:rsidRPr="001B7D5F">
        <w:rPr>
          <w:rFonts w:cstheme="minorHAnsi"/>
          <w:szCs w:val="22"/>
        </w:rPr>
        <w:t>each</w:t>
      </w:r>
      <w:r w:rsidRPr="001B7D5F">
        <w:rPr>
          <w:rFonts w:cstheme="minorHAnsi"/>
          <w:szCs w:val="22"/>
        </w:rPr>
        <w:t xml:space="preserve"> </w:t>
      </w:r>
      <w:r w:rsidR="00AE1287" w:rsidRPr="001B7D5F">
        <w:rPr>
          <w:rFonts w:cstheme="minorHAnsi"/>
          <w:szCs w:val="22"/>
        </w:rPr>
        <w:t xml:space="preserve">jurisdiction. </w:t>
      </w:r>
    </w:p>
    <w:p w14:paraId="3F3E86DF" w14:textId="4E4FABD5" w:rsidR="0076394C" w:rsidRPr="001B7D5F" w:rsidRDefault="004F716F" w:rsidP="00A70546">
      <w:pPr>
        <w:pStyle w:val="BodyText"/>
        <w:rPr>
          <w:rFonts w:cstheme="minorHAnsi"/>
          <w:szCs w:val="22"/>
        </w:rPr>
      </w:pPr>
      <w:r w:rsidRPr="001B7D5F">
        <w:rPr>
          <w:rFonts w:cstheme="minorHAnsi"/>
          <w:szCs w:val="22"/>
        </w:rPr>
        <w:t xml:space="preserve">The </w:t>
      </w:r>
      <w:r w:rsidR="00BF73F7" w:rsidRPr="001B7D5F">
        <w:rPr>
          <w:rFonts w:cstheme="minorHAnsi"/>
          <w:szCs w:val="22"/>
        </w:rPr>
        <w:t xml:space="preserve">Oversight </w:t>
      </w:r>
      <w:r w:rsidRPr="001B7D5F">
        <w:t>Committee</w:t>
      </w:r>
      <w:r w:rsidRPr="001B7D5F">
        <w:rPr>
          <w:rFonts w:cstheme="minorHAnsi"/>
          <w:szCs w:val="22"/>
        </w:rPr>
        <w:t xml:space="preserve"> will be </w:t>
      </w:r>
      <w:r w:rsidR="00944CAA">
        <w:rPr>
          <w:rFonts w:cstheme="minorHAnsi"/>
          <w:szCs w:val="22"/>
        </w:rPr>
        <w:t>co-</w:t>
      </w:r>
      <w:r w:rsidR="0076394C" w:rsidRPr="001B7D5F">
        <w:rPr>
          <w:rFonts w:cstheme="minorHAnsi"/>
          <w:szCs w:val="22"/>
        </w:rPr>
        <w:t>chaired</w:t>
      </w:r>
      <w:r w:rsidRPr="001B7D5F">
        <w:rPr>
          <w:rFonts w:cstheme="minorHAnsi"/>
          <w:szCs w:val="22"/>
        </w:rPr>
        <w:t xml:space="preserve"> by</w:t>
      </w:r>
      <w:r w:rsidR="00944CAA">
        <w:rPr>
          <w:rFonts w:cstheme="minorHAnsi"/>
          <w:szCs w:val="22"/>
        </w:rPr>
        <w:t xml:space="preserve"> the Commonwealth and</w:t>
      </w:r>
      <w:r w:rsidR="004A4452" w:rsidRPr="001B7D5F">
        <w:rPr>
          <w:rFonts w:cstheme="minorHAnsi"/>
          <w:szCs w:val="22"/>
        </w:rPr>
        <w:t xml:space="preserve"> </w:t>
      </w:r>
      <w:r w:rsidR="0076394C" w:rsidRPr="001B7D5F">
        <w:rPr>
          <w:rFonts w:cstheme="minorHAnsi"/>
          <w:szCs w:val="22"/>
        </w:rPr>
        <w:t xml:space="preserve">one </w:t>
      </w:r>
      <w:r w:rsidR="004A4452" w:rsidRPr="001B7D5F">
        <w:rPr>
          <w:rFonts w:cstheme="minorHAnsi"/>
          <w:szCs w:val="22"/>
        </w:rPr>
        <w:t>jurisdiction</w:t>
      </w:r>
      <w:r w:rsidR="0076394C" w:rsidRPr="001B7D5F">
        <w:rPr>
          <w:rFonts w:cstheme="minorHAnsi"/>
          <w:szCs w:val="22"/>
        </w:rPr>
        <w:t xml:space="preserve">, to be rotated annually </w:t>
      </w:r>
      <w:r w:rsidR="007333AA" w:rsidRPr="001B7D5F">
        <w:rPr>
          <w:rFonts w:cstheme="minorHAnsi"/>
          <w:szCs w:val="22"/>
        </w:rPr>
        <w:t xml:space="preserve">or as agreed by the members. </w:t>
      </w:r>
    </w:p>
    <w:p w14:paraId="26BED427" w14:textId="3E0BB0D0" w:rsidR="004F716F" w:rsidRPr="001B7D5F" w:rsidRDefault="00CB7818" w:rsidP="00A70546">
      <w:pPr>
        <w:pStyle w:val="BodyText"/>
        <w:rPr>
          <w:rFonts w:cstheme="minorHAnsi"/>
          <w:szCs w:val="22"/>
        </w:rPr>
      </w:pPr>
      <w:r w:rsidRPr="001B7D5F">
        <w:rPr>
          <w:rFonts w:cstheme="minorHAnsi"/>
          <w:color w:val="auto"/>
          <w:szCs w:val="22"/>
        </w:rPr>
        <w:t>Oversight Committee</w:t>
      </w:r>
      <w:r w:rsidRPr="001B7D5F">
        <w:rPr>
          <w:rFonts w:cstheme="minorHAnsi"/>
          <w:szCs w:val="22"/>
        </w:rPr>
        <w:t xml:space="preserve"> </w:t>
      </w:r>
      <w:r w:rsidR="004F716F" w:rsidRPr="001B7D5F">
        <w:rPr>
          <w:rFonts w:cstheme="minorHAnsi"/>
          <w:szCs w:val="22"/>
        </w:rPr>
        <w:t>members may nominate a proxy in the event they are unable to attend a meeting. Members and proxies must be sufficiently senior to be able to provide advice or make decisions on behalf of their jurisdiction.</w:t>
      </w:r>
    </w:p>
    <w:p w14:paraId="01DDB3EA" w14:textId="266F61FA" w:rsidR="004F716F" w:rsidRPr="001B7D5F" w:rsidRDefault="00AE1287" w:rsidP="00A70546">
      <w:pPr>
        <w:pStyle w:val="BodyText"/>
        <w:rPr>
          <w:rFonts w:cstheme="minorHAnsi"/>
          <w:szCs w:val="22"/>
        </w:rPr>
      </w:pPr>
      <w:r w:rsidRPr="001B7D5F">
        <w:rPr>
          <w:rFonts w:cstheme="minorHAnsi"/>
          <w:szCs w:val="22"/>
        </w:rPr>
        <w:t xml:space="preserve">One representative from each of the following </w:t>
      </w:r>
      <w:r w:rsidR="005C7ABC" w:rsidRPr="001B7D5F">
        <w:rPr>
          <w:rFonts w:cstheme="minorHAnsi"/>
          <w:szCs w:val="22"/>
        </w:rPr>
        <w:t>D</w:t>
      </w:r>
      <w:r w:rsidRPr="001B7D5F">
        <w:rPr>
          <w:rFonts w:cstheme="minorHAnsi"/>
          <w:szCs w:val="22"/>
        </w:rPr>
        <w:t xml:space="preserve">elivery </w:t>
      </w:r>
      <w:r w:rsidR="005C7ABC" w:rsidRPr="001B7D5F">
        <w:rPr>
          <w:rFonts w:cstheme="minorHAnsi"/>
          <w:szCs w:val="22"/>
        </w:rPr>
        <w:t>P</w:t>
      </w:r>
      <w:r w:rsidRPr="001B7D5F">
        <w:rPr>
          <w:rFonts w:cstheme="minorHAnsi"/>
          <w:szCs w:val="22"/>
        </w:rPr>
        <w:t>artners will also be invited to the Oversight Committee to provide advice and expertise as required</w:t>
      </w:r>
      <w:r w:rsidR="00CB7818" w:rsidRPr="001B7D5F">
        <w:rPr>
          <w:rFonts w:cstheme="minorHAnsi"/>
          <w:color w:val="auto"/>
          <w:szCs w:val="22"/>
        </w:rPr>
        <w:t>:</w:t>
      </w:r>
    </w:p>
    <w:p w14:paraId="314BC005" w14:textId="7E3840FA" w:rsidR="004F716F" w:rsidRPr="001B7D5F" w:rsidRDefault="00AE1287" w:rsidP="00A70546">
      <w:pPr>
        <w:pStyle w:val="BodyText"/>
        <w:numPr>
          <w:ilvl w:val="0"/>
          <w:numId w:val="7"/>
        </w:numPr>
        <w:ind w:left="720"/>
        <w:rPr>
          <w:rFonts w:cstheme="minorHAnsi"/>
          <w:szCs w:val="22"/>
        </w:rPr>
      </w:pPr>
      <w:r w:rsidRPr="001B7D5F">
        <w:rPr>
          <w:rFonts w:cstheme="minorHAnsi"/>
          <w:szCs w:val="22"/>
        </w:rPr>
        <w:t>Australian Digital Health Agency</w:t>
      </w:r>
    </w:p>
    <w:p w14:paraId="42125982" w14:textId="6E1192C4" w:rsidR="004F716F" w:rsidRPr="001B7D5F" w:rsidRDefault="00AE1287" w:rsidP="00A70546">
      <w:pPr>
        <w:pStyle w:val="BodyText"/>
        <w:numPr>
          <w:ilvl w:val="0"/>
          <w:numId w:val="7"/>
        </w:numPr>
        <w:ind w:left="720"/>
        <w:rPr>
          <w:rFonts w:cstheme="minorHAnsi"/>
          <w:szCs w:val="22"/>
        </w:rPr>
      </w:pPr>
      <w:r w:rsidRPr="001B7D5F">
        <w:rPr>
          <w:rFonts w:cstheme="minorHAnsi"/>
          <w:szCs w:val="22"/>
        </w:rPr>
        <w:t>Services Australia</w:t>
      </w:r>
    </w:p>
    <w:p w14:paraId="5500AAF7" w14:textId="19DC879E" w:rsidR="004F716F" w:rsidRPr="001B7D5F" w:rsidRDefault="00AE1287" w:rsidP="00A70546">
      <w:pPr>
        <w:pStyle w:val="BodyText"/>
        <w:numPr>
          <w:ilvl w:val="0"/>
          <w:numId w:val="7"/>
        </w:numPr>
        <w:ind w:left="720"/>
        <w:rPr>
          <w:rFonts w:cstheme="minorHAnsi"/>
          <w:szCs w:val="22"/>
        </w:rPr>
      </w:pPr>
      <w:r w:rsidRPr="001B7D5F">
        <w:rPr>
          <w:rFonts w:cstheme="minorHAnsi"/>
          <w:szCs w:val="22"/>
        </w:rPr>
        <w:t>Health</w:t>
      </w:r>
      <w:r w:rsidR="00D659D0" w:rsidRPr="001B7D5F">
        <w:rPr>
          <w:rFonts w:cstheme="minorHAnsi"/>
          <w:szCs w:val="22"/>
        </w:rPr>
        <w:t>d</w:t>
      </w:r>
      <w:r w:rsidRPr="001B7D5F">
        <w:rPr>
          <w:rFonts w:cstheme="minorHAnsi"/>
          <w:szCs w:val="22"/>
        </w:rPr>
        <w:t>irect</w:t>
      </w:r>
      <w:r w:rsidR="00D659D0" w:rsidRPr="001B7D5F">
        <w:rPr>
          <w:rFonts w:cstheme="minorHAnsi"/>
          <w:szCs w:val="22"/>
        </w:rPr>
        <w:t xml:space="preserve"> Australia</w:t>
      </w:r>
    </w:p>
    <w:p w14:paraId="15AB9E4C" w14:textId="0D64FD0A" w:rsidR="004F716F" w:rsidRPr="001B7D5F" w:rsidRDefault="004F716F" w:rsidP="00A70546">
      <w:pPr>
        <w:pStyle w:val="BodyText"/>
        <w:numPr>
          <w:ilvl w:val="0"/>
          <w:numId w:val="7"/>
        </w:numPr>
        <w:ind w:left="720"/>
        <w:rPr>
          <w:rFonts w:cstheme="minorHAnsi"/>
          <w:szCs w:val="22"/>
        </w:rPr>
      </w:pPr>
      <w:r w:rsidRPr="001B7D5F">
        <w:rPr>
          <w:rFonts w:cstheme="minorHAnsi"/>
          <w:szCs w:val="22"/>
        </w:rPr>
        <w:t>Other stakeholders as mutually agreed</w:t>
      </w:r>
      <w:r w:rsidR="000A5CC7" w:rsidRPr="001B7D5F">
        <w:rPr>
          <w:rFonts w:cstheme="minorHAnsi"/>
          <w:szCs w:val="22"/>
        </w:rPr>
        <w:t xml:space="preserve"> by the </w:t>
      </w:r>
      <w:r w:rsidR="002F3437">
        <w:rPr>
          <w:rFonts w:cstheme="minorHAnsi"/>
          <w:szCs w:val="22"/>
        </w:rPr>
        <w:t>Oversight Committee</w:t>
      </w:r>
      <w:r w:rsidR="00712E55" w:rsidRPr="001B7D5F">
        <w:rPr>
          <w:rFonts w:cstheme="minorHAnsi"/>
          <w:szCs w:val="22"/>
        </w:rPr>
        <w:t>.</w:t>
      </w:r>
    </w:p>
    <w:p w14:paraId="5B400DFE" w14:textId="2AE7CDBC" w:rsidR="00AE1287" w:rsidRPr="001B7D5F" w:rsidRDefault="004B5887" w:rsidP="00A70546">
      <w:pPr>
        <w:pStyle w:val="BodyText"/>
        <w:rPr>
          <w:rFonts w:cstheme="minorHAnsi"/>
          <w:szCs w:val="22"/>
        </w:rPr>
      </w:pPr>
      <w:r w:rsidRPr="001B7D5F">
        <w:rPr>
          <w:rFonts w:cstheme="minorHAnsi"/>
          <w:szCs w:val="22"/>
        </w:rPr>
        <w:t xml:space="preserve">Representatives </w:t>
      </w:r>
      <w:r w:rsidR="000226B6" w:rsidRPr="001B7D5F">
        <w:rPr>
          <w:rFonts w:cstheme="minorHAnsi"/>
          <w:szCs w:val="22"/>
        </w:rPr>
        <w:t xml:space="preserve">of Delivery Partners </w:t>
      </w:r>
      <w:r w:rsidRPr="001B7D5F">
        <w:rPr>
          <w:rFonts w:cstheme="minorHAnsi"/>
          <w:szCs w:val="22"/>
        </w:rPr>
        <w:t>will not be part</w:t>
      </w:r>
      <w:r w:rsidR="007275A2" w:rsidRPr="001B7D5F">
        <w:rPr>
          <w:rFonts w:cstheme="minorHAnsi"/>
          <w:szCs w:val="22"/>
        </w:rPr>
        <w:t>y</w:t>
      </w:r>
      <w:r w:rsidRPr="001B7D5F">
        <w:rPr>
          <w:rFonts w:cstheme="minorHAnsi"/>
          <w:szCs w:val="22"/>
        </w:rPr>
        <w:t xml:space="preserve"> </w:t>
      </w:r>
      <w:r w:rsidR="007275A2" w:rsidRPr="001B7D5F">
        <w:rPr>
          <w:rFonts w:cstheme="minorHAnsi"/>
          <w:szCs w:val="22"/>
        </w:rPr>
        <w:t>to</w:t>
      </w:r>
      <w:r w:rsidRPr="001B7D5F">
        <w:rPr>
          <w:rFonts w:cstheme="minorHAnsi"/>
          <w:szCs w:val="22"/>
        </w:rPr>
        <w:t xml:space="preserve"> budget allocation discussions or hav</w:t>
      </w:r>
      <w:r w:rsidR="007275A2" w:rsidRPr="001B7D5F">
        <w:rPr>
          <w:rFonts w:cstheme="minorHAnsi"/>
          <w:szCs w:val="22"/>
        </w:rPr>
        <w:t>e</w:t>
      </w:r>
      <w:r w:rsidRPr="001B7D5F">
        <w:rPr>
          <w:rFonts w:cstheme="minorHAnsi"/>
          <w:szCs w:val="22"/>
        </w:rPr>
        <w:t xml:space="preserve"> voting rights. </w:t>
      </w:r>
    </w:p>
    <w:p w14:paraId="73E497E8" w14:textId="77777777" w:rsidR="004F716F" w:rsidRPr="001B7D5F" w:rsidRDefault="4707829C" w:rsidP="00A70546">
      <w:pPr>
        <w:pStyle w:val="Heading3"/>
        <w:rPr>
          <w:sz w:val="22"/>
          <w:szCs w:val="22"/>
        </w:rPr>
      </w:pPr>
      <w:bookmarkStart w:id="119" w:name="_Toc421254810"/>
      <w:bookmarkStart w:id="120" w:name="_Toc220609530"/>
      <w:r w:rsidRPr="001B7D5F">
        <w:rPr>
          <w:sz w:val="22"/>
          <w:szCs w:val="22"/>
        </w:rPr>
        <w:t>Quorum</w:t>
      </w:r>
      <w:bookmarkEnd w:id="119"/>
      <w:bookmarkEnd w:id="120"/>
    </w:p>
    <w:p w14:paraId="23A4985E" w14:textId="24F0EF36" w:rsidR="004F716F" w:rsidRPr="001B7D5F" w:rsidRDefault="004F716F" w:rsidP="00A70546">
      <w:pPr>
        <w:pStyle w:val="BodyText"/>
        <w:rPr>
          <w:rFonts w:cstheme="minorHAnsi"/>
          <w:szCs w:val="22"/>
        </w:rPr>
      </w:pPr>
      <w:r w:rsidRPr="001B7D5F">
        <w:rPr>
          <w:rFonts w:cstheme="minorHAnsi"/>
          <w:szCs w:val="22"/>
        </w:rPr>
        <w:t xml:space="preserve">The quorum for a meeting is </w:t>
      </w:r>
      <w:r w:rsidR="00AC1AEB">
        <w:rPr>
          <w:rFonts w:cstheme="minorHAnsi"/>
          <w:szCs w:val="22"/>
        </w:rPr>
        <w:t>75</w:t>
      </w:r>
      <w:r w:rsidRPr="001B7D5F">
        <w:rPr>
          <w:rFonts w:cstheme="minorHAnsi"/>
          <w:szCs w:val="22"/>
        </w:rPr>
        <w:t>% of</w:t>
      </w:r>
      <w:r w:rsidR="00DB639C">
        <w:rPr>
          <w:rFonts w:cstheme="minorHAnsi"/>
          <w:szCs w:val="22"/>
        </w:rPr>
        <w:t xml:space="preserve"> voting</w:t>
      </w:r>
      <w:r w:rsidRPr="001B7D5F">
        <w:rPr>
          <w:rFonts w:cstheme="minorHAnsi"/>
          <w:szCs w:val="22"/>
        </w:rPr>
        <w:t xml:space="preserve"> </w:t>
      </w:r>
      <w:r w:rsidR="00CB7818" w:rsidRPr="001B7D5F">
        <w:rPr>
          <w:rFonts w:cstheme="minorHAnsi"/>
          <w:color w:val="auto"/>
          <w:szCs w:val="22"/>
        </w:rPr>
        <w:t>Oversight Committee</w:t>
      </w:r>
      <w:r w:rsidR="00CB7818" w:rsidRPr="001B7D5F">
        <w:rPr>
          <w:rFonts w:cstheme="minorHAnsi"/>
          <w:szCs w:val="22"/>
        </w:rPr>
        <w:t xml:space="preserve"> </w:t>
      </w:r>
      <w:r w:rsidRPr="001B7D5F">
        <w:rPr>
          <w:rFonts w:cstheme="minorHAnsi"/>
          <w:szCs w:val="22"/>
        </w:rPr>
        <w:t xml:space="preserve">members plus one more </w:t>
      </w:r>
      <w:r w:rsidR="00CB7818" w:rsidRPr="001B7D5F">
        <w:rPr>
          <w:rFonts w:cstheme="minorHAnsi"/>
          <w:color w:val="auto"/>
          <w:szCs w:val="22"/>
        </w:rPr>
        <w:t>Oversight Committee</w:t>
      </w:r>
      <w:r w:rsidR="00CB7818" w:rsidRPr="001B7D5F">
        <w:rPr>
          <w:rFonts w:cstheme="minorHAnsi"/>
          <w:szCs w:val="22"/>
        </w:rPr>
        <w:t xml:space="preserve"> </w:t>
      </w:r>
      <w:r w:rsidRPr="001B7D5F">
        <w:t>member</w:t>
      </w:r>
      <w:r w:rsidRPr="001B7D5F">
        <w:rPr>
          <w:rFonts w:cstheme="minorHAnsi"/>
          <w:szCs w:val="22"/>
        </w:rPr>
        <w:t xml:space="preserve">. </w:t>
      </w:r>
    </w:p>
    <w:p w14:paraId="562FCF02" w14:textId="6415D622" w:rsidR="008A2686" w:rsidRPr="001B7D5F" w:rsidRDefault="004F716F" w:rsidP="00A70546">
      <w:pPr>
        <w:pStyle w:val="BodyText"/>
        <w:rPr>
          <w:rFonts w:cstheme="minorHAnsi"/>
          <w:szCs w:val="22"/>
        </w:rPr>
      </w:pPr>
      <w:r w:rsidRPr="001B7D5F">
        <w:rPr>
          <w:rFonts w:cstheme="minorHAnsi"/>
          <w:szCs w:val="22"/>
        </w:rPr>
        <w:t>It is likely that some decisions and consideration of issues will need to be made through an out</w:t>
      </w:r>
      <w:r w:rsidR="000A5CC7" w:rsidRPr="001B7D5F">
        <w:rPr>
          <w:rFonts w:cstheme="minorHAnsi"/>
          <w:szCs w:val="22"/>
        </w:rPr>
        <w:t>-</w:t>
      </w:r>
      <w:r w:rsidRPr="001B7D5F">
        <w:rPr>
          <w:rFonts w:cstheme="minorHAnsi"/>
          <w:szCs w:val="22"/>
        </w:rPr>
        <w:t>of</w:t>
      </w:r>
      <w:r w:rsidR="000A5CC7" w:rsidRPr="001B7D5F">
        <w:rPr>
          <w:rFonts w:cstheme="minorHAnsi"/>
          <w:szCs w:val="22"/>
        </w:rPr>
        <w:t>-</w:t>
      </w:r>
      <w:r w:rsidRPr="001B7D5F">
        <w:rPr>
          <w:rFonts w:cstheme="minorHAnsi"/>
          <w:szCs w:val="22"/>
        </w:rPr>
        <w:t xml:space="preserve">session </w:t>
      </w:r>
      <w:r w:rsidRPr="001B7D5F">
        <w:t>process</w:t>
      </w:r>
      <w:r w:rsidRPr="001B7D5F">
        <w:rPr>
          <w:rFonts w:cstheme="minorHAnsi"/>
          <w:szCs w:val="22"/>
        </w:rPr>
        <w:t>. The Secretariat</w:t>
      </w:r>
      <w:r w:rsidR="00BF73F7" w:rsidRPr="001B7D5F">
        <w:rPr>
          <w:rFonts w:cstheme="minorHAnsi"/>
          <w:szCs w:val="22"/>
        </w:rPr>
        <w:t xml:space="preserve"> of the Oversight Committee</w:t>
      </w:r>
      <w:r w:rsidRPr="001B7D5F">
        <w:rPr>
          <w:rFonts w:cstheme="minorHAnsi"/>
          <w:szCs w:val="22"/>
        </w:rPr>
        <w:t xml:space="preserve"> will provide guidance on the process to consider issues out of session, when and as required.  </w:t>
      </w:r>
    </w:p>
    <w:p w14:paraId="2EDF75E9" w14:textId="77777777" w:rsidR="004F716F" w:rsidRPr="001B7D5F" w:rsidRDefault="4707829C" w:rsidP="00A70546">
      <w:pPr>
        <w:pStyle w:val="Heading3"/>
        <w:numPr>
          <w:ilvl w:val="0"/>
          <w:numId w:val="8"/>
        </w:numPr>
      </w:pPr>
      <w:bookmarkStart w:id="121" w:name="_Toc126920728"/>
      <w:bookmarkStart w:id="122" w:name="_Toc375961752"/>
      <w:bookmarkStart w:id="123" w:name="_Toc863745619"/>
      <w:r w:rsidRPr="001B7D5F">
        <w:t>Meetings</w:t>
      </w:r>
      <w:bookmarkEnd w:id="121"/>
      <w:r w:rsidRPr="001B7D5F">
        <w:t xml:space="preserve"> </w:t>
      </w:r>
      <w:bookmarkEnd w:id="122"/>
      <w:bookmarkEnd w:id="123"/>
    </w:p>
    <w:p w14:paraId="4DBB3A9E" w14:textId="77777777" w:rsidR="004F716F" w:rsidRPr="001B7D5F" w:rsidRDefault="4707829C" w:rsidP="00A70546">
      <w:pPr>
        <w:pStyle w:val="Heading3"/>
        <w:rPr>
          <w:b w:val="0"/>
          <w:sz w:val="22"/>
          <w:szCs w:val="22"/>
        </w:rPr>
      </w:pPr>
      <w:bookmarkStart w:id="124" w:name="_Toc119291281"/>
      <w:bookmarkStart w:id="125" w:name="_Toc2006793897"/>
      <w:r w:rsidRPr="001B7D5F">
        <w:rPr>
          <w:sz w:val="22"/>
          <w:szCs w:val="22"/>
        </w:rPr>
        <w:t>Timing</w:t>
      </w:r>
      <w:bookmarkEnd w:id="124"/>
      <w:bookmarkEnd w:id="125"/>
    </w:p>
    <w:p w14:paraId="22C4AA79" w14:textId="3F0D9A3E" w:rsidR="004F716F" w:rsidRPr="001B7D5F" w:rsidRDefault="004F716F" w:rsidP="00A70546">
      <w:pPr>
        <w:pStyle w:val="BodyText"/>
        <w:rPr>
          <w:rFonts w:cstheme="minorHAnsi"/>
          <w:szCs w:val="22"/>
        </w:rPr>
      </w:pPr>
      <w:r w:rsidRPr="001B7D5F">
        <w:rPr>
          <w:rFonts w:cstheme="minorHAnsi"/>
          <w:szCs w:val="22"/>
        </w:rPr>
        <w:t xml:space="preserve">The </w:t>
      </w:r>
      <w:r w:rsidR="00CB7818" w:rsidRPr="001B7D5F">
        <w:rPr>
          <w:rFonts w:cstheme="minorHAnsi"/>
          <w:color w:val="auto"/>
          <w:szCs w:val="22"/>
        </w:rPr>
        <w:t>Oversight Committee</w:t>
      </w:r>
      <w:r w:rsidR="00CB7818" w:rsidRPr="001B7D5F">
        <w:rPr>
          <w:rFonts w:cstheme="minorHAnsi"/>
          <w:szCs w:val="22"/>
        </w:rPr>
        <w:t xml:space="preserve"> </w:t>
      </w:r>
      <w:r w:rsidRPr="001B7D5F">
        <w:rPr>
          <w:rFonts w:cstheme="minorHAnsi"/>
          <w:szCs w:val="22"/>
        </w:rPr>
        <w:t>commence</w:t>
      </w:r>
      <w:r w:rsidR="00CB7818" w:rsidRPr="001B7D5F">
        <w:rPr>
          <w:rFonts w:cstheme="minorHAnsi"/>
          <w:szCs w:val="22"/>
        </w:rPr>
        <w:t>s</w:t>
      </w:r>
      <w:r w:rsidRPr="001B7D5F">
        <w:rPr>
          <w:rFonts w:cstheme="minorHAnsi"/>
          <w:szCs w:val="22"/>
        </w:rPr>
        <w:t xml:space="preserve"> on </w:t>
      </w:r>
      <w:r w:rsidR="00CB7818" w:rsidRPr="001B7D5F">
        <w:rPr>
          <w:rFonts w:cstheme="minorHAnsi"/>
          <w:color w:val="auto"/>
          <w:szCs w:val="22"/>
        </w:rPr>
        <w:t>1 July 202</w:t>
      </w:r>
      <w:r w:rsidR="000226B6" w:rsidRPr="001B7D5F">
        <w:rPr>
          <w:rFonts w:cstheme="minorHAnsi"/>
          <w:color w:val="auto"/>
          <w:szCs w:val="22"/>
        </w:rPr>
        <w:t>3</w:t>
      </w:r>
      <w:r w:rsidR="00CB7818" w:rsidRPr="001B7D5F">
        <w:rPr>
          <w:rFonts w:cstheme="minorHAnsi"/>
          <w:color w:val="auto"/>
          <w:szCs w:val="22"/>
        </w:rPr>
        <w:t xml:space="preserve"> </w:t>
      </w:r>
      <w:r w:rsidRPr="001B7D5F">
        <w:rPr>
          <w:rFonts w:cstheme="minorHAnsi"/>
          <w:szCs w:val="22"/>
        </w:rPr>
        <w:t xml:space="preserve">for a period of </w:t>
      </w:r>
      <w:r w:rsidR="00CB7818" w:rsidRPr="001B7D5F">
        <w:rPr>
          <w:rFonts w:cstheme="minorHAnsi"/>
          <w:color w:val="auto"/>
          <w:szCs w:val="22"/>
        </w:rPr>
        <w:t>4 years</w:t>
      </w:r>
      <w:r w:rsidRPr="001B7D5F">
        <w:rPr>
          <w:rFonts w:cstheme="minorHAnsi"/>
          <w:szCs w:val="22"/>
        </w:rPr>
        <w:t xml:space="preserve">. Meetings will be held </w:t>
      </w:r>
      <w:r w:rsidR="00FA1CA2" w:rsidRPr="001B7D5F">
        <w:rPr>
          <w:rFonts w:cstheme="minorHAnsi"/>
          <w:szCs w:val="22"/>
        </w:rPr>
        <w:t>quarterly</w:t>
      </w:r>
      <w:r w:rsidRPr="001B7D5F">
        <w:rPr>
          <w:rFonts w:cstheme="minorHAnsi"/>
          <w:szCs w:val="22"/>
        </w:rPr>
        <w:t xml:space="preserve"> or as required and will be scheduled with consideration to the </w:t>
      </w:r>
      <w:r w:rsidR="00391F99">
        <w:rPr>
          <w:rFonts w:cstheme="minorHAnsi"/>
          <w:szCs w:val="22"/>
        </w:rPr>
        <w:t xml:space="preserve">Agency </w:t>
      </w:r>
      <w:r w:rsidRPr="001B7D5F">
        <w:rPr>
          <w:rFonts w:cstheme="minorHAnsi"/>
          <w:szCs w:val="22"/>
        </w:rPr>
        <w:t xml:space="preserve">Jurisdictional </w:t>
      </w:r>
      <w:r w:rsidRPr="001B7D5F">
        <w:rPr>
          <w:rFonts w:cstheme="minorHAnsi"/>
          <w:szCs w:val="22"/>
        </w:rPr>
        <w:lastRenderedPageBreak/>
        <w:t>Advisory Committee’s schedule</w:t>
      </w:r>
      <w:r w:rsidR="00F468A7" w:rsidRPr="001B7D5F">
        <w:rPr>
          <w:rFonts w:cstheme="minorHAnsi"/>
          <w:szCs w:val="22"/>
        </w:rPr>
        <w:t xml:space="preserve"> and any other jurisdictional governance structures as identified by the Oversight Committee</w:t>
      </w:r>
      <w:r w:rsidRPr="001B7D5F">
        <w:rPr>
          <w:rFonts w:cstheme="minorHAnsi"/>
          <w:szCs w:val="22"/>
        </w:rPr>
        <w:t xml:space="preserve">. </w:t>
      </w:r>
    </w:p>
    <w:p w14:paraId="257FBB71" w14:textId="764C1BA8" w:rsidR="00816182" w:rsidRPr="001B7D5F" w:rsidRDefault="00816182" w:rsidP="00A70546">
      <w:pPr>
        <w:pStyle w:val="BodyText"/>
        <w:rPr>
          <w:rFonts w:cstheme="minorHAnsi"/>
          <w:szCs w:val="22"/>
        </w:rPr>
      </w:pPr>
      <w:r w:rsidRPr="001B7D5F">
        <w:rPr>
          <w:rFonts w:cstheme="minorHAnsi"/>
          <w:szCs w:val="22"/>
        </w:rPr>
        <w:t xml:space="preserve">Minutes </w:t>
      </w:r>
      <w:r w:rsidR="00156852">
        <w:rPr>
          <w:rFonts w:cstheme="minorHAnsi"/>
          <w:szCs w:val="22"/>
        </w:rPr>
        <w:t xml:space="preserve">and any action items arising </w:t>
      </w:r>
      <w:r w:rsidRPr="001B7D5F">
        <w:rPr>
          <w:rFonts w:cstheme="minorHAnsi"/>
          <w:szCs w:val="22"/>
        </w:rPr>
        <w:t xml:space="preserve">from each meeting will be circulated by the Secretariat within </w:t>
      </w:r>
      <w:r w:rsidR="00156852">
        <w:rPr>
          <w:rFonts w:cstheme="minorHAnsi"/>
          <w:szCs w:val="22"/>
        </w:rPr>
        <w:t>ten business days</w:t>
      </w:r>
      <w:r w:rsidRPr="001B7D5F">
        <w:rPr>
          <w:rFonts w:cstheme="minorHAnsi"/>
          <w:szCs w:val="22"/>
        </w:rPr>
        <w:t xml:space="preserve"> of the meeting.</w:t>
      </w:r>
      <w:r w:rsidR="00156852">
        <w:rPr>
          <w:rFonts w:cstheme="minorHAnsi"/>
          <w:szCs w:val="22"/>
        </w:rPr>
        <w:t xml:space="preserve"> All documents remain committee in confidence.</w:t>
      </w:r>
    </w:p>
    <w:p w14:paraId="6DCCAD16" w14:textId="77777777" w:rsidR="004F716F" w:rsidRPr="001B7D5F" w:rsidRDefault="4707829C" w:rsidP="00A70546">
      <w:pPr>
        <w:pStyle w:val="Heading3"/>
        <w:rPr>
          <w:sz w:val="22"/>
          <w:szCs w:val="22"/>
        </w:rPr>
      </w:pPr>
      <w:bookmarkStart w:id="126" w:name="_Toc1833182074"/>
      <w:bookmarkStart w:id="127" w:name="_Toc1558395701"/>
      <w:r w:rsidRPr="001B7D5F">
        <w:rPr>
          <w:sz w:val="22"/>
          <w:szCs w:val="22"/>
        </w:rPr>
        <w:t xml:space="preserve">Voting rights </w:t>
      </w:r>
      <w:bookmarkEnd w:id="126"/>
      <w:bookmarkEnd w:id="127"/>
    </w:p>
    <w:p w14:paraId="6019099F" w14:textId="10C8698F" w:rsidR="004F716F" w:rsidRPr="001B7D5F" w:rsidRDefault="004F716F" w:rsidP="00A70546">
      <w:pPr>
        <w:pStyle w:val="BodyText"/>
        <w:rPr>
          <w:rFonts w:cstheme="minorHAnsi"/>
          <w:szCs w:val="22"/>
        </w:rPr>
      </w:pPr>
      <w:r w:rsidRPr="001B7D5F">
        <w:rPr>
          <w:rFonts w:cstheme="minorHAnsi"/>
          <w:szCs w:val="22"/>
        </w:rPr>
        <w:t xml:space="preserve">The Commonwealth, states and territories, as financial contributors, will have the right to vote in relation to any </w:t>
      </w:r>
      <w:r w:rsidRPr="001B7D5F">
        <w:t>business</w:t>
      </w:r>
      <w:r w:rsidRPr="001B7D5F">
        <w:rPr>
          <w:rFonts w:cstheme="minorHAnsi"/>
          <w:szCs w:val="22"/>
        </w:rPr>
        <w:t xml:space="preserve"> cases or </w:t>
      </w:r>
      <w:r w:rsidR="003A2C1A" w:rsidRPr="001B7D5F">
        <w:rPr>
          <w:rFonts w:cstheme="minorHAnsi"/>
          <w:szCs w:val="22"/>
        </w:rPr>
        <w:t>p</w:t>
      </w:r>
      <w:r w:rsidRPr="001B7D5F">
        <w:rPr>
          <w:rFonts w:cstheme="minorHAnsi"/>
          <w:szCs w:val="22"/>
        </w:rPr>
        <w:t>roposals</w:t>
      </w:r>
      <w:r w:rsidR="003A2C1A" w:rsidRPr="001B7D5F">
        <w:rPr>
          <w:rFonts w:cstheme="minorHAnsi"/>
          <w:szCs w:val="22"/>
        </w:rPr>
        <w:t xml:space="preserve"> for national funding</w:t>
      </w:r>
      <w:r w:rsidRPr="001B7D5F">
        <w:rPr>
          <w:rFonts w:cstheme="minorHAnsi"/>
          <w:szCs w:val="22"/>
        </w:rPr>
        <w:t xml:space="preserve"> under consideration by the</w:t>
      </w:r>
      <w:r w:rsidR="00CB7818" w:rsidRPr="001B7D5F">
        <w:rPr>
          <w:rFonts w:cstheme="minorHAnsi"/>
          <w:szCs w:val="22"/>
        </w:rPr>
        <w:t xml:space="preserve"> </w:t>
      </w:r>
      <w:r w:rsidR="00CB7818" w:rsidRPr="001B7D5F">
        <w:rPr>
          <w:rFonts w:cstheme="minorHAnsi"/>
          <w:color w:val="auto"/>
          <w:szCs w:val="22"/>
        </w:rPr>
        <w:t>Oversight Committee</w:t>
      </w:r>
      <w:r w:rsidRPr="001B7D5F">
        <w:rPr>
          <w:rFonts w:cstheme="minorHAnsi"/>
          <w:szCs w:val="22"/>
        </w:rPr>
        <w:t>.</w:t>
      </w:r>
    </w:p>
    <w:p w14:paraId="3B92F081" w14:textId="5FA35FAA" w:rsidR="004F716F" w:rsidRPr="001B7D5F" w:rsidRDefault="005C7ABC" w:rsidP="00A70546">
      <w:pPr>
        <w:pStyle w:val="BodyText"/>
        <w:rPr>
          <w:rFonts w:cstheme="minorHAnsi"/>
          <w:szCs w:val="22"/>
        </w:rPr>
      </w:pPr>
      <w:r w:rsidRPr="001B7D5F">
        <w:rPr>
          <w:rFonts w:cstheme="minorHAnsi"/>
          <w:szCs w:val="22"/>
        </w:rPr>
        <w:t>D</w:t>
      </w:r>
      <w:r w:rsidR="004F716F" w:rsidRPr="001B7D5F">
        <w:rPr>
          <w:rFonts w:cstheme="minorHAnsi"/>
          <w:szCs w:val="22"/>
        </w:rPr>
        <w:t xml:space="preserve">elivery </w:t>
      </w:r>
      <w:r w:rsidRPr="001B7D5F">
        <w:rPr>
          <w:rFonts w:cstheme="minorHAnsi"/>
          <w:szCs w:val="22"/>
        </w:rPr>
        <w:t>P</w:t>
      </w:r>
      <w:r w:rsidR="004F716F" w:rsidRPr="001B7D5F">
        <w:rPr>
          <w:rFonts w:cstheme="minorHAnsi"/>
          <w:szCs w:val="22"/>
        </w:rPr>
        <w:t xml:space="preserve">artners may be consulted and provide advice in relation to business proposals being considered and contribute their expertise. However, as potential recipients of funding they will not be party to discussions in relation to funding proposals or have voting rights on decisions. </w:t>
      </w:r>
    </w:p>
    <w:p w14:paraId="0F21533E" w14:textId="77777777" w:rsidR="004F716F" w:rsidRPr="001B7D5F" w:rsidRDefault="004F716F" w:rsidP="00A70546">
      <w:pPr>
        <w:pStyle w:val="BodyText"/>
        <w:rPr>
          <w:rFonts w:cstheme="minorHAnsi"/>
          <w:szCs w:val="22"/>
        </w:rPr>
      </w:pPr>
      <w:r w:rsidRPr="001B7D5F">
        <w:rPr>
          <w:rFonts w:cstheme="minorHAnsi"/>
          <w:szCs w:val="22"/>
        </w:rPr>
        <w:t xml:space="preserve">Discussions in relation to funding will be quarantined to a section of each meeting. The Chair of the meeting will notify members with no voting rights and excuse them from the discussion, as relevant. </w:t>
      </w:r>
    </w:p>
    <w:p w14:paraId="0C8324DA" w14:textId="74029C71" w:rsidR="004F716F" w:rsidRPr="001B7D5F" w:rsidRDefault="4707829C" w:rsidP="00A70546">
      <w:pPr>
        <w:pStyle w:val="Heading3"/>
        <w:rPr>
          <w:sz w:val="22"/>
          <w:szCs w:val="22"/>
        </w:rPr>
      </w:pPr>
      <w:bookmarkStart w:id="128" w:name="_Toc1446469663"/>
      <w:bookmarkStart w:id="129" w:name="_Toc520164290"/>
      <w:r w:rsidRPr="001B7D5F">
        <w:rPr>
          <w:sz w:val="22"/>
          <w:szCs w:val="22"/>
        </w:rPr>
        <w:t xml:space="preserve">Secretariat </w:t>
      </w:r>
      <w:bookmarkEnd w:id="128"/>
      <w:bookmarkEnd w:id="129"/>
    </w:p>
    <w:p w14:paraId="1E2982EF" w14:textId="3209AF32" w:rsidR="004F716F" w:rsidRPr="001B7D5F" w:rsidRDefault="004F716F" w:rsidP="00A70546">
      <w:pPr>
        <w:pStyle w:val="BodyText"/>
        <w:rPr>
          <w:rFonts w:cstheme="minorHAnsi"/>
          <w:szCs w:val="22"/>
        </w:rPr>
      </w:pPr>
      <w:r w:rsidRPr="001B7D5F">
        <w:rPr>
          <w:rFonts w:cstheme="minorHAnsi"/>
          <w:szCs w:val="22"/>
        </w:rPr>
        <w:t xml:space="preserve">The </w:t>
      </w:r>
      <w:r w:rsidR="0076394C" w:rsidRPr="001B7D5F">
        <w:rPr>
          <w:rFonts w:cstheme="minorHAnsi"/>
          <w:szCs w:val="22"/>
        </w:rPr>
        <w:t xml:space="preserve">Commonwealth </w:t>
      </w:r>
      <w:r w:rsidRPr="001B7D5F">
        <w:rPr>
          <w:rFonts w:cstheme="minorHAnsi"/>
          <w:szCs w:val="22"/>
        </w:rPr>
        <w:t xml:space="preserve">will </w:t>
      </w:r>
      <w:r w:rsidRPr="001B7D5F">
        <w:t>provide</w:t>
      </w:r>
      <w:r w:rsidRPr="001B7D5F">
        <w:rPr>
          <w:rFonts w:cstheme="minorHAnsi"/>
          <w:szCs w:val="22"/>
        </w:rPr>
        <w:t xml:space="preserve"> Secretariat support for the meetings and</w:t>
      </w:r>
      <w:r w:rsidR="00CB7818" w:rsidRPr="001B7D5F">
        <w:rPr>
          <w:rFonts w:cstheme="minorHAnsi"/>
          <w:szCs w:val="22"/>
        </w:rPr>
        <w:t xml:space="preserve"> </w:t>
      </w:r>
      <w:r w:rsidR="00CB7818" w:rsidRPr="001B7D5F">
        <w:rPr>
          <w:rFonts w:cstheme="minorHAnsi"/>
          <w:color w:val="auto"/>
          <w:szCs w:val="22"/>
        </w:rPr>
        <w:t>Oversight Committee</w:t>
      </w:r>
      <w:r w:rsidRPr="001B7D5F">
        <w:rPr>
          <w:rFonts w:cstheme="minorHAnsi"/>
          <w:szCs w:val="22"/>
        </w:rPr>
        <w:t>. Papers will be distributed to members electronically at least five working days prior to a</w:t>
      </w:r>
      <w:r w:rsidR="00252061" w:rsidRPr="001B7D5F">
        <w:rPr>
          <w:rFonts w:cstheme="minorHAnsi"/>
          <w:szCs w:val="22"/>
        </w:rPr>
        <w:t>n</w:t>
      </w:r>
      <w:r w:rsidRPr="001B7D5F">
        <w:rPr>
          <w:rFonts w:cstheme="minorHAnsi"/>
          <w:szCs w:val="22"/>
        </w:rPr>
        <w:t xml:space="preserve"> </w:t>
      </w:r>
      <w:r w:rsidR="00CB7818" w:rsidRPr="001B7D5F">
        <w:rPr>
          <w:rFonts w:cstheme="minorHAnsi"/>
          <w:color w:val="auto"/>
          <w:szCs w:val="22"/>
        </w:rPr>
        <w:t>Oversight Committee</w:t>
      </w:r>
      <w:r w:rsidR="00CB7818" w:rsidRPr="001B7D5F">
        <w:rPr>
          <w:rFonts w:cstheme="minorHAnsi"/>
          <w:szCs w:val="22"/>
        </w:rPr>
        <w:t xml:space="preserve"> </w:t>
      </w:r>
      <w:r w:rsidRPr="001B7D5F">
        <w:rPr>
          <w:rFonts w:cstheme="minorHAnsi"/>
          <w:szCs w:val="22"/>
        </w:rPr>
        <w:t xml:space="preserve">meeting. </w:t>
      </w:r>
    </w:p>
    <w:p w14:paraId="3432AEFF" w14:textId="54CEC82E" w:rsidR="004424DC" w:rsidRPr="001B7D5F" w:rsidRDefault="004424DC" w:rsidP="00A70546">
      <w:pPr>
        <w:pStyle w:val="BodyText"/>
        <w:rPr>
          <w:rFonts w:cstheme="minorHAnsi"/>
          <w:szCs w:val="22"/>
        </w:rPr>
      </w:pPr>
      <w:r w:rsidRPr="001B7D5F">
        <w:rPr>
          <w:rFonts w:cstheme="minorHAnsi"/>
          <w:szCs w:val="22"/>
        </w:rPr>
        <w:t>Part of the Secretariat function will be to manage conflicts of interest and ensure that Delivery Partners, while contributing to planning discussions and delivery under the Agreement, will not partake in decisions about allocation of funding.</w:t>
      </w:r>
    </w:p>
    <w:p w14:paraId="1BE25EE9" w14:textId="408C348C" w:rsidR="00B94EE3" w:rsidRPr="001B7D5F" w:rsidRDefault="00B94EE3" w:rsidP="00A70546">
      <w:pPr>
        <w:pStyle w:val="BodyText"/>
        <w:rPr>
          <w:rFonts w:cstheme="minorHAnsi"/>
          <w:szCs w:val="22"/>
        </w:rPr>
      </w:pPr>
      <w:r w:rsidRPr="001B7D5F">
        <w:rPr>
          <w:rFonts w:cstheme="minorHAnsi"/>
          <w:szCs w:val="22"/>
        </w:rPr>
        <w:t>The Secretariat will ensure timing of meetings will facilitate effective and efficient discussions in line with the Agency’s governance arrangement</w:t>
      </w:r>
      <w:r w:rsidR="002C1571" w:rsidRPr="001B7D5F">
        <w:rPr>
          <w:rFonts w:cstheme="minorHAnsi"/>
          <w:szCs w:val="22"/>
        </w:rPr>
        <w:t>s</w:t>
      </w:r>
      <w:r w:rsidRPr="001B7D5F">
        <w:rPr>
          <w:rFonts w:cstheme="minorHAnsi"/>
          <w:szCs w:val="22"/>
        </w:rPr>
        <w:t xml:space="preserve"> and will source any information required </w:t>
      </w:r>
      <w:r w:rsidR="00433325" w:rsidRPr="001B7D5F">
        <w:rPr>
          <w:rFonts w:cstheme="minorHAnsi"/>
          <w:szCs w:val="22"/>
        </w:rPr>
        <w:t>to support the Oversight Committee’s deliberations.</w:t>
      </w:r>
    </w:p>
    <w:p w14:paraId="3990C618" w14:textId="77777777" w:rsidR="004F716F" w:rsidRPr="001B7D5F" w:rsidRDefault="4707829C" w:rsidP="00A70546">
      <w:pPr>
        <w:pStyle w:val="Heading3"/>
        <w:rPr>
          <w:sz w:val="22"/>
          <w:szCs w:val="22"/>
        </w:rPr>
      </w:pPr>
      <w:bookmarkStart w:id="130" w:name="_Toc1647814622"/>
      <w:bookmarkStart w:id="131" w:name="_Toc705867390"/>
      <w:r w:rsidRPr="001B7D5F">
        <w:rPr>
          <w:sz w:val="22"/>
          <w:szCs w:val="22"/>
        </w:rPr>
        <w:t>Governance</w:t>
      </w:r>
      <w:bookmarkEnd w:id="130"/>
      <w:bookmarkEnd w:id="131"/>
    </w:p>
    <w:p w14:paraId="020C5433" w14:textId="774E23DE" w:rsidR="004F716F" w:rsidRPr="001B7D5F" w:rsidRDefault="004F716F" w:rsidP="00A70546">
      <w:pPr>
        <w:pStyle w:val="BodyText"/>
        <w:rPr>
          <w:rFonts w:cstheme="minorHAnsi"/>
          <w:bCs/>
          <w:szCs w:val="22"/>
        </w:rPr>
      </w:pPr>
      <w:r w:rsidRPr="001B7D5F">
        <w:rPr>
          <w:rFonts w:cstheme="minorHAnsi"/>
          <w:bCs/>
          <w:szCs w:val="22"/>
        </w:rPr>
        <w:t xml:space="preserve">Per </w:t>
      </w:r>
      <w:r w:rsidR="00786BC1" w:rsidRPr="001B7D5F">
        <w:rPr>
          <w:rFonts w:cstheme="minorHAnsi"/>
          <w:bCs/>
          <w:szCs w:val="22"/>
        </w:rPr>
        <w:t>clause 5.3</w:t>
      </w:r>
      <w:r w:rsidR="00CB7818" w:rsidRPr="001B7D5F">
        <w:rPr>
          <w:rFonts w:cstheme="minorHAnsi"/>
          <w:bCs/>
          <w:szCs w:val="22"/>
        </w:rPr>
        <w:t xml:space="preserve"> </w:t>
      </w:r>
      <w:r w:rsidRPr="001B7D5F">
        <w:rPr>
          <w:rFonts w:cstheme="minorHAnsi"/>
          <w:bCs/>
          <w:szCs w:val="22"/>
        </w:rPr>
        <w:t xml:space="preserve">of the IGA, Health Ministers </w:t>
      </w:r>
      <w:r w:rsidR="00786BC1" w:rsidRPr="001B7D5F">
        <w:rPr>
          <w:rFonts w:cstheme="minorHAnsi"/>
          <w:bCs/>
          <w:szCs w:val="22"/>
        </w:rPr>
        <w:t xml:space="preserve">may </w:t>
      </w:r>
      <w:r w:rsidRPr="001B7D5F">
        <w:rPr>
          <w:rFonts w:cstheme="minorHAnsi"/>
          <w:bCs/>
          <w:szCs w:val="22"/>
        </w:rPr>
        <w:t xml:space="preserve">delegate the ability to make funding commitments to the </w:t>
      </w:r>
      <w:r w:rsidR="00CB7818" w:rsidRPr="001B7D5F">
        <w:rPr>
          <w:rFonts w:cstheme="minorHAnsi"/>
          <w:color w:val="auto"/>
          <w:szCs w:val="22"/>
        </w:rPr>
        <w:t>Oversight Committee</w:t>
      </w:r>
      <w:r w:rsidRPr="001B7D5F">
        <w:rPr>
          <w:rFonts w:cstheme="minorHAnsi"/>
          <w:bCs/>
          <w:szCs w:val="22"/>
        </w:rPr>
        <w:t xml:space="preserve">. Any decisions will be recorded and provided to committee members and </w:t>
      </w:r>
      <w:r w:rsidR="007275A2" w:rsidRPr="001B7D5F">
        <w:rPr>
          <w:rFonts w:cstheme="minorHAnsi"/>
          <w:bCs/>
          <w:szCs w:val="22"/>
        </w:rPr>
        <w:t>D</w:t>
      </w:r>
      <w:r w:rsidRPr="001B7D5F">
        <w:rPr>
          <w:rFonts w:cstheme="minorHAnsi"/>
          <w:bCs/>
          <w:szCs w:val="22"/>
        </w:rPr>
        <w:t xml:space="preserve">elivery </w:t>
      </w:r>
      <w:r w:rsidR="007275A2" w:rsidRPr="001B7D5F">
        <w:t>P</w:t>
      </w:r>
      <w:r w:rsidRPr="001B7D5F">
        <w:t>artners</w:t>
      </w:r>
      <w:r w:rsidRPr="001B7D5F">
        <w:rPr>
          <w:rFonts w:cstheme="minorHAnsi"/>
          <w:bCs/>
          <w:szCs w:val="22"/>
        </w:rPr>
        <w:t xml:space="preserve"> per section 6 of the terms of reference. </w:t>
      </w:r>
    </w:p>
    <w:p w14:paraId="2E06D4F6" w14:textId="5E218908" w:rsidR="004F716F" w:rsidRPr="001B7D5F" w:rsidRDefault="004F716F" w:rsidP="00A70546">
      <w:pPr>
        <w:pStyle w:val="BodyText"/>
        <w:rPr>
          <w:rFonts w:cstheme="minorHAnsi"/>
          <w:bCs/>
          <w:szCs w:val="22"/>
        </w:rPr>
      </w:pPr>
      <w:r w:rsidRPr="001B7D5F">
        <w:rPr>
          <w:rFonts w:cstheme="minorHAnsi"/>
          <w:bCs/>
          <w:szCs w:val="22"/>
        </w:rPr>
        <w:t xml:space="preserve">Decisions by the </w:t>
      </w:r>
      <w:r w:rsidR="00CB7818" w:rsidRPr="001B7D5F">
        <w:t>Oversight</w:t>
      </w:r>
      <w:r w:rsidR="00CB7818" w:rsidRPr="001B7D5F">
        <w:rPr>
          <w:rFonts w:cstheme="minorHAnsi"/>
          <w:color w:val="auto"/>
          <w:szCs w:val="22"/>
        </w:rPr>
        <w:t xml:space="preserve"> Committee</w:t>
      </w:r>
      <w:r w:rsidR="00CB7818" w:rsidRPr="001B7D5F">
        <w:rPr>
          <w:rFonts w:cstheme="minorHAnsi"/>
          <w:bCs/>
          <w:szCs w:val="22"/>
        </w:rPr>
        <w:t xml:space="preserve"> </w:t>
      </w:r>
      <w:r w:rsidRPr="001B7D5F">
        <w:rPr>
          <w:rFonts w:cstheme="minorHAnsi"/>
          <w:bCs/>
          <w:szCs w:val="22"/>
        </w:rPr>
        <w:t>may be subject to external jurisdictional budget approval processes.</w:t>
      </w:r>
    </w:p>
    <w:p w14:paraId="4792CEE6" w14:textId="2020E100" w:rsidR="0077646D" w:rsidRPr="001B7D5F" w:rsidRDefault="0077646D" w:rsidP="00A70546">
      <w:pPr>
        <w:pStyle w:val="BodyText"/>
      </w:pPr>
      <w:r w:rsidRPr="001B7D5F">
        <w:t xml:space="preserve">The Oversight Committee may determine whether any reporting </w:t>
      </w:r>
      <w:r w:rsidR="00456F29">
        <w:t xml:space="preserve">of its operations </w:t>
      </w:r>
      <w:r w:rsidRPr="001B7D5F">
        <w:t>is required to be provided to the Health Chief Executives, Health Ministers, or other national governance arrangements.</w:t>
      </w:r>
    </w:p>
    <w:p w14:paraId="5724B031" w14:textId="77777777" w:rsidR="004F716F" w:rsidRPr="001B7D5F" w:rsidRDefault="4707829C" w:rsidP="00A70546">
      <w:pPr>
        <w:pStyle w:val="Heading3"/>
        <w:numPr>
          <w:ilvl w:val="0"/>
          <w:numId w:val="8"/>
        </w:numPr>
      </w:pPr>
      <w:bookmarkStart w:id="132" w:name="_Toc126920733"/>
      <w:bookmarkStart w:id="133" w:name="_Toc1162980608"/>
      <w:bookmarkStart w:id="134" w:name="_Toc11802211"/>
      <w:r w:rsidRPr="001B7D5F">
        <w:t>Roles and Responsibilities</w:t>
      </w:r>
      <w:bookmarkEnd w:id="132"/>
      <w:r w:rsidRPr="001B7D5F">
        <w:t xml:space="preserve"> </w:t>
      </w:r>
      <w:bookmarkEnd w:id="133"/>
      <w:bookmarkEnd w:id="134"/>
    </w:p>
    <w:p w14:paraId="35883BF1" w14:textId="77777777" w:rsidR="004F716F" w:rsidRPr="001B7D5F" w:rsidRDefault="4707829C" w:rsidP="00A70546">
      <w:pPr>
        <w:pStyle w:val="Heading3"/>
        <w:rPr>
          <w:sz w:val="22"/>
          <w:szCs w:val="22"/>
        </w:rPr>
      </w:pPr>
      <w:bookmarkStart w:id="135" w:name="_Toc105304688"/>
      <w:bookmarkStart w:id="136" w:name="_Toc1338363597"/>
      <w:r w:rsidRPr="001B7D5F">
        <w:rPr>
          <w:sz w:val="22"/>
          <w:szCs w:val="22"/>
        </w:rPr>
        <w:t>Chair responsibilities</w:t>
      </w:r>
      <w:bookmarkEnd w:id="135"/>
      <w:bookmarkEnd w:id="136"/>
    </w:p>
    <w:p w14:paraId="5E743A43" w14:textId="0DF30BD4" w:rsidR="004F716F" w:rsidRPr="001B7D5F" w:rsidRDefault="002250CB" w:rsidP="00A70546">
      <w:pPr>
        <w:pStyle w:val="BodyText"/>
        <w:rPr>
          <w:rFonts w:cstheme="minorHAnsi"/>
          <w:szCs w:val="22"/>
        </w:rPr>
      </w:pPr>
      <w:r w:rsidRPr="001B7D5F">
        <w:rPr>
          <w:rFonts w:cstheme="minorHAnsi"/>
          <w:szCs w:val="22"/>
        </w:rPr>
        <w:t xml:space="preserve">The </w:t>
      </w:r>
      <w:r w:rsidR="004F716F" w:rsidRPr="001B7D5F">
        <w:rPr>
          <w:rFonts w:cstheme="minorHAnsi"/>
          <w:szCs w:val="22"/>
        </w:rPr>
        <w:t>Chair</w:t>
      </w:r>
      <w:r w:rsidR="00494D29">
        <w:rPr>
          <w:rFonts w:cstheme="minorHAnsi"/>
          <w:szCs w:val="22"/>
        </w:rPr>
        <w:t>s</w:t>
      </w:r>
      <w:r w:rsidR="004F716F" w:rsidRPr="001B7D5F">
        <w:rPr>
          <w:rFonts w:cstheme="minorHAnsi"/>
          <w:szCs w:val="22"/>
        </w:rPr>
        <w:t xml:space="preserve"> </w:t>
      </w:r>
      <w:r w:rsidR="00B94EE3" w:rsidRPr="001B7D5F">
        <w:rPr>
          <w:rFonts w:cstheme="minorHAnsi"/>
          <w:szCs w:val="22"/>
        </w:rPr>
        <w:t>will</w:t>
      </w:r>
      <w:r w:rsidR="00D47EDF" w:rsidRPr="001B7D5F">
        <w:rPr>
          <w:rFonts w:cstheme="minorHAnsi"/>
          <w:szCs w:val="22"/>
        </w:rPr>
        <w:t>:</w:t>
      </w:r>
      <w:r w:rsidR="00B94EE3" w:rsidRPr="001B7D5F">
        <w:rPr>
          <w:rFonts w:cstheme="minorHAnsi"/>
          <w:szCs w:val="22"/>
        </w:rPr>
        <w:t xml:space="preserve"> </w:t>
      </w:r>
    </w:p>
    <w:p w14:paraId="1C847C8F" w14:textId="621A083F" w:rsidR="00D47EDF" w:rsidRPr="001B7D5F" w:rsidRDefault="00554AF1" w:rsidP="00A70546">
      <w:pPr>
        <w:pStyle w:val="BodyText"/>
        <w:numPr>
          <w:ilvl w:val="0"/>
          <w:numId w:val="7"/>
        </w:numPr>
        <w:rPr>
          <w:rFonts w:cstheme="minorHAnsi"/>
          <w:szCs w:val="22"/>
        </w:rPr>
      </w:pPr>
      <w:r w:rsidRPr="001B7D5F">
        <w:rPr>
          <w:rFonts w:cstheme="minorHAnsi"/>
          <w:szCs w:val="22"/>
        </w:rPr>
        <w:t>S</w:t>
      </w:r>
      <w:r w:rsidR="00D47EDF" w:rsidRPr="001B7D5F">
        <w:rPr>
          <w:rFonts w:cstheme="minorHAnsi"/>
          <w:szCs w:val="22"/>
        </w:rPr>
        <w:t xml:space="preserve">et the agenda for each </w:t>
      </w:r>
      <w:r w:rsidR="00D47EDF" w:rsidRPr="001B7D5F">
        <w:t>meeting,</w:t>
      </w:r>
      <w:r w:rsidR="00D47EDF" w:rsidRPr="001B7D5F">
        <w:rPr>
          <w:rFonts w:cstheme="minorHAnsi"/>
          <w:szCs w:val="22"/>
        </w:rPr>
        <w:t xml:space="preserve"> based on advice from the Secretariat and any requests from other members or Delivery Partners.</w:t>
      </w:r>
    </w:p>
    <w:p w14:paraId="2BEBFAFA" w14:textId="4B11C62C" w:rsidR="004F716F" w:rsidRPr="001B7D5F" w:rsidRDefault="00554AF1" w:rsidP="00A70546">
      <w:pPr>
        <w:pStyle w:val="BodyText"/>
        <w:numPr>
          <w:ilvl w:val="0"/>
          <w:numId w:val="7"/>
        </w:numPr>
        <w:rPr>
          <w:rFonts w:cstheme="minorHAnsi"/>
          <w:szCs w:val="22"/>
        </w:rPr>
      </w:pPr>
      <w:r w:rsidRPr="001B7D5F">
        <w:rPr>
          <w:rFonts w:cstheme="minorHAnsi"/>
          <w:szCs w:val="22"/>
        </w:rPr>
        <w:t>D</w:t>
      </w:r>
      <w:r w:rsidR="00244FAF" w:rsidRPr="001B7D5F">
        <w:rPr>
          <w:rFonts w:cstheme="minorHAnsi"/>
          <w:szCs w:val="22"/>
        </w:rPr>
        <w:t xml:space="preserve">raft and </w:t>
      </w:r>
      <w:r w:rsidR="00B94EE3" w:rsidRPr="001B7D5F">
        <w:rPr>
          <w:rFonts w:cstheme="minorHAnsi"/>
          <w:szCs w:val="22"/>
        </w:rPr>
        <w:t>s</w:t>
      </w:r>
      <w:r w:rsidR="004F716F" w:rsidRPr="001B7D5F">
        <w:rPr>
          <w:rFonts w:cstheme="minorHAnsi"/>
          <w:szCs w:val="22"/>
        </w:rPr>
        <w:t xml:space="preserve">ponsor </w:t>
      </w:r>
      <w:r w:rsidR="00B94EE3" w:rsidRPr="001B7D5F">
        <w:rPr>
          <w:rFonts w:cstheme="minorHAnsi"/>
          <w:szCs w:val="22"/>
        </w:rPr>
        <w:t xml:space="preserve">any </w:t>
      </w:r>
      <w:r w:rsidR="004F716F" w:rsidRPr="001B7D5F">
        <w:rPr>
          <w:rFonts w:cstheme="minorHAnsi"/>
          <w:szCs w:val="22"/>
        </w:rPr>
        <w:t xml:space="preserve">papers to </w:t>
      </w:r>
      <w:r w:rsidR="009A71A2" w:rsidRPr="001B7D5F">
        <w:rPr>
          <w:rFonts w:cstheme="minorHAnsi"/>
          <w:szCs w:val="22"/>
        </w:rPr>
        <w:t>H</w:t>
      </w:r>
      <w:r w:rsidR="002022B4" w:rsidRPr="001B7D5F">
        <w:rPr>
          <w:rFonts w:cstheme="minorHAnsi"/>
          <w:szCs w:val="22"/>
        </w:rPr>
        <w:t xml:space="preserve">ealth </w:t>
      </w:r>
      <w:r w:rsidR="009A71A2" w:rsidRPr="001B7D5F">
        <w:rPr>
          <w:rFonts w:cstheme="minorHAnsi"/>
          <w:szCs w:val="22"/>
        </w:rPr>
        <w:t>C</w:t>
      </w:r>
      <w:r w:rsidR="002022B4" w:rsidRPr="001B7D5F">
        <w:rPr>
          <w:rFonts w:cstheme="minorHAnsi"/>
          <w:szCs w:val="22"/>
        </w:rPr>
        <w:t xml:space="preserve">hief </w:t>
      </w:r>
      <w:r w:rsidR="009A71A2" w:rsidRPr="001B7D5F">
        <w:rPr>
          <w:rFonts w:cstheme="minorHAnsi"/>
          <w:szCs w:val="22"/>
        </w:rPr>
        <w:t>E</w:t>
      </w:r>
      <w:r w:rsidR="002022B4" w:rsidRPr="001B7D5F">
        <w:rPr>
          <w:rFonts w:cstheme="minorHAnsi"/>
          <w:szCs w:val="22"/>
        </w:rPr>
        <w:t xml:space="preserve">xecutives and </w:t>
      </w:r>
      <w:r w:rsidR="009A71A2" w:rsidRPr="001B7D5F">
        <w:rPr>
          <w:rFonts w:cstheme="minorHAnsi"/>
          <w:szCs w:val="22"/>
        </w:rPr>
        <w:t>H</w:t>
      </w:r>
      <w:r w:rsidR="002022B4" w:rsidRPr="001B7D5F">
        <w:rPr>
          <w:rFonts w:cstheme="minorHAnsi"/>
          <w:szCs w:val="22"/>
        </w:rPr>
        <w:t xml:space="preserve">ealth </w:t>
      </w:r>
      <w:r w:rsidR="009A71A2" w:rsidRPr="001B7D5F">
        <w:rPr>
          <w:rFonts w:cstheme="minorHAnsi"/>
          <w:szCs w:val="22"/>
        </w:rPr>
        <w:t>M</w:t>
      </w:r>
      <w:r w:rsidR="002022B4" w:rsidRPr="001B7D5F">
        <w:rPr>
          <w:rFonts w:cstheme="minorHAnsi"/>
          <w:szCs w:val="22"/>
        </w:rPr>
        <w:t>inisters</w:t>
      </w:r>
      <w:r w:rsidR="00B94EE3" w:rsidRPr="001B7D5F">
        <w:rPr>
          <w:rFonts w:cstheme="minorHAnsi"/>
          <w:szCs w:val="22"/>
        </w:rPr>
        <w:t xml:space="preserve"> as required</w:t>
      </w:r>
      <w:r w:rsidR="00244FAF" w:rsidRPr="001B7D5F">
        <w:rPr>
          <w:rFonts w:cstheme="minorHAnsi"/>
          <w:szCs w:val="22"/>
        </w:rPr>
        <w:t xml:space="preserve"> in relation to the Committee’s advice concerning matters relating to national digital health services</w:t>
      </w:r>
      <w:r w:rsidR="004F716F" w:rsidRPr="001B7D5F">
        <w:rPr>
          <w:rFonts w:cstheme="minorHAnsi"/>
          <w:szCs w:val="22"/>
        </w:rPr>
        <w:t>.</w:t>
      </w:r>
    </w:p>
    <w:p w14:paraId="245F4020" w14:textId="438B8D1C" w:rsidR="00D47EDF" w:rsidRPr="001B7D5F" w:rsidRDefault="00D47EDF" w:rsidP="00A70546">
      <w:pPr>
        <w:pStyle w:val="BodyText"/>
        <w:numPr>
          <w:ilvl w:val="0"/>
          <w:numId w:val="7"/>
        </w:numPr>
        <w:rPr>
          <w:rFonts w:cstheme="minorHAnsi"/>
          <w:szCs w:val="22"/>
        </w:rPr>
      </w:pPr>
      <w:r w:rsidRPr="001B7D5F">
        <w:rPr>
          <w:rFonts w:cstheme="minorHAnsi"/>
          <w:szCs w:val="22"/>
        </w:rPr>
        <w:lastRenderedPageBreak/>
        <w:t>Undertake communications with Delivery Partners concerning outcomes from the Oversight Committee’s deliberations, including funding allocations.</w:t>
      </w:r>
    </w:p>
    <w:p w14:paraId="17080C1C" w14:textId="0345CC1C" w:rsidR="004F716F" w:rsidRPr="001B7D5F" w:rsidRDefault="087CB29B" w:rsidP="00A70546">
      <w:pPr>
        <w:pStyle w:val="Heading3"/>
        <w:rPr>
          <w:sz w:val="22"/>
          <w:szCs w:val="22"/>
        </w:rPr>
      </w:pPr>
      <w:bookmarkStart w:id="137" w:name="_Toc472256913"/>
      <w:bookmarkStart w:id="138" w:name="_Toc636415626"/>
      <w:r w:rsidRPr="001B7D5F">
        <w:rPr>
          <w:sz w:val="22"/>
          <w:szCs w:val="22"/>
        </w:rPr>
        <w:t xml:space="preserve">Oversight Committee </w:t>
      </w:r>
      <w:r w:rsidR="4707829C" w:rsidRPr="001B7D5F">
        <w:rPr>
          <w:sz w:val="22"/>
          <w:szCs w:val="22"/>
        </w:rPr>
        <w:t>member responsibilities</w:t>
      </w:r>
      <w:bookmarkEnd w:id="137"/>
      <w:bookmarkEnd w:id="138"/>
    </w:p>
    <w:p w14:paraId="2AC545FF" w14:textId="579C03D5" w:rsidR="004F716F" w:rsidRPr="001B7D5F" w:rsidRDefault="004F716F" w:rsidP="00A70546">
      <w:pPr>
        <w:pStyle w:val="BodyText"/>
        <w:numPr>
          <w:ilvl w:val="0"/>
          <w:numId w:val="7"/>
        </w:numPr>
        <w:rPr>
          <w:rFonts w:cstheme="minorHAnsi"/>
          <w:szCs w:val="22"/>
        </w:rPr>
      </w:pPr>
      <w:r w:rsidRPr="001B7D5F">
        <w:rPr>
          <w:rFonts w:cstheme="minorHAnsi"/>
          <w:szCs w:val="22"/>
        </w:rPr>
        <w:t xml:space="preserve">Participate in </w:t>
      </w:r>
      <w:r w:rsidRPr="001B7D5F">
        <w:t>all</w:t>
      </w:r>
      <w:r w:rsidRPr="001B7D5F">
        <w:rPr>
          <w:rFonts w:cstheme="minorHAnsi"/>
          <w:szCs w:val="22"/>
        </w:rPr>
        <w:t xml:space="preserve"> </w:t>
      </w:r>
      <w:r w:rsidR="00CB7818" w:rsidRPr="001B7D5F">
        <w:rPr>
          <w:rFonts w:cstheme="minorHAnsi"/>
          <w:color w:val="auto"/>
          <w:szCs w:val="22"/>
        </w:rPr>
        <w:t>Oversight Committee</w:t>
      </w:r>
      <w:r w:rsidR="00CB7818" w:rsidRPr="001B7D5F">
        <w:rPr>
          <w:rFonts w:cstheme="minorHAnsi"/>
          <w:szCs w:val="22"/>
        </w:rPr>
        <w:t xml:space="preserve"> </w:t>
      </w:r>
      <w:r w:rsidRPr="001B7D5F">
        <w:rPr>
          <w:rFonts w:cstheme="minorHAnsi"/>
          <w:szCs w:val="22"/>
        </w:rPr>
        <w:t>meetings and deliberations</w:t>
      </w:r>
      <w:r w:rsidR="00BF73F7" w:rsidRPr="001B7D5F">
        <w:rPr>
          <w:rFonts w:cstheme="minorHAnsi"/>
          <w:szCs w:val="22"/>
        </w:rPr>
        <w:t>, including decisions concerning the allocation of funding</w:t>
      </w:r>
      <w:r w:rsidRPr="001B7D5F">
        <w:rPr>
          <w:rFonts w:cstheme="minorHAnsi"/>
          <w:szCs w:val="22"/>
        </w:rPr>
        <w:t>.</w:t>
      </w:r>
    </w:p>
    <w:p w14:paraId="6D1B0779" w14:textId="4DB4954D" w:rsidR="004F716F" w:rsidRPr="001B7D5F" w:rsidRDefault="004F716F" w:rsidP="00A70546">
      <w:pPr>
        <w:pStyle w:val="BodyText"/>
        <w:numPr>
          <w:ilvl w:val="0"/>
          <w:numId w:val="7"/>
        </w:numPr>
        <w:rPr>
          <w:rFonts w:cstheme="minorHAnsi"/>
          <w:szCs w:val="22"/>
        </w:rPr>
      </w:pPr>
      <w:r w:rsidRPr="001B7D5F">
        <w:rPr>
          <w:rFonts w:cstheme="minorHAnsi"/>
          <w:szCs w:val="22"/>
        </w:rPr>
        <w:t>Ensure that each member (or their proxy) is sufficiently senior to be able to make decisions to progress in-</w:t>
      </w:r>
      <w:r w:rsidR="005E671A" w:rsidRPr="001B7D5F">
        <w:t>princip</w:t>
      </w:r>
      <w:r w:rsidR="00D659D0" w:rsidRPr="001B7D5F">
        <w:t>le</w:t>
      </w:r>
      <w:r w:rsidRPr="001B7D5F">
        <w:rPr>
          <w:rFonts w:cstheme="minorHAnsi"/>
          <w:szCs w:val="22"/>
        </w:rPr>
        <w:t xml:space="preserve"> agreements of the </w:t>
      </w:r>
      <w:r w:rsidR="00CB7818" w:rsidRPr="001B7D5F">
        <w:rPr>
          <w:rFonts w:cstheme="minorHAnsi"/>
          <w:color w:val="auto"/>
          <w:szCs w:val="22"/>
        </w:rPr>
        <w:t>Oversight Committee</w:t>
      </w:r>
      <w:r w:rsidRPr="001B7D5F">
        <w:rPr>
          <w:rFonts w:cstheme="minorHAnsi"/>
          <w:szCs w:val="22"/>
        </w:rPr>
        <w:t>.</w:t>
      </w:r>
    </w:p>
    <w:p w14:paraId="40FAA3DE" w14:textId="5F5E3F6F" w:rsidR="004F716F" w:rsidRPr="001B7D5F" w:rsidRDefault="004F716F" w:rsidP="00A70546">
      <w:pPr>
        <w:pStyle w:val="BodyText"/>
        <w:numPr>
          <w:ilvl w:val="0"/>
          <w:numId w:val="7"/>
        </w:numPr>
        <w:rPr>
          <w:rFonts w:cstheme="minorHAnsi"/>
          <w:szCs w:val="22"/>
        </w:rPr>
      </w:pPr>
      <w:r w:rsidRPr="001B7D5F">
        <w:rPr>
          <w:rFonts w:cstheme="minorHAnsi"/>
          <w:szCs w:val="22"/>
        </w:rPr>
        <w:t xml:space="preserve">Provide joined-up, whole-of-health-system input and advice to the </w:t>
      </w:r>
      <w:r w:rsidR="00CB7818" w:rsidRPr="001B7D5F">
        <w:rPr>
          <w:rFonts w:cstheme="minorHAnsi"/>
          <w:color w:val="auto"/>
          <w:szCs w:val="22"/>
        </w:rPr>
        <w:t>Oversight Committee</w:t>
      </w:r>
      <w:r w:rsidR="00CB7818" w:rsidRPr="001B7D5F">
        <w:rPr>
          <w:rFonts w:cstheme="minorHAnsi"/>
          <w:szCs w:val="22"/>
        </w:rPr>
        <w:t xml:space="preserve"> </w:t>
      </w:r>
      <w:r w:rsidRPr="001B7D5F">
        <w:rPr>
          <w:rFonts w:cstheme="minorHAnsi"/>
          <w:szCs w:val="22"/>
        </w:rPr>
        <w:t>that is based on local consultation within/across their jurisdiction.</w:t>
      </w:r>
    </w:p>
    <w:p w14:paraId="6A6D5FAD" w14:textId="3EF2DAC1" w:rsidR="004F716F" w:rsidRPr="001B7D5F" w:rsidRDefault="004F716F" w:rsidP="00A70546">
      <w:pPr>
        <w:pStyle w:val="BodyText"/>
        <w:numPr>
          <w:ilvl w:val="0"/>
          <w:numId w:val="7"/>
        </w:numPr>
        <w:rPr>
          <w:rFonts w:cstheme="minorHAnsi"/>
          <w:szCs w:val="22"/>
        </w:rPr>
      </w:pPr>
      <w:r w:rsidRPr="001B7D5F">
        <w:rPr>
          <w:rFonts w:cstheme="minorHAnsi"/>
          <w:szCs w:val="22"/>
        </w:rPr>
        <w:t xml:space="preserve">Ensure local support and endorsement is achieved to enable nationally agreed deliverables to </w:t>
      </w:r>
      <w:r w:rsidRPr="001B7D5F">
        <w:t>be</w:t>
      </w:r>
      <w:r w:rsidRPr="001B7D5F">
        <w:rPr>
          <w:rFonts w:cstheme="minorHAnsi"/>
          <w:szCs w:val="22"/>
        </w:rPr>
        <w:t xml:space="preserve"> progressed to </w:t>
      </w:r>
      <w:r w:rsidR="00FD3183">
        <w:rPr>
          <w:rFonts w:cstheme="minorHAnsi"/>
          <w:szCs w:val="22"/>
        </w:rPr>
        <w:t xml:space="preserve">the </w:t>
      </w:r>
      <w:r w:rsidR="00EE1923" w:rsidRPr="001B7D5F">
        <w:rPr>
          <w:rFonts w:cstheme="minorHAnsi"/>
          <w:szCs w:val="22"/>
        </w:rPr>
        <w:t>Health Chief Executives</w:t>
      </w:r>
      <w:r w:rsidR="00FD3183">
        <w:rPr>
          <w:rFonts w:cstheme="minorHAnsi"/>
          <w:szCs w:val="22"/>
        </w:rPr>
        <w:t xml:space="preserve"> Forum</w:t>
      </w:r>
      <w:r w:rsidR="00EE1923" w:rsidRPr="001B7D5F">
        <w:rPr>
          <w:rFonts w:cstheme="minorHAnsi"/>
          <w:szCs w:val="22"/>
        </w:rPr>
        <w:t xml:space="preserve"> and Health Ministers</w:t>
      </w:r>
      <w:r w:rsidR="00FD3183">
        <w:rPr>
          <w:rFonts w:cstheme="minorHAnsi"/>
          <w:szCs w:val="22"/>
        </w:rPr>
        <w:t xml:space="preserve"> Meeting</w:t>
      </w:r>
      <w:r w:rsidRPr="001B7D5F">
        <w:rPr>
          <w:rFonts w:cstheme="minorHAnsi"/>
          <w:szCs w:val="22"/>
        </w:rPr>
        <w:t>.</w:t>
      </w:r>
    </w:p>
    <w:p w14:paraId="00FC5C7F" w14:textId="5E6FAD1D" w:rsidR="004F716F" w:rsidRPr="001B7D5F" w:rsidRDefault="004F716F" w:rsidP="00A70546">
      <w:pPr>
        <w:pStyle w:val="BodyText"/>
        <w:numPr>
          <w:ilvl w:val="0"/>
          <w:numId w:val="7"/>
        </w:numPr>
        <w:rPr>
          <w:rFonts w:cstheme="minorHAnsi"/>
          <w:szCs w:val="22"/>
        </w:rPr>
      </w:pPr>
      <w:r w:rsidRPr="001B7D5F">
        <w:rPr>
          <w:rFonts w:cstheme="minorHAnsi"/>
          <w:szCs w:val="22"/>
        </w:rPr>
        <w:t xml:space="preserve">Support the </w:t>
      </w:r>
      <w:r w:rsidRPr="001B7D5F">
        <w:t>development</w:t>
      </w:r>
      <w:r w:rsidRPr="001B7D5F">
        <w:rPr>
          <w:rFonts w:cstheme="minorHAnsi"/>
          <w:szCs w:val="22"/>
        </w:rPr>
        <w:t xml:space="preserve"> of joined-up national advice to inform </w:t>
      </w:r>
      <w:r w:rsidR="00EE1923" w:rsidRPr="001B7D5F">
        <w:rPr>
          <w:rFonts w:cstheme="minorHAnsi"/>
          <w:szCs w:val="22"/>
        </w:rPr>
        <w:t>Health Chief Executives</w:t>
      </w:r>
      <w:r w:rsidR="00FD3183">
        <w:rPr>
          <w:rFonts w:cstheme="minorHAnsi"/>
          <w:szCs w:val="22"/>
        </w:rPr>
        <w:t xml:space="preserve"> Forum</w:t>
      </w:r>
      <w:r w:rsidR="00EE1923" w:rsidRPr="001B7D5F">
        <w:rPr>
          <w:rFonts w:cstheme="minorHAnsi"/>
          <w:szCs w:val="22"/>
        </w:rPr>
        <w:t xml:space="preserve"> and Health Ministers</w:t>
      </w:r>
      <w:r w:rsidR="00FD3183">
        <w:rPr>
          <w:rFonts w:cstheme="minorHAnsi"/>
          <w:szCs w:val="22"/>
        </w:rPr>
        <w:t xml:space="preserve"> Meeting</w:t>
      </w:r>
      <w:r w:rsidRPr="001B7D5F">
        <w:rPr>
          <w:rFonts w:cstheme="minorHAnsi"/>
          <w:szCs w:val="22"/>
        </w:rPr>
        <w:t>.</w:t>
      </w:r>
    </w:p>
    <w:p w14:paraId="6C753625" w14:textId="5B13D788" w:rsidR="004F716F" w:rsidRPr="001B7D5F" w:rsidRDefault="004F716F" w:rsidP="00A70546">
      <w:pPr>
        <w:pStyle w:val="BodyText"/>
        <w:numPr>
          <w:ilvl w:val="0"/>
          <w:numId w:val="7"/>
        </w:numPr>
        <w:rPr>
          <w:rFonts w:cstheme="minorHAnsi"/>
          <w:szCs w:val="22"/>
        </w:rPr>
      </w:pPr>
      <w:r w:rsidRPr="001B7D5F">
        <w:rPr>
          <w:rFonts w:cstheme="minorHAnsi"/>
          <w:szCs w:val="22"/>
        </w:rPr>
        <w:t xml:space="preserve">Co-ordinate participation in working groups/sub-committees from relevant stakeholders within each jurisdiction, as required to progress implementation of the </w:t>
      </w:r>
      <w:r w:rsidR="001B294D">
        <w:rPr>
          <w:rFonts w:cstheme="minorHAnsi"/>
          <w:szCs w:val="22"/>
        </w:rPr>
        <w:t>Agreement</w:t>
      </w:r>
      <w:r w:rsidRPr="001B7D5F">
        <w:rPr>
          <w:rFonts w:cstheme="minorHAnsi"/>
          <w:szCs w:val="22"/>
        </w:rPr>
        <w:t xml:space="preserve">. </w:t>
      </w:r>
    </w:p>
    <w:p w14:paraId="536AEE1A" w14:textId="30CE4F47" w:rsidR="001152A5" w:rsidRPr="001B7D5F" w:rsidRDefault="001152A5" w:rsidP="00A70546">
      <w:pPr>
        <w:pStyle w:val="BodyText"/>
        <w:rPr>
          <w:rFonts w:cstheme="minorHAnsi"/>
          <w:szCs w:val="22"/>
        </w:rPr>
      </w:pPr>
      <w:r w:rsidRPr="001B7D5F">
        <w:rPr>
          <w:rFonts w:cstheme="minorHAnsi"/>
          <w:szCs w:val="22"/>
        </w:rPr>
        <w:t>Detail</w:t>
      </w:r>
      <w:r w:rsidR="00554AF1" w:rsidRPr="001B7D5F">
        <w:rPr>
          <w:rFonts w:cstheme="minorHAnsi"/>
          <w:szCs w:val="22"/>
        </w:rPr>
        <w:t>ed</w:t>
      </w:r>
      <w:r w:rsidRPr="001B7D5F">
        <w:rPr>
          <w:rFonts w:cstheme="minorHAnsi"/>
          <w:szCs w:val="22"/>
        </w:rPr>
        <w:t xml:space="preserve"> administrative arrangements and processes may be agreed and set out in a separate attachment to this Schedule.</w:t>
      </w:r>
    </w:p>
    <w:p w14:paraId="67AB2A9E" w14:textId="5011454A" w:rsidR="004F716F" w:rsidRPr="00B26E61" w:rsidRDefault="6BFDC5C8" w:rsidP="00A70546">
      <w:pPr>
        <w:pStyle w:val="Heading3"/>
        <w:numPr>
          <w:ilvl w:val="0"/>
          <w:numId w:val="8"/>
        </w:numPr>
      </w:pPr>
      <w:bookmarkStart w:id="139" w:name="_Toc126920736"/>
      <w:bookmarkStart w:id="140" w:name="_Toc1075293229"/>
      <w:bookmarkStart w:id="141" w:name="_Toc407113967"/>
      <w:r w:rsidRPr="00B26E61">
        <w:t>D</w:t>
      </w:r>
      <w:r w:rsidR="4707829C" w:rsidRPr="00B26E61">
        <w:t xml:space="preserve">elivery </w:t>
      </w:r>
      <w:r w:rsidRPr="00B26E61">
        <w:t>P</w:t>
      </w:r>
      <w:r w:rsidR="4707829C" w:rsidRPr="00B26E61">
        <w:t>artners</w:t>
      </w:r>
      <w:bookmarkEnd w:id="139"/>
      <w:r w:rsidR="4707829C" w:rsidRPr="00B26E61">
        <w:t xml:space="preserve"> </w:t>
      </w:r>
      <w:bookmarkEnd w:id="140"/>
      <w:bookmarkEnd w:id="141"/>
    </w:p>
    <w:p w14:paraId="2C8EDA79" w14:textId="1A457902" w:rsidR="004F716F" w:rsidRPr="001B7D5F" w:rsidRDefault="006F11D4" w:rsidP="00A70546">
      <w:pPr>
        <w:pStyle w:val="BodyText"/>
        <w:rPr>
          <w:rFonts w:cstheme="minorHAnsi"/>
          <w:szCs w:val="22"/>
        </w:rPr>
      </w:pPr>
      <w:r w:rsidRPr="001B7D5F">
        <w:t>Delivery Partners may p</w:t>
      </w:r>
      <w:r w:rsidR="004F716F" w:rsidRPr="001B7D5F">
        <w:t>articipate</w:t>
      </w:r>
      <w:r w:rsidR="004F716F" w:rsidRPr="001B7D5F">
        <w:rPr>
          <w:rFonts w:cstheme="minorHAnsi"/>
          <w:szCs w:val="22"/>
        </w:rPr>
        <w:t xml:space="preserve"> in </w:t>
      </w:r>
      <w:r w:rsidR="00CB7818" w:rsidRPr="001B7D5F">
        <w:rPr>
          <w:rFonts w:cstheme="minorHAnsi"/>
          <w:color w:val="auto"/>
          <w:szCs w:val="22"/>
        </w:rPr>
        <w:t>Oversight Committee</w:t>
      </w:r>
      <w:r w:rsidR="00CB7818" w:rsidRPr="001B7D5F">
        <w:rPr>
          <w:rFonts w:cstheme="minorHAnsi"/>
          <w:szCs w:val="22"/>
        </w:rPr>
        <w:t xml:space="preserve"> </w:t>
      </w:r>
      <w:r w:rsidR="004F716F" w:rsidRPr="001B7D5F">
        <w:rPr>
          <w:rFonts w:cstheme="minorHAnsi"/>
          <w:szCs w:val="22"/>
        </w:rPr>
        <w:t>meeting discussions on strategic planning and alignment of activities</w:t>
      </w:r>
      <w:r w:rsidR="00F81EAF" w:rsidRPr="001B7D5F">
        <w:rPr>
          <w:rFonts w:cstheme="minorHAnsi"/>
          <w:szCs w:val="22"/>
        </w:rPr>
        <w:t>, as determined by the Oversight Committee members</w:t>
      </w:r>
      <w:r w:rsidR="004F716F" w:rsidRPr="001B7D5F">
        <w:rPr>
          <w:rFonts w:cstheme="minorHAnsi"/>
          <w:szCs w:val="22"/>
        </w:rPr>
        <w:t>.</w:t>
      </w:r>
    </w:p>
    <w:p w14:paraId="2548B99F" w14:textId="265EC2CD" w:rsidR="004F716F" w:rsidRPr="001B7D5F" w:rsidRDefault="00CA24F5" w:rsidP="00A70546">
      <w:pPr>
        <w:pStyle w:val="BodyText"/>
        <w:rPr>
          <w:rFonts w:cstheme="minorHAnsi"/>
          <w:szCs w:val="22"/>
        </w:rPr>
      </w:pPr>
      <w:r w:rsidRPr="001B7D5F">
        <w:rPr>
          <w:rFonts w:cstheme="minorHAnsi"/>
          <w:szCs w:val="22"/>
        </w:rPr>
        <w:t>Delivery Partner</w:t>
      </w:r>
      <w:r w:rsidR="005241F3" w:rsidRPr="001B7D5F">
        <w:rPr>
          <w:rFonts w:cstheme="minorHAnsi"/>
          <w:szCs w:val="22"/>
        </w:rPr>
        <w:t>s</w:t>
      </w:r>
      <w:r w:rsidRPr="001B7D5F">
        <w:rPr>
          <w:rFonts w:cstheme="minorHAnsi"/>
          <w:szCs w:val="22"/>
        </w:rPr>
        <w:t xml:space="preserve"> in receipt of fundi</w:t>
      </w:r>
      <w:r w:rsidR="00DC0957" w:rsidRPr="001B7D5F">
        <w:rPr>
          <w:rFonts w:cstheme="minorHAnsi"/>
          <w:szCs w:val="22"/>
        </w:rPr>
        <w:t>n</w:t>
      </w:r>
      <w:r w:rsidRPr="001B7D5F">
        <w:rPr>
          <w:rFonts w:cstheme="minorHAnsi"/>
          <w:szCs w:val="22"/>
        </w:rPr>
        <w:t>g under this Agreement will be expected to p</w:t>
      </w:r>
      <w:r w:rsidR="004F716F" w:rsidRPr="001B7D5F">
        <w:rPr>
          <w:rFonts w:cstheme="minorHAnsi"/>
          <w:szCs w:val="22"/>
        </w:rPr>
        <w:t xml:space="preserve">rovide the </w:t>
      </w:r>
      <w:r w:rsidR="00CB7818" w:rsidRPr="001B7D5F">
        <w:rPr>
          <w:rFonts w:cstheme="minorHAnsi"/>
          <w:color w:val="auto"/>
          <w:szCs w:val="22"/>
        </w:rPr>
        <w:t>Oversight Committee</w:t>
      </w:r>
      <w:r w:rsidR="00CB7818" w:rsidRPr="001B7D5F">
        <w:rPr>
          <w:rFonts w:cstheme="minorHAnsi"/>
          <w:szCs w:val="22"/>
        </w:rPr>
        <w:t xml:space="preserve"> </w:t>
      </w:r>
      <w:r w:rsidR="004F716F" w:rsidRPr="001B7D5F">
        <w:rPr>
          <w:rFonts w:cstheme="minorHAnsi"/>
          <w:szCs w:val="22"/>
        </w:rPr>
        <w:t>with</w:t>
      </w:r>
      <w:r w:rsidR="0060293A" w:rsidRPr="001B7D5F">
        <w:rPr>
          <w:rFonts w:cstheme="minorHAnsi"/>
          <w:szCs w:val="22"/>
        </w:rPr>
        <w:t xml:space="preserve"> a work plan for each </w:t>
      </w:r>
      <w:r w:rsidR="0077646D" w:rsidRPr="001B7D5F">
        <w:rPr>
          <w:rFonts w:cstheme="minorHAnsi"/>
          <w:szCs w:val="22"/>
        </w:rPr>
        <w:t>Foundation Service, National Service and Strategic Priority</w:t>
      </w:r>
      <w:r w:rsidR="001B294D">
        <w:rPr>
          <w:rFonts w:cstheme="minorHAnsi"/>
          <w:szCs w:val="22"/>
        </w:rPr>
        <w:t xml:space="preserve"> Project</w:t>
      </w:r>
      <w:r w:rsidR="0077646D" w:rsidRPr="001B7D5F">
        <w:rPr>
          <w:rFonts w:cstheme="minorHAnsi"/>
          <w:szCs w:val="22"/>
        </w:rPr>
        <w:t xml:space="preserve"> funded through the Agreement </w:t>
      </w:r>
      <w:r w:rsidR="004F716F" w:rsidRPr="001B7D5F">
        <w:rPr>
          <w:rFonts w:cstheme="minorHAnsi"/>
          <w:szCs w:val="22"/>
        </w:rPr>
        <w:t>for each financial year, to be endorsed by the Committee</w:t>
      </w:r>
      <w:r w:rsidR="0077646D" w:rsidRPr="001B7D5F">
        <w:rPr>
          <w:rFonts w:cstheme="minorHAnsi"/>
          <w:szCs w:val="22"/>
        </w:rPr>
        <w:t>.</w:t>
      </w:r>
    </w:p>
    <w:p w14:paraId="6D7C7D4D" w14:textId="79037574" w:rsidR="00F2654E" w:rsidRPr="001B7D5F" w:rsidRDefault="00F2654E" w:rsidP="00A70546">
      <w:pPr>
        <w:pStyle w:val="BodyText"/>
        <w:rPr>
          <w:rFonts w:cstheme="minorHAnsi"/>
          <w:szCs w:val="22"/>
        </w:rPr>
      </w:pPr>
      <w:r w:rsidRPr="001B7D5F">
        <w:rPr>
          <w:rFonts w:cstheme="minorHAnsi"/>
          <w:szCs w:val="22"/>
        </w:rPr>
        <w:t xml:space="preserve">The Secretariat will </w:t>
      </w:r>
      <w:r w:rsidR="002C1571" w:rsidRPr="001B7D5F">
        <w:rPr>
          <w:rFonts w:cstheme="minorHAnsi"/>
          <w:szCs w:val="22"/>
        </w:rPr>
        <w:t xml:space="preserve">routinely </w:t>
      </w:r>
      <w:r w:rsidRPr="001B7D5F">
        <w:rPr>
          <w:rFonts w:cstheme="minorHAnsi"/>
          <w:szCs w:val="22"/>
        </w:rPr>
        <w:t xml:space="preserve">request updates on delivery of projects and financial expenditure from Delivery Partners (as relevant) in time for consideration by the Oversight Committee. </w:t>
      </w:r>
    </w:p>
    <w:p w14:paraId="7205E080" w14:textId="77777777" w:rsidR="004F716F" w:rsidRPr="001B7D5F" w:rsidRDefault="4707829C" w:rsidP="00A70546">
      <w:pPr>
        <w:pStyle w:val="Heading3"/>
        <w:numPr>
          <w:ilvl w:val="0"/>
          <w:numId w:val="8"/>
        </w:numPr>
      </w:pPr>
      <w:bookmarkStart w:id="142" w:name="_Toc126920737"/>
      <w:bookmarkStart w:id="143" w:name="_Toc1233224967"/>
      <w:bookmarkStart w:id="144" w:name="_Toc944333805"/>
      <w:r w:rsidRPr="001B7D5F">
        <w:t>Funding Decisions</w:t>
      </w:r>
      <w:bookmarkEnd w:id="142"/>
      <w:bookmarkEnd w:id="143"/>
      <w:bookmarkEnd w:id="144"/>
    </w:p>
    <w:p w14:paraId="2C667248" w14:textId="30147922" w:rsidR="0093273B" w:rsidRPr="001B7D5F" w:rsidRDefault="00107C1E" w:rsidP="00A70546">
      <w:pPr>
        <w:pStyle w:val="BodyText"/>
        <w:rPr>
          <w:color w:val="auto"/>
        </w:rPr>
      </w:pPr>
      <w:r w:rsidRPr="001B7D5F">
        <w:rPr>
          <w:color w:val="auto"/>
        </w:rPr>
        <w:t xml:space="preserve">The Oversight Committee will consider funding allocations for </w:t>
      </w:r>
      <w:r w:rsidR="003629F9" w:rsidRPr="001B7D5F">
        <w:rPr>
          <w:color w:val="auto"/>
        </w:rPr>
        <w:t>delivery of Foundation Services, National Services and Strategic Priorit</w:t>
      </w:r>
      <w:r w:rsidR="00B26E61">
        <w:rPr>
          <w:color w:val="auto"/>
        </w:rPr>
        <w:t>y Projects</w:t>
      </w:r>
      <w:r w:rsidR="003629F9" w:rsidRPr="001B7D5F">
        <w:rPr>
          <w:color w:val="auto"/>
        </w:rPr>
        <w:t xml:space="preserve"> </w:t>
      </w:r>
      <w:r w:rsidRPr="001B7D5F">
        <w:rPr>
          <w:color w:val="auto"/>
        </w:rPr>
        <w:t xml:space="preserve">for each financial </w:t>
      </w:r>
      <w:r w:rsidR="003629F9" w:rsidRPr="001B7D5F">
        <w:rPr>
          <w:color w:val="auto"/>
        </w:rPr>
        <w:t>year of the Agreemen</w:t>
      </w:r>
      <w:r w:rsidRPr="001B7D5F">
        <w:rPr>
          <w:color w:val="auto"/>
        </w:rPr>
        <w:t>t, based on a costing request from the relevant Delivery Partner</w:t>
      </w:r>
      <w:r w:rsidR="008B15FB" w:rsidRPr="001B7D5F">
        <w:rPr>
          <w:color w:val="auto"/>
        </w:rPr>
        <w:t xml:space="preserve"> and an assessment of the viability </w:t>
      </w:r>
      <w:r w:rsidR="00823F4C" w:rsidRPr="001B7D5F">
        <w:rPr>
          <w:color w:val="auto"/>
        </w:rPr>
        <w:t>of delivery of the project by the Oversight Committee</w:t>
      </w:r>
      <w:r w:rsidRPr="001B7D5F">
        <w:rPr>
          <w:color w:val="auto"/>
        </w:rPr>
        <w:t>.</w:t>
      </w:r>
      <w:r w:rsidR="003629F9" w:rsidRPr="001B7D5F">
        <w:rPr>
          <w:color w:val="auto"/>
        </w:rPr>
        <w:t xml:space="preserve"> The Oversight Committee may agree to reallocate funding across National Services, Foundation Services and Strategic </w:t>
      </w:r>
      <w:r w:rsidR="001B294D" w:rsidRPr="001B7D5F">
        <w:rPr>
          <w:color w:val="auto"/>
        </w:rPr>
        <w:t>Priorit</w:t>
      </w:r>
      <w:r w:rsidR="001B294D">
        <w:rPr>
          <w:color w:val="auto"/>
        </w:rPr>
        <w:t>y Projects</w:t>
      </w:r>
      <w:r w:rsidR="003629F9" w:rsidRPr="001B7D5F">
        <w:rPr>
          <w:color w:val="auto"/>
        </w:rPr>
        <w:t>, following consultation with relevant Delivery Partners.</w:t>
      </w:r>
      <w:r w:rsidR="0093273B" w:rsidRPr="001B7D5F">
        <w:rPr>
          <w:color w:val="auto"/>
        </w:rPr>
        <w:t xml:space="preserve"> There may be circumstances where approval from Health Ministers may be needed to commit funding to an initiative in future years.</w:t>
      </w:r>
    </w:p>
    <w:p w14:paraId="5EDB3210" w14:textId="5E9F9A81" w:rsidR="003629F9" w:rsidRPr="001B7D5F" w:rsidRDefault="003629F9" w:rsidP="00A70546">
      <w:pPr>
        <w:pStyle w:val="BodyText"/>
        <w:rPr>
          <w:color w:val="auto"/>
        </w:rPr>
      </w:pPr>
      <w:r w:rsidRPr="001B7D5F">
        <w:rPr>
          <w:color w:val="auto"/>
        </w:rPr>
        <w:t xml:space="preserve">If a surplus is expected for any given financial year, the </w:t>
      </w:r>
      <w:r w:rsidR="005241F3" w:rsidRPr="001B7D5F">
        <w:rPr>
          <w:color w:val="auto"/>
        </w:rPr>
        <w:t xml:space="preserve">Delivery Partner </w:t>
      </w:r>
      <w:r w:rsidRPr="001B7D5F">
        <w:rPr>
          <w:color w:val="auto"/>
        </w:rPr>
        <w:t xml:space="preserve">will advise the Parties through the governance arrangements outlined in this Agreement. The Oversight Committee will consult with the </w:t>
      </w:r>
      <w:r w:rsidR="005241F3" w:rsidRPr="001B7D5F">
        <w:rPr>
          <w:color w:val="auto"/>
        </w:rPr>
        <w:t xml:space="preserve">Delivery Partner </w:t>
      </w:r>
      <w:r w:rsidRPr="001B7D5F">
        <w:rPr>
          <w:color w:val="auto"/>
        </w:rPr>
        <w:t>on how (or whether) the unspent funds may be reinvested, in accordance with the objectives of this Agreement and subject to any applicable legislation.</w:t>
      </w:r>
    </w:p>
    <w:p w14:paraId="530DEF9A" w14:textId="4FC0B008" w:rsidR="00105422" w:rsidRPr="001B7D5F" w:rsidRDefault="004F716F" w:rsidP="00A70546">
      <w:pPr>
        <w:pStyle w:val="BodyText"/>
      </w:pPr>
      <w:r w:rsidRPr="001B7D5F">
        <w:rPr>
          <w:rFonts w:cstheme="minorHAnsi"/>
          <w:szCs w:val="22"/>
        </w:rPr>
        <w:t>Where the decision to fund a new/ongoing project is made (and approved) by the</w:t>
      </w:r>
      <w:r w:rsidR="00CB7818" w:rsidRPr="001B7D5F">
        <w:rPr>
          <w:rFonts w:cstheme="minorHAnsi"/>
          <w:szCs w:val="22"/>
        </w:rPr>
        <w:t xml:space="preserve"> Oversight Committee</w:t>
      </w:r>
      <w:r w:rsidRPr="001B7D5F">
        <w:rPr>
          <w:rFonts w:cstheme="minorHAnsi"/>
          <w:szCs w:val="22"/>
        </w:rPr>
        <w:t xml:space="preserve">, </w:t>
      </w:r>
      <w:r w:rsidRPr="001B7D5F">
        <w:t>the</w:t>
      </w:r>
      <w:r w:rsidRPr="001B7D5F">
        <w:rPr>
          <w:rFonts w:cstheme="minorHAnsi"/>
          <w:szCs w:val="22"/>
        </w:rPr>
        <w:t xml:space="preserve"> following procedures should be followed:</w:t>
      </w:r>
    </w:p>
    <w:p w14:paraId="37F19500" w14:textId="5C6CBFFB" w:rsidR="004F716F" w:rsidRPr="001B7D5F" w:rsidRDefault="004F716F" w:rsidP="00A70546">
      <w:pPr>
        <w:pStyle w:val="DHSBodyText"/>
        <w:spacing w:after="120" w:line="240" w:lineRule="auto"/>
        <w:rPr>
          <w:rFonts w:asciiTheme="minorHAnsi" w:hAnsiTheme="minorHAnsi" w:cstheme="minorHAnsi"/>
          <w:sz w:val="22"/>
          <w:szCs w:val="22"/>
        </w:rPr>
      </w:pPr>
      <w:r w:rsidRPr="001B7D5F">
        <w:rPr>
          <w:rFonts w:asciiTheme="minorHAnsi" w:hAnsiTheme="minorHAnsi" w:cstheme="minorHAnsi"/>
          <w:i/>
          <w:iCs/>
          <w:sz w:val="22"/>
          <w:szCs w:val="22"/>
        </w:rPr>
        <w:lastRenderedPageBreak/>
        <w:t>Australian Digital Health Agency</w:t>
      </w:r>
    </w:p>
    <w:p w14:paraId="49EDF2AC" w14:textId="3E6BBA4B" w:rsidR="004F716F" w:rsidRPr="001B7D5F" w:rsidRDefault="004F716F" w:rsidP="00A70546">
      <w:pPr>
        <w:pStyle w:val="ListParagraph"/>
        <w:numPr>
          <w:ilvl w:val="0"/>
          <w:numId w:val="7"/>
        </w:numPr>
        <w:spacing w:after="120" w:line="240" w:lineRule="auto"/>
        <w:contextualSpacing w:val="0"/>
        <w:rPr>
          <w:rFonts w:cstheme="minorHAnsi"/>
          <w:sz w:val="22"/>
          <w:szCs w:val="22"/>
        </w:rPr>
      </w:pPr>
      <w:r w:rsidRPr="001B7D5F">
        <w:rPr>
          <w:rFonts w:cstheme="minorHAnsi"/>
          <w:sz w:val="22"/>
          <w:szCs w:val="22"/>
        </w:rPr>
        <w:t>Chair</w:t>
      </w:r>
      <w:r w:rsidR="00B26E61">
        <w:rPr>
          <w:rFonts w:cstheme="minorHAnsi"/>
          <w:sz w:val="22"/>
          <w:szCs w:val="22"/>
        </w:rPr>
        <w:t>s</w:t>
      </w:r>
      <w:r w:rsidRPr="001B7D5F">
        <w:rPr>
          <w:rFonts w:cstheme="minorHAnsi"/>
          <w:sz w:val="22"/>
          <w:szCs w:val="22"/>
        </w:rPr>
        <w:t xml:space="preserve"> write to the </w:t>
      </w:r>
      <w:r w:rsidR="005107A4" w:rsidRPr="001B7D5F">
        <w:rPr>
          <w:rFonts w:cstheme="minorHAnsi"/>
          <w:sz w:val="22"/>
          <w:szCs w:val="22"/>
        </w:rPr>
        <w:t>Chief Executive Officer of the Agency</w:t>
      </w:r>
      <w:r w:rsidRPr="001B7D5F">
        <w:rPr>
          <w:rFonts w:cstheme="minorHAnsi"/>
          <w:sz w:val="22"/>
          <w:szCs w:val="22"/>
        </w:rPr>
        <w:t xml:space="preserve"> advising on project/work that all Parties to the IGA would like delivered and the associated funding. </w:t>
      </w:r>
    </w:p>
    <w:p w14:paraId="488389E0" w14:textId="5045224F" w:rsidR="004F716F" w:rsidRPr="001B7D5F" w:rsidRDefault="004F716F" w:rsidP="00A70546">
      <w:pPr>
        <w:pStyle w:val="DHSBodyText"/>
        <w:spacing w:after="120" w:line="240" w:lineRule="auto"/>
        <w:rPr>
          <w:rFonts w:asciiTheme="minorHAnsi" w:hAnsiTheme="minorHAnsi" w:cstheme="minorHAnsi"/>
          <w:i/>
          <w:iCs/>
          <w:sz w:val="22"/>
          <w:szCs w:val="22"/>
        </w:rPr>
      </w:pPr>
      <w:r w:rsidRPr="001B7D5F">
        <w:rPr>
          <w:rFonts w:asciiTheme="minorHAnsi" w:hAnsiTheme="minorHAnsi" w:cstheme="minorHAnsi"/>
          <w:i/>
          <w:iCs/>
          <w:sz w:val="22"/>
          <w:szCs w:val="22"/>
        </w:rPr>
        <w:t>Services Australia</w:t>
      </w:r>
    </w:p>
    <w:p w14:paraId="794D2499" w14:textId="561BEE6F" w:rsidR="004F716F" w:rsidRPr="001B7D5F" w:rsidRDefault="004F716F" w:rsidP="00A70546">
      <w:pPr>
        <w:pStyle w:val="BodyText"/>
        <w:numPr>
          <w:ilvl w:val="0"/>
          <w:numId w:val="7"/>
        </w:numPr>
        <w:rPr>
          <w:rFonts w:cstheme="minorHAnsi"/>
          <w:szCs w:val="22"/>
        </w:rPr>
      </w:pPr>
      <w:r w:rsidRPr="001B7D5F">
        <w:rPr>
          <w:rFonts w:cstheme="minorHAnsi"/>
          <w:szCs w:val="22"/>
        </w:rPr>
        <w:t>If in relation to the Health</w:t>
      </w:r>
      <w:r w:rsidR="007825A0">
        <w:rPr>
          <w:rFonts w:cstheme="minorHAnsi"/>
          <w:szCs w:val="22"/>
        </w:rPr>
        <w:t>care</w:t>
      </w:r>
      <w:r w:rsidRPr="001B7D5F">
        <w:rPr>
          <w:rFonts w:cstheme="minorHAnsi"/>
          <w:szCs w:val="22"/>
        </w:rPr>
        <w:t xml:space="preserve"> Identifiers Service or National Authentication Service for Health, Chair</w:t>
      </w:r>
      <w:r w:rsidR="00B26E61">
        <w:rPr>
          <w:rFonts w:cstheme="minorHAnsi"/>
          <w:szCs w:val="22"/>
        </w:rPr>
        <w:t>s</w:t>
      </w:r>
      <w:r w:rsidRPr="001B7D5F">
        <w:rPr>
          <w:rFonts w:cstheme="minorHAnsi"/>
          <w:szCs w:val="22"/>
        </w:rPr>
        <w:t xml:space="preserve"> write to the </w:t>
      </w:r>
      <w:r w:rsidR="005107A4" w:rsidRPr="001B7D5F">
        <w:t>Chief Executive Officer</w:t>
      </w:r>
      <w:r w:rsidRPr="001B7D5F">
        <w:rPr>
          <w:rFonts w:cstheme="minorHAnsi"/>
          <w:szCs w:val="22"/>
        </w:rPr>
        <w:t xml:space="preserve"> of the Agency as the contract manager for those services.</w:t>
      </w:r>
    </w:p>
    <w:p w14:paraId="065D24FF" w14:textId="0896E91A" w:rsidR="00C07936" w:rsidRDefault="004F716F" w:rsidP="00A70546">
      <w:pPr>
        <w:pStyle w:val="BodyText"/>
        <w:numPr>
          <w:ilvl w:val="0"/>
          <w:numId w:val="7"/>
        </w:numPr>
        <w:rPr>
          <w:rFonts w:cstheme="minorHAnsi"/>
          <w:szCs w:val="22"/>
        </w:rPr>
      </w:pPr>
      <w:r w:rsidRPr="001B7D5F">
        <w:rPr>
          <w:rFonts w:cstheme="minorHAnsi"/>
          <w:szCs w:val="22"/>
        </w:rPr>
        <w:t>If in relation to a proposed new activity, Chair</w:t>
      </w:r>
      <w:r w:rsidR="00B26E61">
        <w:rPr>
          <w:rFonts w:cstheme="minorHAnsi"/>
          <w:szCs w:val="22"/>
        </w:rPr>
        <w:t>s</w:t>
      </w:r>
      <w:r w:rsidRPr="001B7D5F">
        <w:rPr>
          <w:rFonts w:cstheme="minorHAnsi"/>
          <w:szCs w:val="22"/>
        </w:rPr>
        <w:t xml:space="preserve"> write to the </w:t>
      </w:r>
      <w:r w:rsidR="005107A4" w:rsidRPr="001B7D5F">
        <w:t>Chief Executive Officer</w:t>
      </w:r>
      <w:r w:rsidR="005107A4" w:rsidRPr="001B7D5F">
        <w:rPr>
          <w:rFonts w:cstheme="minorHAnsi"/>
          <w:szCs w:val="22"/>
        </w:rPr>
        <w:t xml:space="preserve"> </w:t>
      </w:r>
      <w:r w:rsidRPr="001B7D5F">
        <w:rPr>
          <w:rFonts w:cstheme="minorHAnsi"/>
          <w:szCs w:val="22"/>
        </w:rPr>
        <w:t>of Services Australia with high-level advice to commence negotiations as per standard procedures.</w:t>
      </w:r>
    </w:p>
    <w:p w14:paraId="48EF1A36" w14:textId="02EDD1FE" w:rsidR="00C07936" w:rsidRPr="006F1895" w:rsidRDefault="00C07936" w:rsidP="00A70546">
      <w:pPr>
        <w:pStyle w:val="BodyText"/>
        <w:rPr>
          <w:rFonts w:cstheme="minorHAnsi"/>
          <w:i/>
          <w:iCs/>
          <w:szCs w:val="22"/>
        </w:rPr>
      </w:pPr>
      <w:r w:rsidRPr="006F1895">
        <w:rPr>
          <w:rFonts w:cstheme="minorHAnsi"/>
          <w:i/>
          <w:iCs/>
          <w:szCs w:val="22"/>
        </w:rPr>
        <w:t>Hea</w:t>
      </w:r>
      <w:r w:rsidR="0008553D" w:rsidRPr="006F1895">
        <w:rPr>
          <w:rFonts w:cstheme="minorHAnsi"/>
          <w:i/>
          <w:iCs/>
          <w:szCs w:val="22"/>
        </w:rPr>
        <w:t>l</w:t>
      </w:r>
      <w:r w:rsidRPr="006F1895">
        <w:rPr>
          <w:rFonts w:cstheme="minorHAnsi"/>
          <w:i/>
          <w:iCs/>
          <w:szCs w:val="22"/>
        </w:rPr>
        <w:t>thdirect</w:t>
      </w:r>
      <w:r w:rsidR="001B294D">
        <w:rPr>
          <w:rFonts w:cstheme="minorHAnsi"/>
          <w:i/>
          <w:iCs/>
          <w:szCs w:val="22"/>
        </w:rPr>
        <w:t xml:space="preserve"> Australia</w:t>
      </w:r>
    </w:p>
    <w:p w14:paraId="58B71D0B" w14:textId="652FA514" w:rsidR="0008553D" w:rsidRPr="00A951D0" w:rsidRDefault="000D2B3D" w:rsidP="00A70546">
      <w:pPr>
        <w:pStyle w:val="ListParagraph"/>
        <w:numPr>
          <w:ilvl w:val="0"/>
          <w:numId w:val="7"/>
        </w:numPr>
        <w:spacing w:after="120" w:line="240" w:lineRule="auto"/>
        <w:contextualSpacing w:val="0"/>
        <w:rPr>
          <w:rFonts w:cstheme="minorHAnsi"/>
          <w:sz w:val="22"/>
          <w:szCs w:val="22"/>
        </w:rPr>
      </w:pPr>
      <w:r w:rsidRPr="00A951D0">
        <w:rPr>
          <w:rFonts w:cstheme="minorHAnsi"/>
          <w:sz w:val="22"/>
          <w:szCs w:val="22"/>
        </w:rPr>
        <w:t xml:space="preserve">If in relation to a proposed new </w:t>
      </w:r>
      <w:r w:rsidR="008739FF" w:rsidRPr="00A951D0">
        <w:rPr>
          <w:rFonts w:cstheme="minorHAnsi"/>
          <w:sz w:val="22"/>
          <w:szCs w:val="22"/>
        </w:rPr>
        <w:t xml:space="preserve">strategic </w:t>
      </w:r>
      <w:r w:rsidRPr="00A951D0">
        <w:rPr>
          <w:rFonts w:cstheme="minorHAnsi"/>
          <w:sz w:val="22"/>
          <w:szCs w:val="22"/>
        </w:rPr>
        <w:t>activity or the National Health Services Directory, the Chair</w:t>
      </w:r>
      <w:r w:rsidR="00B26E61">
        <w:rPr>
          <w:rFonts w:cstheme="minorHAnsi"/>
          <w:sz w:val="22"/>
          <w:szCs w:val="22"/>
        </w:rPr>
        <w:t>s</w:t>
      </w:r>
      <w:r w:rsidRPr="00A951D0">
        <w:rPr>
          <w:rFonts w:cstheme="minorHAnsi"/>
          <w:sz w:val="22"/>
          <w:szCs w:val="22"/>
        </w:rPr>
        <w:t xml:space="preserve"> write to the Chief Executive Officer of Healthdirect</w:t>
      </w:r>
      <w:r w:rsidR="001B294D">
        <w:rPr>
          <w:rFonts w:cstheme="minorHAnsi"/>
          <w:sz w:val="22"/>
          <w:szCs w:val="22"/>
        </w:rPr>
        <w:t xml:space="preserve"> Australia</w:t>
      </w:r>
      <w:r w:rsidRPr="00A951D0">
        <w:rPr>
          <w:rFonts w:cstheme="minorHAnsi"/>
          <w:sz w:val="22"/>
          <w:szCs w:val="22"/>
        </w:rPr>
        <w:t>.</w:t>
      </w:r>
    </w:p>
    <w:p w14:paraId="42FDC9A1" w14:textId="77777777" w:rsidR="004F716F" w:rsidRPr="001B7D5F" w:rsidRDefault="4707829C" w:rsidP="00A70546">
      <w:pPr>
        <w:pStyle w:val="Heading3"/>
        <w:numPr>
          <w:ilvl w:val="0"/>
          <w:numId w:val="8"/>
        </w:numPr>
      </w:pPr>
      <w:bookmarkStart w:id="145" w:name="_Toc126920738"/>
      <w:bookmarkStart w:id="146" w:name="_Toc1354343316"/>
      <w:bookmarkStart w:id="147" w:name="_Toc31588173"/>
      <w:r w:rsidRPr="001B7D5F">
        <w:t>Amendments to these Terms</w:t>
      </w:r>
      <w:bookmarkEnd w:id="145"/>
      <w:bookmarkEnd w:id="146"/>
      <w:bookmarkEnd w:id="147"/>
    </w:p>
    <w:p w14:paraId="1D2CED0C" w14:textId="5794CF83" w:rsidR="004F716F" w:rsidRPr="001B7D5F" w:rsidRDefault="004F716F" w:rsidP="00A70546">
      <w:pPr>
        <w:pStyle w:val="BodyText"/>
        <w:rPr>
          <w:rFonts w:cstheme="minorHAnsi"/>
          <w:szCs w:val="22"/>
        </w:rPr>
      </w:pPr>
      <w:r w:rsidRPr="001B7D5F">
        <w:rPr>
          <w:rFonts w:cstheme="minorHAnsi"/>
          <w:szCs w:val="22"/>
        </w:rPr>
        <w:t xml:space="preserve">The </w:t>
      </w:r>
      <w:r w:rsidR="00FA1CA2" w:rsidRPr="001B7D5F">
        <w:rPr>
          <w:rFonts w:cstheme="minorHAnsi"/>
          <w:szCs w:val="22"/>
        </w:rPr>
        <w:t xml:space="preserve">Oversight </w:t>
      </w:r>
      <w:r w:rsidRPr="001B7D5F">
        <w:t>Committee</w:t>
      </w:r>
      <w:r w:rsidRPr="001B7D5F">
        <w:rPr>
          <w:rFonts w:cstheme="minorHAnsi"/>
          <w:szCs w:val="22"/>
        </w:rPr>
        <w:t xml:space="preserve"> may by </w:t>
      </w:r>
      <w:r w:rsidR="002F3437">
        <w:rPr>
          <w:rFonts w:cstheme="minorHAnsi"/>
          <w:szCs w:val="22"/>
        </w:rPr>
        <w:t>unanimous</w:t>
      </w:r>
      <w:r w:rsidR="002F3437" w:rsidRPr="001B7D5F">
        <w:rPr>
          <w:rFonts w:cstheme="minorHAnsi"/>
          <w:szCs w:val="22"/>
        </w:rPr>
        <w:t xml:space="preserve"> </w:t>
      </w:r>
      <w:r w:rsidRPr="001B7D5F">
        <w:rPr>
          <w:rFonts w:cstheme="minorHAnsi"/>
          <w:szCs w:val="22"/>
        </w:rPr>
        <w:t xml:space="preserve">agreement </w:t>
      </w:r>
      <w:r w:rsidR="00FD3183">
        <w:rPr>
          <w:rFonts w:cstheme="minorHAnsi"/>
          <w:szCs w:val="22"/>
        </w:rPr>
        <w:t xml:space="preserve">of members </w:t>
      </w:r>
      <w:r w:rsidRPr="001B7D5F">
        <w:rPr>
          <w:rFonts w:cstheme="minorHAnsi"/>
          <w:szCs w:val="22"/>
        </w:rPr>
        <w:t xml:space="preserve">make any amendments or additions to these </w:t>
      </w:r>
      <w:r w:rsidR="009E0CF1" w:rsidRPr="001B7D5F">
        <w:rPr>
          <w:rFonts w:cstheme="minorHAnsi"/>
          <w:szCs w:val="22"/>
        </w:rPr>
        <w:t>t</w:t>
      </w:r>
      <w:r w:rsidRPr="001B7D5F">
        <w:rPr>
          <w:rFonts w:cstheme="minorHAnsi"/>
          <w:szCs w:val="22"/>
        </w:rPr>
        <w:t xml:space="preserve">erms of </w:t>
      </w:r>
      <w:r w:rsidR="009E0CF1" w:rsidRPr="001B7D5F">
        <w:rPr>
          <w:rFonts w:cstheme="minorHAnsi"/>
          <w:szCs w:val="22"/>
        </w:rPr>
        <w:t>r</w:t>
      </w:r>
      <w:r w:rsidRPr="001B7D5F">
        <w:rPr>
          <w:rFonts w:cstheme="minorHAnsi"/>
          <w:szCs w:val="22"/>
        </w:rPr>
        <w:t>eference.</w:t>
      </w:r>
    </w:p>
    <w:p w14:paraId="405AB5D8" w14:textId="525D6B21" w:rsidR="0060293A" w:rsidRPr="001B7D5F" w:rsidRDefault="7A287FF1" w:rsidP="00A70546">
      <w:pPr>
        <w:pStyle w:val="Heading3"/>
        <w:numPr>
          <w:ilvl w:val="0"/>
          <w:numId w:val="8"/>
        </w:numPr>
      </w:pPr>
      <w:bookmarkStart w:id="148" w:name="_Toc126920739"/>
      <w:bookmarkStart w:id="149" w:name="_Toc577195011"/>
      <w:bookmarkStart w:id="150" w:name="_Toc1490986521"/>
      <w:r w:rsidRPr="001B7D5F">
        <w:t>Additional Processes</w:t>
      </w:r>
      <w:bookmarkEnd w:id="148"/>
      <w:bookmarkEnd w:id="149"/>
      <w:bookmarkEnd w:id="150"/>
    </w:p>
    <w:p w14:paraId="7929D08C" w14:textId="57111437" w:rsidR="000B0676" w:rsidRPr="00FE6209" w:rsidRDefault="0060293A" w:rsidP="00FE6209">
      <w:pPr>
        <w:pStyle w:val="BodyText"/>
      </w:pPr>
      <w:r w:rsidRPr="001B7D5F">
        <w:t>The Oversight Committee may determine and agree on additional processes and Secretariat arrangements, which may be attached to this Schedule.</w:t>
      </w:r>
    </w:p>
    <w:p w14:paraId="36A9968A" w14:textId="4DFA3015" w:rsidR="00F355E4" w:rsidRPr="001B7D5F" w:rsidRDefault="45E96221" w:rsidP="00FE6209">
      <w:pPr>
        <w:pStyle w:val="Heading2"/>
        <w:pageBreakBefore/>
      </w:pPr>
      <w:bookmarkStart w:id="151" w:name="_Toc1197052017"/>
      <w:bookmarkStart w:id="152" w:name="_Toc123810101"/>
      <w:r w:rsidRPr="001B7D5F">
        <w:lastRenderedPageBreak/>
        <w:t xml:space="preserve">Schedule </w:t>
      </w:r>
      <w:r w:rsidR="53E55C0C" w:rsidRPr="001B7D5F">
        <w:t>C</w:t>
      </w:r>
      <w:r w:rsidR="0BBF5BB4" w:rsidRPr="001B7D5F">
        <w:t xml:space="preserve"> </w:t>
      </w:r>
      <w:r w:rsidR="7C3D8554" w:rsidRPr="001B7D5F">
        <w:t>–</w:t>
      </w:r>
      <w:r w:rsidRPr="001B7D5F">
        <w:t xml:space="preserve"> F</w:t>
      </w:r>
      <w:r w:rsidR="4707829C" w:rsidRPr="001B7D5F">
        <w:t>inancial Arrangements</w:t>
      </w:r>
      <w:bookmarkEnd w:id="151"/>
      <w:bookmarkEnd w:id="152"/>
    </w:p>
    <w:p w14:paraId="36B50BDA" w14:textId="02E9C6EF" w:rsidR="002E44A3" w:rsidRPr="001B7D5F" w:rsidRDefault="003A1FA2" w:rsidP="00A70546">
      <w:pPr>
        <w:pStyle w:val="BodyText"/>
        <w:numPr>
          <w:ilvl w:val="0"/>
          <w:numId w:val="27"/>
        </w:numPr>
        <w:rPr>
          <w:szCs w:val="22"/>
        </w:rPr>
      </w:pPr>
      <w:r w:rsidRPr="001B7D5F">
        <w:t>The Commonwealth</w:t>
      </w:r>
      <w:r w:rsidR="001D2C9E" w:rsidRPr="001B7D5F">
        <w:t>,</w:t>
      </w:r>
      <w:r w:rsidRPr="001B7D5F">
        <w:t xml:space="preserve"> </w:t>
      </w:r>
      <w:r w:rsidR="001D2C9E" w:rsidRPr="001B7D5F">
        <w:t>s</w:t>
      </w:r>
      <w:r w:rsidRPr="001B7D5F">
        <w:t xml:space="preserve">tates and </w:t>
      </w:r>
      <w:r w:rsidR="001D2C9E" w:rsidRPr="001B7D5F">
        <w:t>t</w:t>
      </w:r>
      <w:r w:rsidRPr="001B7D5F">
        <w:t xml:space="preserve">erritories jointly commit to seek funding through their cabinet processes to support </w:t>
      </w:r>
      <w:r w:rsidR="00236BAE" w:rsidRPr="001B7D5F">
        <w:t xml:space="preserve">the </w:t>
      </w:r>
      <w:r w:rsidR="007A494D" w:rsidRPr="001B7D5F">
        <w:t>funding of</w:t>
      </w:r>
      <w:r w:rsidR="00236BAE" w:rsidRPr="001B7D5F">
        <w:t xml:space="preserve"> </w:t>
      </w:r>
      <w:r w:rsidR="00FE3B6C" w:rsidRPr="001B7D5F">
        <w:t>N</w:t>
      </w:r>
      <w:r w:rsidR="00236BAE" w:rsidRPr="001B7D5F">
        <w:t xml:space="preserve">ational </w:t>
      </w:r>
      <w:r w:rsidR="00FE3B6C" w:rsidRPr="001B7D5F">
        <w:t xml:space="preserve">Services, Foundation Services and Strategic </w:t>
      </w:r>
      <w:r w:rsidR="00FE3B6C" w:rsidRPr="001B7D5F">
        <w:rPr>
          <w:szCs w:val="22"/>
        </w:rPr>
        <w:t>Priorit</w:t>
      </w:r>
      <w:r w:rsidR="001B294D">
        <w:rPr>
          <w:szCs w:val="22"/>
        </w:rPr>
        <w:t>y Projects</w:t>
      </w:r>
      <w:r w:rsidR="0096643E" w:rsidRPr="001B7D5F">
        <w:rPr>
          <w:szCs w:val="22"/>
        </w:rPr>
        <w:t xml:space="preserve"> agreed through the Agreement</w:t>
      </w:r>
      <w:r w:rsidR="00236BAE" w:rsidRPr="001B7D5F">
        <w:rPr>
          <w:szCs w:val="22"/>
        </w:rPr>
        <w:t>.</w:t>
      </w:r>
    </w:p>
    <w:p w14:paraId="503929D3" w14:textId="35275E5C" w:rsidR="003A1FA2" w:rsidRPr="001B7D5F" w:rsidRDefault="006B5125" w:rsidP="00A70546">
      <w:pPr>
        <w:pStyle w:val="BodyText"/>
        <w:numPr>
          <w:ilvl w:val="0"/>
          <w:numId w:val="27"/>
        </w:numPr>
        <w:rPr>
          <w:szCs w:val="22"/>
        </w:rPr>
      </w:pPr>
      <w:r w:rsidRPr="001B7D5F">
        <w:t>Funding</w:t>
      </w:r>
      <w:r w:rsidRPr="001B7D5F">
        <w:rPr>
          <w:szCs w:val="22"/>
        </w:rPr>
        <w:t xml:space="preserve"> will be </w:t>
      </w:r>
      <w:r w:rsidR="009D6AAE" w:rsidRPr="001B7D5F">
        <w:rPr>
          <w:szCs w:val="22"/>
        </w:rPr>
        <w:t xml:space="preserve">allocated </w:t>
      </w:r>
      <w:r w:rsidR="00B23B92" w:rsidRPr="001B7D5F">
        <w:rPr>
          <w:szCs w:val="22"/>
        </w:rPr>
        <w:t xml:space="preserve">under </w:t>
      </w:r>
      <w:r w:rsidRPr="001B7D5F">
        <w:rPr>
          <w:szCs w:val="22"/>
        </w:rPr>
        <w:t xml:space="preserve">three </w:t>
      </w:r>
      <w:r w:rsidR="007678C0" w:rsidRPr="001B7D5F">
        <w:rPr>
          <w:szCs w:val="22"/>
        </w:rPr>
        <w:t>F</w:t>
      </w:r>
      <w:r w:rsidRPr="001B7D5F">
        <w:rPr>
          <w:szCs w:val="22"/>
        </w:rPr>
        <w:t xml:space="preserve">unding </w:t>
      </w:r>
      <w:r w:rsidR="007678C0" w:rsidRPr="001B7D5F">
        <w:rPr>
          <w:szCs w:val="22"/>
        </w:rPr>
        <w:t>S</w:t>
      </w:r>
      <w:r w:rsidRPr="001B7D5F">
        <w:rPr>
          <w:szCs w:val="22"/>
        </w:rPr>
        <w:t>treams</w:t>
      </w:r>
      <w:r w:rsidR="00B23B92" w:rsidRPr="001B7D5F">
        <w:rPr>
          <w:szCs w:val="22"/>
        </w:rPr>
        <w:t xml:space="preserve"> </w:t>
      </w:r>
      <w:r w:rsidR="009D6AAE" w:rsidRPr="001B7D5F">
        <w:rPr>
          <w:szCs w:val="22"/>
        </w:rPr>
        <w:t xml:space="preserve">to be used </w:t>
      </w:r>
      <w:r w:rsidR="00B23B92" w:rsidRPr="001B7D5F">
        <w:rPr>
          <w:szCs w:val="22"/>
        </w:rPr>
        <w:t>only for the Foundation Services, National Services and Strategic Priorit</w:t>
      </w:r>
      <w:r w:rsidR="001B294D">
        <w:rPr>
          <w:szCs w:val="22"/>
        </w:rPr>
        <w:t>y Projects</w:t>
      </w:r>
      <w:r w:rsidR="00B23B92" w:rsidRPr="001B7D5F">
        <w:rPr>
          <w:szCs w:val="22"/>
        </w:rPr>
        <w:t xml:space="preserve"> funded through this Agreement</w:t>
      </w:r>
      <w:r w:rsidRPr="001B7D5F">
        <w:rPr>
          <w:szCs w:val="22"/>
        </w:rPr>
        <w:t>:</w:t>
      </w:r>
    </w:p>
    <w:p w14:paraId="0F6381D3" w14:textId="04DA02C9" w:rsidR="006B5125" w:rsidRPr="001B7D5F" w:rsidRDefault="006B5125" w:rsidP="00A70546">
      <w:pPr>
        <w:pStyle w:val="BodyText"/>
        <w:numPr>
          <w:ilvl w:val="0"/>
          <w:numId w:val="7"/>
        </w:numPr>
        <w:ind w:firstLine="66"/>
        <w:rPr>
          <w:szCs w:val="22"/>
        </w:rPr>
      </w:pPr>
      <w:r w:rsidRPr="001B7D5F">
        <w:rPr>
          <w:szCs w:val="22"/>
        </w:rPr>
        <w:t xml:space="preserve">National </w:t>
      </w:r>
      <w:r w:rsidR="007678C0" w:rsidRPr="001B7D5F">
        <w:rPr>
          <w:szCs w:val="22"/>
        </w:rPr>
        <w:t>F</w:t>
      </w:r>
      <w:r w:rsidRPr="001B7D5F">
        <w:rPr>
          <w:szCs w:val="22"/>
        </w:rPr>
        <w:t xml:space="preserve">oundation </w:t>
      </w:r>
      <w:r w:rsidR="007678C0" w:rsidRPr="001B7D5F">
        <w:rPr>
          <w:szCs w:val="22"/>
        </w:rPr>
        <w:t>S</w:t>
      </w:r>
      <w:r w:rsidRPr="001B7D5F">
        <w:rPr>
          <w:szCs w:val="22"/>
        </w:rPr>
        <w:t>ervices</w:t>
      </w:r>
    </w:p>
    <w:p w14:paraId="5B06A95D" w14:textId="1415861B" w:rsidR="006B5125" w:rsidRPr="001B7D5F" w:rsidRDefault="006B5125" w:rsidP="00A70546">
      <w:pPr>
        <w:pStyle w:val="BodyText"/>
        <w:numPr>
          <w:ilvl w:val="0"/>
          <w:numId w:val="7"/>
        </w:numPr>
        <w:ind w:firstLine="66"/>
        <w:rPr>
          <w:szCs w:val="22"/>
        </w:rPr>
      </w:pPr>
      <w:r w:rsidRPr="001B7D5F">
        <w:rPr>
          <w:szCs w:val="22"/>
        </w:rPr>
        <w:t xml:space="preserve">National </w:t>
      </w:r>
      <w:r w:rsidR="007678C0" w:rsidRPr="001B7D5F">
        <w:rPr>
          <w:szCs w:val="22"/>
        </w:rPr>
        <w:t>S</w:t>
      </w:r>
      <w:r w:rsidRPr="001B7D5F">
        <w:rPr>
          <w:szCs w:val="22"/>
        </w:rPr>
        <w:t>ervices</w:t>
      </w:r>
    </w:p>
    <w:p w14:paraId="4EC7AEC8" w14:textId="4B18F97D" w:rsidR="006B5125" w:rsidRPr="001B7D5F" w:rsidRDefault="006B5125" w:rsidP="00A70546">
      <w:pPr>
        <w:pStyle w:val="BodyText"/>
        <w:numPr>
          <w:ilvl w:val="0"/>
          <w:numId w:val="7"/>
        </w:numPr>
        <w:ind w:firstLine="66"/>
        <w:rPr>
          <w:szCs w:val="22"/>
        </w:rPr>
      </w:pPr>
      <w:r w:rsidRPr="001B7D5F">
        <w:rPr>
          <w:szCs w:val="22"/>
        </w:rPr>
        <w:t xml:space="preserve">Strategic </w:t>
      </w:r>
      <w:r w:rsidR="001B294D" w:rsidRPr="001B7D5F">
        <w:rPr>
          <w:szCs w:val="22"/>
        </w:rPr>
        <w:t>Priorit</w:t>
      </w:r>
      <w:r w:rsidR="001B294D">
        <w:rPr>
          <w:szCs w:val="22"/>
        </w:rPr>
        <w:t>y Projects</w:t>
      </w:r>
    </w:p>
    <w:p w14:paraId="4B0AE35C" w14:textId="2DBABAB4" w:rsidR="004F716F" w:rsidRPr="001B7D5F" w:rsidRDefault="4707829C" w:rsidP="00A70546">
      <w:pPr>
        <w:pStyle w:val="Heading3"/>
      </w:pPr>
      <w:bookmarkStart w:id="153" w:name="_Toc1496456075"/>
      <w:bookmarkStart w:id="154" w:name="_Toc477577515"/>
      <w:r w:rsidRPr="001B7D5F">
        <w:t>Overall funding levels</w:t>
      </w:r>
      <w:bookmarkEnd w:id="153"/>
      <w:bookmarkEnd w:id="154"/>
    </w:p>
    <w:p w14:paraId="7174B511" w14:textId="5CD79690" w:rsidR="004F716F" w:rsidRPr="001B7D5F" w:rsidRDefault="00F355E4" w:rsidP="00A70546">
      <w:pPr>
        <w:pStyle w:val="BodyText"/>
        <w:numPr>
          <w:ilvl w:val="0"/>
          <w:numId w:val="27"/>
        </w:numPr>
        <w:rPr>
          <w:szCs w:val="22"/>
        </w:rPr>
      </w:pPr>
      <w:r w:rsidRPr="001B7D5F">
        <w:rPr>
          <w:szCs w:val="22"/>
        </w:rPr>
        <w:t>The Commonwealth</w:t>
      </w:r>
      <w:r w:rsidR="004F163C" w:rsidRPr="001B7D5F">
        <w:rPr>
          <w:szCs w:val="22"/>
        </w:rPr>
        <w:t xml:space="preserve">, </w:t>
      </w:r>
      <w:r w:rsidR="001D2C9E" w:rsidRPr="001B7D5F">
        <w:rPr>
          <w:szCs w:val="22"/>
        </w:rPr>
        <w:t>s</w:t>
      </w:r>
      <w:r w:rsidRPr="001B7D5F">
        <w:rPr>
          <w:szCs w:val="22"/>
        </w:rPr>
        <w:t xml:space="preserve">tates and </w:t>
      </w:r>
      <w:r w:rsidR="001D2C9E" w:rsidRPr="001B7D5F">
        <w:rPr>
          <w:szCs w:val="22"/>
        </w:rPr>
        <w:t>t</w:t>
      </w:r>
      <w:r w:rsidRPr="001B7D5F">
        <w:rPr>
          <w:szCs w:val="22"/>
        </w:rPr>
        <w:t xml:space="preserve">erritories agree to make a financial contribution to </w:t>
      </w:r>
      <w:r w:rsidR="004F163C" w:rsidRPr="001B7D5F">
        <w:rPr>
          <w:szCs w:val="22"/>
        </w:rPr>
        <w:t xml:space="preserve">priorities agreed through this Agreement. </w:t>
      </w:r>
      <w:r w:rsidR="009B114F" w:rsidRPr="001B7D5F">
        <w:rPr>
          <w:szCs w:val="22"/>
        </w:rPr>
        <w:t>Parties</w:t>
      </w:r>
      <w:r w:rsidR="004F3153" w:rsidRPr="001B7D5F">
        <w:rPr>
          <w:szCs w:val="22"/>
        </w:rPr>
        <w:t>’</w:t>
      </w:r>
      <w:r w:rsidR="009B114F" w:rsidRPr="001B7D5F">
        <w:rPr>
          <w:szCs w:val="22"/>
        </w:rPr>
        <w:t xml:space="preserve"> </w:t>
      </w:r>
      <w:r w:rsidR="009B114F" w:rsidRPr="001B7D5F">
        <w:t>share</w:t>
      </w:r>
      <w:r w:rsidR="009B114F" w:rsidRPr="001B7D5F">
        <w:rPr>
          <w:szCs w:val="22"/>
        </w:rPr>
        <w:t xml:space="preserve"> </w:t>
      </w:r>
      <w:r w:rsidR="009B114F" w:rsidRPr="001B7D5F">
        <w:t>of</w:t>
      </w:r>
      <w:r w:rsidR="009B114F" w:rsidRPr="001B7D5F">
        <w:rPr>
          <w:szCs w:val="22"/>
        </w:rPr>
        <w:t xml:space="preserve"> </w:t>
      </w:r>
      <w:r w:rsidR="009B114F" w:rsidRPr="001B7D5F">
        <w:t>the</w:t>
      </w:r>
      <w:r w:rsidR="009B114F" w:rsidRPr="001B7D5F">
        <w:rPr>
          <w:szCs w:val="22"/>
        </w:rPr>
        <w:t xml:space="preserve"> agreed $64.5m per annum is in </w:t>
      </w:r>
      <w:r w:rsidR="00BC6305">
        <w:rPr>
          <w:szCs w:val="22"/>
        </w:rPr>
        <w:t>Table 1</w:t>
      </w:r>
      <w:r w:rsidR="009B114F" w:rsidRPr="001B7D5F">
        <w:rPr>
          <w:szCs w:val="22"/>
        </w:rPr>
        <w:t>.</w:t>
      </w:r>
      <w:r w:rsidR="004F3153" w:rsidRPr="001B7D5F">
        <w:rPr>
          <w:szCs w:val="22"/>
        </w:rPr>
        <w:t xml:space="preserve"> </w:t>
      </w:r>
      <w:r w:rsidR="00BC6305">
        <w:rPr>
          <w:szCs w:val="22"/>
        </w:rPr>
        <w:t>Jurisdictional c</w:t>
      </w:r>
      <w:r w:rsidR="004F3153" w:rsidRPr="001B7D5F">
        <w:rPr>
          <w:szCs w:val="22"/>
        </w:rPr>
        <w:t xml:space="preserve">ontributions </w:t>
      </w:r>
      <w:r w:rsidR="00BC6305">
        <w:rPr>
          <w:szCs w:val="22"/>
        </w:rPr>
        <w:t xml:space="preserve">for each year of the Agreement </w:t>
      </w:r>
      <w:r w:rsidR="004F3153" w:rsidRPr="001B7D5F">
        <w:rPr>
          <w:szCs w:val="22"/>
        </w:rPr>
        <w:t xml:space="preserve">are based </w:t>
      </w:r>
      <w:r w:rsidR="00497926">
        <w:rPr>
          <w:szCs w:val="22"/>
        </w:rPr>
        <w:t xml:space="preserve">on the </w:t>
      </w:r>
      <w:r w:rsidR="00BC6305">
        <w:rPr>
          <w:szCs w:val="22"/>
        </w:rPr>
        <w:t>20</w:t>
      </w:r>
      <w:r w:rsidR="00F15CDB">
        <w:rPr>
          <w:szCs w:val="22"/>
        </w:rPr>
        <w:t>22-23</w:t>
      </w:r>
      <w:r w:rsidR="00BC6305">
        <w:rPr>
          <w:szCs w:val="22"/>
        </w:rPr>
        <w:t xml:space="preserve"> cost</w:t>
      </w:r>
      <w:r w:rsidR="00BC6305">
        <w:rPr>
          <w:szCs w:val="22"/>
        </w:rPr>
        <w:noBreakHyphen/>
        <w:t xml:space="preserve">shared formula agreed by the </w:t>
      </w:r>
      <w:r w:rsidR="00497926">
        <w:rPr>
          <w:szCs w:val="22"/>
        </w:rPr>
        <w:t xml:space="preserve">Health Chief Executives Forum. </w:t>
      </w:r>
      <w:r w:rsidR="00497926" w:rsidRPr="001B7D5F">
        <w:rPr>
          <w:szCs w:val="22"/>
        </w:rPr>
        <w:t xml:space="preserve"> </w:t>
      </w:r>
      <w:r w:rsidR="004F3153" w:rsidRPr="001B7D5F">
        <w:rPr>
          <w:szCs w:val="22"/>
        </w:rPr>
        <w:t xml:space="preserve"> </w:t>
      </w:r>
    </w:p>
    <w:p w14:paraId="46D4B5BF" w14:textId="6755038A" w:rsidR="00C12B2F" w:rsidRPr="001B7D5F" w:rsidRDefault="05B7C62B" w:rsidP="00A70546">
      <w:pPr>
        <w:pStyle w:val="Heading3"/>
      </w:pPr>
      <w:bookmarkStart w:id="155" w:name="_Toc230376435"/>
      <w:bookmarkStart w:id="156" w:name="_Toc163858305"/>
      <w:r w:rsidRPr="001B7D5F">
        <w:t xml:space="preserve">Table 1: </w:t>
      </w:r>
      <w:r w:rsidR="7DC57A19" w:rsidRPr="001B7D5F">
        <w:t xml:space="preserve">Annual </w:t>
      </w:r>
      <w:r w:rsidR="0C5E571E" w:rsidRPr="001B7D5F">
        <w:t>Financial contribution by each Party to the Agreement</w:t>
      </w:r>
      <w:bookmarkEnd w:id="155"/>
      <w:bookmarkEnd w:id="156"/>
    </w:p>
    <w:tbl>
      <w:tblPr>
        <w:tblStyle w:val="GridTable4-Accent2"/>
        <w:tblW w:w="9771" w:type="dxa"/>
        <w:tblLook w:val="04A0" w:firstRow="1" w:lastRow="0" w:firstColumn="1" w:lastColumn="0" w:noHBand="0" w:noVBand="1"/>
      </w:tblPr>
      <w:tblGrid>
        <w:gridCol w:w="2516"/>
        <w:gridCol w:w="3428"/>
        <w:gridCol w:w="3827"/>
      </w:tblGrid>
      <w:tr w:rsidR="004F3153" w:rsidRPr="001B7D5F" w14:paraId="21D6DD45" w14:textId="77777777" w:rsidTr="00FE62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6" w:type="dxa"/>
            <w:hideMark/>
          </w:tcPr>
          <w:p w14:paraId="255330FB" w14:textId="77777777" w:rsidR="004F3153" w:rsidRPr="006B78E6" w:rsidRDefault="004F3153" w:rsidP="00A70546">
            <w:pPr>
              <w:rPr>
                <w:color w:val="FFFFFF"/>
                <w:sz w:val="22"/>
                <w:szCs w:val="22"/>
              </w:rPr>
            </w:pPr>
            <w:r w:rsidRPr="006B78E6">
              <w:rPr>
                <w:snapToGrid w:val="0"/>
                <w:color w:val="FFFFFF"/>
                <w:sz w:val="22"/>
                <w:szCs w:val="22"/>
              </w:rPr>
              <w:t>Member Jurisdiction</w:t>
            </w:r>
          </w:p>
        </w:tc>
        <w:tc>
          <w:tcPr>
            <w:tcW w:w="3428" w:type="dxa"/>
            <w:hideMark/>
          </w:tcPr>
          <w:p w14:paraId="1639C9A6" w14:textId="0FC5886D" w:rsidR="004F3153" w:rsidRPr="006B78E6" w:rsidRDefault="004F3153" w:rsidP="00A70546">
            <w:pP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006B78E6">
              <w:rPr>
                <w:color w:val="FFFFFF"/>
                <w:sz w:val="22"/>
                <w:szCs w:val="22"/>
              </w:rPr>
              <w:t>Cost-shared budget contribution</w:t>
            </w:r>
            <w:r w:rsidR="00BC6305" w:rsidRPr="006B78E6">
              <w:rPr>
                <w:rStyle w:val="FootnoteReference"/>
                <w:color w:val="FFFFFF"/>
                <w:sz w:val="22"/>
                <w:szCs w:val="22"/>
              </w:rPr>
              <w:footnoteReference w:id="2"/>
            </w:r>
            <w:r w:rsidR="007A3A0D" w:rsidRPr="006B78E6">
              <w:rPr>
                <w:color w:val="FFFFFF"/>
                <w:sz w:val="22"/>
                <w:szCs w:val="22"/>
              </w:rPr>
              <w:t xml:space="preserve"> </w:t>
            </w:r>
          </w:p>
        </w:tc>
        <w:tc>
          <w:tcPr>
            <w:tcW w:w="3827" w:type="dxa"/>
            <w:hideMark/>
          </w:tcPr>
          <w:p w14:paraId="41F9A90B" w14:textId="77777777" w:rsidR="004F3153" w:rsidRPr="006B78E6" w:rsidRDefault="004F3153" w:rsidP="00A70546">
            <w:pPr>
              <w:cnfStyle w:val="100000000000" w:firstRow="1" w:lastRow="0" w:firstColumn="0" w:lastColumn="0" w:oddVBand="0" w:evenVBand="0" w:oddHBand="0" w:evenHBand="0" w:firstRowFirstColumn="0" w:firstRowLastColumn="0" w:lastRowFirstColumn="0" w:lastRowLastColumn="0"/>
              <w:rPr>
                <w:b w:val="0"/>
                <w:bCs w:val="0"/>
                <w:sz w:val="22"/>
                <w:szCs w:val="22"/>
              </w:rPr>
            </w:pPr>
            <w:r w:rsidRPr="006B78E6">
              <w:rPr>
                <w:color w:val="FFFFFF"/>
                <w:sz w:val="22"/>
                <w:szCs w:val="22"/>
                <w:u w:val="single"/>
              </w:rPr>
              <w:t>Current</w:t>
            </w:r>
            <w:r w:rsidRPr="006B78E6">
              <w:rPr>
                <w:color w:val="FFFFFF"/>
                <w:sz w:val="22"/>
                <w:szCs w:val="22"/>
              </w:rPr>
              <w:t xml:space="preserve"> IGA financial contribution </w:t>
            </w:r>
          </w:p>
        </w:tc>
      </w:tr>
      <w:tr w:rsidR="004F3153" w:rsidRPr="001B7D5F" w14:paraId="5E01DB6F" w14:textId="77777777" w:rsidTr="004C0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hideMark/>
          </w:tcPr>
          <w:p w14:paraId="4AF3647A" w14:textId="1C42AC19" w:rsidR="004F3153" w:rsidRPr="006B78E6" w:rsidRDefault="004F3153" w:rsidP="00A70546">
            <w:pPr>
              <w:rPr>
                <w:sz w:val="22"/>
                <w:szCs w:val="22"/>
              </w:rPr>
            </w:pPr>
            <w:r w:rsidRPr="006B78E6">
              <w:rPr>
                <w:snapToGrid w:val="0"/>
                <w:color w:val="000000"/>
                <w:sz w:val="22"/>
                <w:szCs w:val="22"/>
              </w:rPr>
              <w:t>Commonwealth</w:t>
            </w:r>
          </w:p>
        </w:tc>
        <w:tc>
          <w:tcPr>
            <w:tcW w:w="3428" w:type="dxa"/>
            <w:hideMark/>
          </w:tcPr>
          <w:p w14:paraId="2F224337" w14:textId="77777777" w:rsidR="004F3153" w:rsidRPr="006B78E6" w:rsidRDefault="004F3153" w:rsidP="00A70546">
            <w:pPr>
              <w:jc w:val="center"/>
              <w:cnfStyle w:val="000000100000" w:firstRow="0" w:lastRow="0" w:firstColumn="0" w:lastColumn="0" w:oddVBand="0" w:evenVBand="0" w:oddHBand="1" w:evenHBand="0" w:firstRowFirstColumn="0" w:firstRowLastColumn="0" w:lastRowFirstColumn="0" w:lastRowLastColumn="0"/>
              <w:rPr>
                <w:sz w:val="22"/>
                <w:szCs w:val="22"/>
              </w:rPr>
            </w:pPr>
            <w:r w:rsidRPr="006B78E6">
              <w:rPr>
                <w:color w:val="000000"/>
                <w:sz w:val="22"/>
                <w:szCs w:val="22"/>
                <w:lang w:val="en-US"/>
              </w:rPr>
              <w:t>50.00%</w:t>
            </w:r>
          </w:p>
        </w:tc>
        <w:tc>
          <w:tcPr>
            <w:tcW w:w="3827" w:type="dxa"/>
            <w:hideMark/>
          </w:tcPr>
          <w:p w14:paraId="50797171" w14:textId="77777777" w:rsidR="004F3153" w:rsidRPr="006B78E6" w:rsidRDefault="004F3153" w:rsidP="00A70546">
            <w:pPr>
              <w:jc w:val="center"/>
              <w:cnfStyle w:val="000000100000" w:firstRow="0" w:lastRow="0" w:firstColumn="0" w:lastColumn="0" w:oddVBand="0" w:evenVBand="0" w:oddHBand="1" w:evenHBand="0" w:firstRowFirstColumn="0" w:firstRowLastColumn="0" w:lastRowFirstColumn="0" w:lastRowLastColumn="0"/>
              <w:rPr>
                <w:sz w:val="22"/>
                <w:szCs w:val="22"/>
              </w:rPr>
            </w:pPr>
            <w:r w:rsidRPr="006B78E6">
              <w:rPr>
                <w:sz w:val="22"/>
                <w:szCs w:val="22"/>
              </w:rPr>
              <w:t>$32,250,000</w:t>
            </w:r>
          </w:p>
        </w:tc>
      </w:tr>
      <w:tr w:rsidR="004F3153" w:rsidRPr="001B7D5F" w14:paraId="3B3DB6F1" w14:textId="77777777" w:rsidTr="004C07F9">
        <w:tc>
          <w:tcPr>
            <w:cnfStyle w:val="001000000000" w:firstRow="0" w:lastRow="0" w:firstColumn="1" w:lastColumn="0" w:oddVBand="0" w:evenVBand="0" w:oddHBand="0" w:evenHBand="0" w:firstRowFirstColumn="0" w:firstRowLastColumn="0" w:lastRowFirstColumn="0" w:lastRowLastColumn="0"/>
            <w:tcW w:w="2516" w:type="dxa"/>
            <w:hideMark/>
          </w:tcPr>
          <w:p w14:paraId="084C13EF" w14:textId="77777777" w:rsidR="004F3153" w:rsidRPr="006B78E6" w:rsidRDefault="004F3153" w:rsidP="00A70546">
            <w:pPr>
              <w:rPr>
                <w:sz w:val="22"/>
                <w:szCs w:val="22"/>
              </w:rPr>
            </w:pPr>
            <w:r w:rsidRPr="006B78E6">
              <w:rPr>
                <w:snapToGrid w:val="0"/>
                <w:color w:val="000000"/>
                <w:sz w:val="22"/>
                <w:szCs w:val="22"/>
              </w:rPr>
              <w:t>New South Wales</w:t>
            </w:r>
          </w:p>
        </w:tc>
        <w:tc>
          <w:tcPr>
            <w:tcW w:w="3428" w:type="dxa"/>
            <w:hideMark/>
          </w:tcPr>
          <w:p w14:paraId="15E0EB26" w14:textId="63E78E42" w:rsidR="004F3153" w:rsidRPr="006B78E6" w:rsidRDefault="00CC41A6" w:rsidP="00A70546">
            <w:pPr>
              <w:jc w:val="center"/>
              <w:cnfStyle w:val="000000000000" w:firstRow="0" w:lastRow="0" w:firstColumn="0" w:lastColumn="0" w:oddVBand="0" w:evenVBand="0" w:oddHBand="0" w:evenHBand="0" w:firstRowFirstColumn="0" w:firstRowLastColumn="0" w:lastRowFirstColumn="0" w:lastRowLastColumn="0"/>
              <w:rPr>
                <w:sz w:val="22"/>
                <w:szCs w:val="22"/>
              </w:rPr>
            </w:pPr>
            <w:r w:rsidRPr="006B78E6">
              <w:rPr>
                <w:color w:val="000000"/>
                <w:sz w:val="22"/>
                <w:szCs w:val="22"/>
                <w:lang w:val="en-US"/>
              </w:rPr>
              <w:t>15.71</w:t>
            </w:r>
            <w:r w:rsidR="004F3153" w:rsidRPr="006B78E6">
              <w:rPr>
                <w:color w:val="000000"/>
                <w:sz w:val="22"/>
                <w:szCs w:val="22"/>
                <w:lang w:val="en-US"/>
              </w:rPr>
              <w:t>%</w:t>
            </w:r>
          </w:p>
        </w:tc>
        <w:tc>
          <w:tcPr>
            <w:tcW w:w="3827" w:type="dxa"/>
            <w:hideMark/>
          </w:tcPr>
          <w:p w14:paraId="70A9C028" w14:textId="454976A8" w:rsidR="004F3153" w:rsidRPr="006B78E6" w:rsidRDefault="004F3153" w:rsidP="00A70546">
            <w:pPr>
              <w:jc w:val="center"/>
              <w:cnfStyle w:val="000000000000" w:firstRow="0" w:lastRow="0" w:firstColumn="0" w:lastColumn="0" w:oddVBand="0" w:evenVBand="0" w:oddHBand="0" w:evenHBand="0" w:firstRowFirstColumn="0" w:firstRowLastColumn="0" w:lastRowFirstColumn="0" w:lastRowLastColumn="0"/>
              <w:rPr>
                <w:sz w:val="22"/>
                <w:szCs w:val="22"/>
              </w:rPr>
            </w:pPr>
            <w:r w:rsidRPr="006B78E6">
              <w:rPr>
                <w:sz w:val="22"/>
                <w:szCs w:val="22"/>
              </w:rPr>
              <w:t>$10,</w:t>
            </w:r>
            <w:r w:rsidR="00CC41A6" w:rsidRPr="006B78E6">
              <w:rPr>
                <w:sz w:val="22"/>
                <w:szCs w:val="22"/>
              </w:rPr>
              <w:t>132,950</w:t>
            </w:r>
          </w:p>
        </w:tc>
      </w:tr>
      <w:tr w:rsidR="004F3153" w:rsidRPr="001B7D5F" w14:paraId="4F779B86" w14:textId="77777777" w:rsidTr="004C0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hideMark/>
          </w:tcPr>
          <w:p w14:paraId="49A0117E" w14:textId="77777777" w:rsidR="004F3153" w:rsidRPr="006B78E6" w:rsidRDefault="004F3153" w:rsidP="00A70546">
            <w:pPr>
              <w:rPr>
                <w:snapToGrid w:val="0"/>
                <w:color w:val="000000"/>
                <w:sz w:val="22"/>
                <w:szCs w:val="22"/>
              </w:rPr>
            </w:pPr>
            <w:r w:rsidRPr="006B78E6">
              <w:rPr>
                <w:snapToGrid w:val="0"/>
                <w:color w:val="000000"/>
                <w:sz w:val="22"/>
                <w:szCs w:val="22"/>
              </w:rPr>
              <w:t>Victoria</w:t>
            </w:r>
          </w:p>
        </w:tc>
        <w:tc>
          <w:tcPr>
            <w:tcW w:w="3428" w:type="dxa"/>
            <w:hideMark/>
          </w:tcPr>
          <w:p w14:paraId="7CEF7C02" w14:textId="2E59EE76" w:rsidR="004F3153" w:rsidRPr="006B78E6" w:rsidRDefault="004F3153" w:rsidP="00A70546">
            <w:pPr>
              <w:jc w:val="center"/>
              <w:cnfStyle w:val="000000100000" w:firstRow="0" w:lastRow="0" w:firstColumn="0" w:lastColumn="0" w:oddVBand="0" w:evenVBand="0" w:oddHBand="1" w:evenHBand="0" w:firstRowFirstColumn="0" w:firstRowLastColumn="0" w:lastRowFirstColumn="0" w:lastRowLastColumn="0"/>
              <w:rPr>
                <w:sz w:val="22"/>
                <w:szCs w:val="22"/>
              </w:rPr>
            </w:pPr>
            <w:r w:rsidRPr="006B78E6">
              <w:rPr>
                <w:color w:val="000000"/>
                <w:sz w:val="22"/>
                <w:szCs w:val="22"/>
                <w:lang w:val="en-US"/>
              </w:rPr>
              <w:t>12.</w:t>
            </w:r>
            <w:r w:rsidR="00CC41A6" w:rsidRPr="006B78E6">
              <w:rPr>
                <w:color w:val="000000"/>
                <w:sz w:val="22"/>
                <w:szCs w:val="22"/>
                <w:lang w:val="en-US"/>
              </w:rPr>
              <w:t>73</w:t>
            </w:r>
            <w:r w:rsidRPr="006B78E6">
              <w:rPr>
                <w:color w:val="000000"/>
                <w:sz w:val="22"/>
                <w:szCs w:val="22"/>
                <w:lang w:val="en-US"/>
              </w:rPr>
              <w:t>%</w:t>
            </w:r>
          </w:p>
        </w:tc>
        <w:tc>
          <w:tcPr>
            <w:tcW w:w="3827" w:type="dxa"/>
            <w:hideMark/>
          </w:tcPr>
          <w:p w14:paraId="0A754227" w14:textId="4B1E0021" w:rsidR="004F3153" w:rsidRPr="006B78E6" w:rsidRDefault="004F3153" w:rsidP="00A70546">
            <w:pPr>
              <w:jc w:val="center"/>
              <w:cnfStyle w:val="000000100000" w:firstRow="0" w:lastRow="0" w:firstColumn="0" w:lastColumn="0" w:oddVBand="0" w:evenVBand="0" w:oddHBand="1" w:evenHBand="0" w:firstRowFirstColumn="0" w:firstRowLastColumn="0" w:lastRowFirstColumn="0" w:lastRowLastColumn="0"/>
              <w:rPr>
                <w:sz w:val="22"/>
                <w:szCs w:val="22"/>
              </w:rPr>
            </w:pPr>
            <w:r w:rsidRPr="006B78E6">
              <w:rPr>
                <w:sz w:val="22"/>
                <w:szCs w:val="22"/>
              </w:rPr>
              <w:t>$8,</w:t>
            </w:r>
            <w:r w:rsidR="00CC41A6" w:rsidRPr="006B78E6">
              <w:rPr>
                <w:sz w:val="22"/>
                <w:szCs w:val="22"/>
              </w:rPr>
              <w:t>210,850</w:t>
            </w:r>
          </w:p>
        </w:tc>
      </w:tr>
      <w:tr w:rsidR="004F3153" w:rsidRPr="001B7D5F" w14:paraId="59795276" w14:textId="77777777" w:rsidTr="004C07F9">
        <w:tc>
          <w:tcPr>
            <w:cnfStyle w:val="001000000000" w:firstRow="0" w:lastRow="0" w:firstColumn="1" w:lastColumn="0" w:oddVBand="0" w:evenVBand="0" w:oddHBand="0" w:evenHBand="0" w:firstRowFirstColumn="0" w:firstRowLastColumn="0" w:lastRowFirstColumn="0" w:lastRowLastColumn="0"/>
            <w:tcW w:w="2516" w:type="dxa"/>
            <w:hideMark/>
          </w:tcPr>
          <w:p w14:paraId="3A9636DA" w14:textId="77777777" w:rsidR="004F3153" w:rsidRPr="006B78E6" w:rsidRDefault="004F3153" w:rsidP="00A70546">
            <w:pPr>
              <w:rPr>
                <w:snapToGrid w:val="0"/>
                <w:color w:val="000000"/>
                <w:sz w:val="22"/>
                <w:szCs w:val="22"/>
              </w:rPr>
            </w:pPr>
            <w:r w:rsidRPr="006B78E6">
              <w:rPr>
                <w:snapToGrid w:val="0"/>
                <w:color w:val="000000"/>
                <w:sz w:val="22"/>
                <w:szCs w:val="22"/>
              </w:rPr>
              <w:t>Queensland</w:t>
            </w:r>
          </w:p>
        </w:tc>
        <w:tc>
          <w:tcPr>
            <w:tcW w:w="3428" w:type="dxa"/>
            <w:hideMark/>
          </w:tcPr>
          <w:p w14:paraId="26437527" w14:textId="58F7D4F8" w:rsidR="004F3153" w:rsidRPr="006B78E6" w:rsidRDefault="004F3153" w:rsidP="00A70546">
            <w:pPr>
              <w:jc w:val="center"/>
              <w:cnfStyle w:val="000000000000" w:firstRow="0" w:lastRow="0" w:firstColumn="0" w:lastColumn="0" w:oddVBand="0" w:evenVBand="0" w:oddHBand="0" w:evenHBand="0" w:firstRowFirstColumn="0" w:firstRowLastColumn="0" w:lastRowFirstColumn="0" w:lastRowLastColumn="0"/>
              <w:rPr>
                <w:sz w:val="22"/>
                <w:szCs w:val="22"/>
              </w:rPr>
            </w:pPr>
            <w:r w:rsidRPr="006B78E6">
              <w:rPr>
                <w:color w:val="000000"/>
                <w:sz w:val="22"/>
                <w:szCs w:val="22"/>
                <w:lang w:val="en-US"/>
              </w:rPr>
              <w:t>10.</w:t>
            </w:r>
            <w:r w:rsidR="00CC41A6" w:rsidRPr="006B78E6">
              <w:rPr>
                <w:color w:val="000000"/>
                <w:sz w:val="22"/>
                <w:szCs w:val="22"/>
                <w:lang w:val="en-US"/>
              </w:rPr>
              <w:t>22</w:t>
            </w:r>
            <w:r w:rsidRPr="006B78E6">
              <w:rPr>
                <w:color w:val="000000"/>
                <w:sz w:val="22"/>
                <w:szCs w:val="22"/>
                <w:lang w:val="en-US"/>
              </w:rPr>
              <w:t>%</w:t>
            </w:r>
          </w:p>
        </w:tc>
        <w:tc>
          <w:tcPr>
            <w:tcW w:w="3827" w:type="dxa"/>
            <w:hideMark/>
          </w:tcPr>
          <w:p w14:paraId="04F22B71" w14:textId="36B205E9" w:rsidR="004F3153" w:rsidRPr="006B78E6" w:rsidRDefault="004F3153" w:rsidP="00A70546">
            <w:pPr>
              <w:jc w:val="center"/>
              <w:cnfStyle w:val="000000000000" w:firstRow="0" w:lastRow="0" w:firstColumn="0" w:lastColumn="0" w:oddVBand="0" w:evenVBand="0" w:oddHBand="0" w:evenHBand="0" w:firstRowFirstColumn="0" w:firstRowLastColumn="0" w:lastRowFirstColumn="0" w:lastRowLastColumn="0"/>
              <w:rPr>
                <w:sz w:val="22"/>
                <w:szCs w:val="22"/>
              </w:rPr>
            </w:pPr>
            <w:r w:rsidRPr="006B78E6">
              <w:rPr>
                <w:sz w:val="22"/>
                <w:szCs w:val="22"/>
              </w:rPr>
              <w:t>$6,</w:t>
            </w:r>
            <w:r w:rsidR="00CC41A6" w:rsidRPr="006B78E6">
              <w:rPr>
                <w:sz w:val="22"/>
                <w:szCs w:val="22"/>
              </w:rPr>
              <w:t>591,000</w:t>
            </w:r>
          </w:p>
        </w:tc>
      </w:tr>
      <w:tr w:rsidR="004F3153" w:rsidRPr="001B7D5F" w14:paraId="11E99545" w14:textId="77777777" w:rsidTr="004C0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hideMark/>
          </w:tcPr>
          <w:p w14:paraId="1E5D4C7D" w14:textId="77777777" w:rsidR="004F3153" w:rsidRPr="006B78E6" w:rsidRDefault="004F3153" w:rsidP="00A70546">
            <w:pPr>
              <w:rPr>
                <w:snapToGrid w:val="0"/>
                <w:color w:val="000000"/>
                <w:sz w:val="22"/>
                <w:szCs w:val="22"/>
              </w:rPr>
            </w:pPr>
            <w:r w:rsidRPr="006B78E6">
              <w:rPr>
                <w:snapToGrid w:val="0"/>
                <w:color w:val="000000"/>
                <w:sz w:val="22"/>
                <w:szCs w:val="22"/>
              </w:rPr>
              <w:t>Western Australia</w:t>
            </w:r>
          </w:p>
        </w:tc>
        <w:tc>
          <w:tcPr>
            <w:tcW w:w="3428" w:type="dxa"/>
            <w:hideMark/>
          </w:tcPr>
          <w:p w14:paraId="6C0E4074" w14:textId="669990FC" w:rsidR="004F3153" w:rsidRPr="006B78E6" w:rsidRDefault="004F3153" w:rsidP="00A70546">
            <w:pPr>
              <w:jc w:val="center"/>
              <w:cnfStyle w:val="000000100000" w:firstRow="0" w:lastRow="0" w:firstColumn="0" w:lastColumn="0" w:oddVBand="0" w:evenVBand="0" w:oddHBand="1" w:evenHBand="0" w:firstRowFirstColumn="0" w:firstRowLastColumn="0" w:lastRowFirstColumn="0" w:lastRowLastColumn="0"/>
              <w:rPr>
                <w:sz w:val="22"/>
                <w:szCs w:val="22"/>
              </w:rPr>
            </w:pPr>
            <w:r w:rsidRPr="006B78E6">
              <w:rPr>
                <w:color w:val="000000"/>
                <w:sz w:val="22"/>
                <w:szCs w:val="22"/>
                <w:lang w:val="en-US"/>
              </w:rPr>
              <w:t>5.</w:t>
            </w:r>
            <w:r w:rsidR="00CC41A6" w:rsidRPr="006B78E6">
              <w:rPr>
                <w:color w:val="000000"/>
                <w:sz w:val="22"/>
                <w:szCs w:val="22"/>
                <w:lang w:val="en-US"/>
              </w:rPr>
              <w:t>36</w:t>
            </w:r>
            <w:r w:rsidRPr="006B78E6">
              <w:rPr>
                <w:color w:val="000000"/>
                <w:sz w:val="22"/>
                <w:szCs w:val="22"/>
                <w:lang w:val="en-US"/>
              </w:rPr>
              <w:t>%</w:t>
            </w:r>
          </w:p>
        </w:tc>
        <w:tc>
          <w:tcPr>
            <w:tcW w:w="3827" w:type="dxa"/>
            <w:hideMark/>
          </w:tcPr>
          <w:p w14:paraId="79CB9394" w14:textId="62CAA5CB" w:rsidR="004F3153" w:rsidRPr="006B78E6" w:rsidRDefault="004F3153" w:rsidP="00A70546">
            <w:pPr>
              <w:jc w:val="center"/>
              <w:cnfStyle w:val="000000100000" w:firstRow="0" w:lastRow="0" w:firstColumn="0" w:lastColumn="0" w:oddVBand="0" w:evenVBand="0" w:oddHBand="1" w:evenHBand="0" w:firstRowFirstColumn="0" w:firstRowLastColumn="0" w:lastRowFirstColumn="0" w:lastRowLastColumn="0"/>
              <w:rPr>
                <w:sz w:val="22"/>
                <w:szCs w:val="22"/>
              </w:rPr>
            </w:pPr>
            <w:r w:rsidRPr="006B78E6">
              <w:rPr>
                <w:sz w:val="22"/>
                <w:szCs w:val="22"/>
              </w:rPr>
              <w:t>$3,</w:t>
            </w:r>
            <w:r w:rsidR="00CC41A6" w:rsidRPr="006B78E6">
              <w:rPr>
                <w:sz w:val="22"/>
                <w:szCs w:val="22"/>
              </w:rPr>
              <w:t>457</w:t>
            </w:r>
            <w:r w:rsidRPr="006B78E6">
              <w:rPr>
                <w:sz w:val="22"/>
                <w:szCs w:val="22"/>
              </w:rPr>
              <w:t>,</w:t>
            </w:r>
            <w:r w:rsidR="00CC41A6" w:rsidRPr="006B78E6">
              <w:rPr>
                <w:sz w:val="22"/>
                <w:szCs w:val="22"/>
              </w:rPr>
              <w:t>200</w:t>
            </w:r>
          </w:p>
        </w:tc>
      </w:tr>
      <w:tr w:rsidR="004F3153" w:rsidRPr="001B7D5F" w14:paraId="6E3D57FC" w14:textId="77777777" w:rsidTr="004C07F9">
        <w:tc>
          <w:tcPr>
            <w:cnfStyle w:val="001000000000" w:firstRow="0" w:lastRow="0" w:firstColumn="1" w:lastColumn="0" w:oddVBand="0" w:evenVBand="0" w:oddHBand="0" w:evenHBand="0" w:firstRowFirstColumn="0" w:firstRowLastColumn="0" w:lastRowFirstColumn="0" w:lastRowLastColumn="0"/>
            <w:tcW w:w="2516" w:type="dxa"/>
            <w:hideMark/>
          </w:tcPr>
          <w:p w14:paraId="49103F53" w14:textId="77777777" w:rsidR="004F3153" w:rsidRPr="006B78E6" w:rsidRDefault="004F3153" w:rsidP="00A70546">
            <w:pPr>
              <w:rPr>
                <w:snapToGrid w:val="0"/>
                <w:color w:val="000000"/>
                <w:sz w:val="22"/>
                <w:szCs w:val="22"/>
              </w:rPr>
            </w:pPr>
            <w:r w:rsidRPr="006B78E6">
              <w:rPr>
                <w:snapToGrid w:val="0"/>
                <w:color w:val="000000"/>
                <w:sz w:val="22"/>
                <w:szCs w:val="22"/>
              </w:rPr>
              <w:t>South Australia</w:t>
            </w:r>
          </w:p>
        </w:tc>
        <w:tc>
          <w:tcPr>
            <w:tcW w:w="3428" w:type="dxa"/>
            <w:hideMark/>
          </w:tcPr>
          <w:p w14:paraId="33C662D9" w14:textId="13473ADC" w:rsidR="004F3153" w:rsidRPr="006B78E6" w:rsidRDefault="004F3153" w:rsidP="00A70546">
            <w:pPr>
              <w:jc w:val="center"/>
              <w:cnfStyle w:val="000000000000" w:firstRow="0" w:lastRow="0" w:firstColumn="0" w:lastColumn="0" w:oddVBand="0" w:evenVBand="0" w:oddHBand="0" w:evenHBand="0" w:firstRowFirstColumn="0" w:firstRowLastColumn="0" w:lastRowFirstColumn="0" w:lastRowLastColumn="0"/>
              <w:rPr>
                <w:sz w:val="22"/>
                <w:szCs w:val="22"/>
              </w:rPr>
            </w:pPr>
            <w:r w:rsidRPr="006B78E6">
              <w:rPr>
                <w:color w:val="000000"/>
                <w:sz w:val="22"/>
                <w:szCs w:val="22"/>
                <w:lang w:val="en-US"/>
              </w:rPr>
              <w:t>3.</w:t>
            </w:r>
            <w:r w:rsidR="00CC41A6" w:rsidRPr="006B78E6">
              <w:rPr>
                <w:color w:val="000000"/>
                <w:sz w:val="22"/>
                <w:szCs w:val="22"/>
                <w:lang w:val="en-US"/>
              </w:rPr>
              <w:t>51</w:t>
            </w:r>
            <w:r w:rsidRPr="006B78E6">
              <w:rPr>
                <w:color w:val="000000"/>
                <w:sz w:val="22"/>
                <w:szCs w:val="22"/>
                <w:lang w:val="en-US"/>
              </w:rPr>
              <w:t>%</w:t>
            </w:r>
          </w:p>
        </w:tc>
        <w:tc>
          <w:tcPr>
            <w:tcW w:w="3827" w:type="dxa"/>
            <w:hideMark/>
          </w:tcPr>
          <w:p w14:paraId="5CCAE197" w14:textId="41A2BA6A" w:rsidR="004F3153" w:rsidRPr="006B78E6" w:rsidRDefault="004F3153" w:rsidP="00A70546">
            <w:pPr>
              <w:jc w:val="center"/>
              <w:cnfStyle w:val="000000000000" w:firstRow="0" w:lastRow="0" w:firstColumn="0" w:lastColumn="0" w:oddVBand="0" w:evenVBand="0" w:oddHBand="0" w:evenHBand="0" w:firstRowFirstColumn="0" w:firstRowLastColumn="0" w:lastRowFirstColumn="0" w:lastRowLastColumn="0"/>
              <w:rPr>
                <w:sz w:val="22"/>
                <w:szCs w:val="22"/>
              </w:rPr>
            </w:pPr>
            <w:r w:rsidRPr="006B78E6">
              <w:rPr>
                <w:sz w:val="22"/>
                <w:szCs w:val="22"/>
              </w:rPr>
              <w:t>$2,</w:t>
            </w:r>
            <w:r w:rsidR="00CC41A6" w:rsidRPr="006B78E6">
              <w:rPr>
                <w:sz w:val="22"/>
                <w:szCs w:val="22"/>
              </w:rPr>
              <w:t>263</w:t>
            </w:r>
            <w:r w:rsidRPr="006B78E6">
              <w:rPr>
                <w:sz w:val="22"/>
                <w:szCs w:val="22"/>
              </w:rPr>
              <w:t>,</w:t>
            </w:r>
            <w:r w:rsidR="00CC41A6" w:rsidRPr="006B78E6">
              <w:rPr>
                <w:sz w:val="22"/>
                <w:szCs w:val="22"/>
              </w:rPr>
              <w:t>950</w:t>
            </w:r>
          </w:p>
        </w:tc>
      </w:tr>
      <w:tr w:rsidR="004F3153" w:rsidRPr="001B7D5F" w14:paraId="33187292" w14:textId="77777777" w:rsidTr="004C0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hideMark/>
          </w:tcPr>
          <w:p w14:paraId="42656199" w14:textId="77777777" w:rsidR="004F3153" w:rsidRPr="006B78E6" w:rsidRDefault="004F3153" w:rsidP="00A70546">
            <w:pPr>
              <w:rPr>
                <w:snapToGrid w:val="0"/>
                <w:color w:val="000000"/>
                <w:sz w:val="22"/>
                <w:szCs w:val="22"/>
              </w:rPr>
            </w:pPr>
            <w:r w:rsidRPr="006B78E6">
              <w:rPr>
                <w:snapToGrid w:val="0"/>
                <w:color w:val="000000"/>
                <w:sz w:val="22"/>
                <w:szCs w:val="22"/>
              </w:rPr>
              <w:t>Tasmania</w:t>
            </w:r>
          </w:p>
        </w:tc>
        <w:tc>
          <w:tcPr>
            <w:tcW w:w="3428" w:type="dxa"/>
            <w:hideMark/>
          </w:tcPr>
          <w:p w14:paraId="580866F2" w14:textId="1AD65817" w:rsidR="004F3153" w:rsidRPr="006B78E6" w:rsidRDefault="004F3153" w:rsidP="00A70546">
            <w:pPr>
              <w:jc w:val="center"/>
              <w:cnfStyle w:val="000000100000" w:firstRow="0" w:lastRow="0" w:firstColumn="0" w:lastColumn="0" w:oddVBand="0" w:evenVBand="0" w:oddHBand="1" w:evenHBand="0" w:firstRowFirstColumn="0" w:firstRowLastColumn="0" w:lastRowFirstColumn="0" w:lastRowLastColumn="0"/>
              <w:rPr>
                <w:sz w:val="22"/>
                <w:szCs w:val="22"/>
              </w:rPr>
            </w:pPr>
            <w:r w:rsidRPr="006B78E6">
              <w:rPr>
                <w:color w:val="000000"/>
                <w:sz w:val="22"/>
                <w:szCs w:val="22"/>
                <w:lang w:val="en-US"/>
              </w:rPr>
              <w:t>1.</w:t>
            </w:r>
            <w:r w:rsidR="00CC41A6" w:rsidRPr="006B78E6">
              <w:rPr>
                <w:color w:val="000000"/>
                <w:sz w:val="22"/>
                <w:szCs w:val="22"/>
                <w:lang w:val="en-US"/>
              </w:rPr>
              <w:t>11</w:t>
            </w:r>
            <w:r w:rsidRPr="006B78E6">
              <w:rPr>
                <w:color w:val="000000"/>
                <w:sz w:val="22"/>
                <w:szCs w:val="22"/>
                <w:lang w:val="en-US"/>
              </w:rPr>
              <w:t>%</w:t>
            </w:r>
          </w:p>
        </w:tc>
        <w:tc>
          <w:tcPr>
            <w:tcW w:w="3827" w:type="dxa"/>
            <w:hideMark/>
          </w:tcPr>
          <w:p w14:paraId="556231AC" w14:textId="51188B8A" w:rsidR="004F3153" w:rsidRPr="006B78E6" w:rsidRDefault="004F3153" w:rsidP="00A70546">
            <w:pPr>
              <w:jc w:val="center"/>
              <w:cnfStyle w:val="000000100000" w:firstRow="0" w:lastRow="0" w:firstColumn="0" w:lastColumn="0" w:oddVBand="0" w:evenVBand="0" w:oddHBand="1" w:evenHBand="0" w:firstRowFirstColumn="0" w:firstRowLastColumn="0" w:lastRowFirstColumn="0" w:lastRowLastColumn="0"/>
              <w:rPr>
                <w:sz w:val="22"/>
                <w:szCs w:val="22"/>
              </w:rPr>
            </w:pPr>
            <w:r w:rsidRPr="006B78E6">
              <w:rPr>
                <w:sz w:val="22"/>
                <w:szCs w:val="22"/>
              </w:rPr>
              <w:t>$</w:t>
            </w:r>
            <w:r w:rsidR="00CC41A6" w:rsidRPr="006B78E6">
              <w:rPr>
                <w:sz w:val="22"/>
                <w:szCs w:val="22"/>
              </w:rPr>
              <w:t>715</w:t>
            </w:r>
            <w:r w:rsidRPr="006B78E6">
              <w:rPr>
                <w:sz w:val="22"/>
                <w:szCs w:val="22"/>
              </w:rPr>
              <w:t>,</w:t>
            </w:r>
            <w:r w:rsidR="00CC41A6" w:rsidRPr="006B78E6">
              <w:rPr>
                <w:sz w:val="22"/>
                <w:szCs w:val="22"/>
              </w:rPr>
              <w:t>950</w:t>
            </w:r>
          </w:p>
        </w:tc>
      </w:tr>
      <w:tr w:rsidR="004F3153" w:rsidRPr="001B7D5F" w14:paraId="19D4B02A" w14:textId="77777777" w:rsidTr="004C07F9">
        <w:tc>
          <w:tcPr>
            <w:cnfStyle w:val="001000000000" w:firstRow="0" w:lastRow="0" w:firstColumn="1" w:lastColumn="0" w:oddVBand="0" w:evenVBand="0" w:oddHBand="0" w:evenHBand="0" w:firstRowFirstColumn="0" w:firstRowLastColumn="0" w:lastRowFirstColumn="0" w:lastRowLastColumn="0"/>
            <w:tcW w:w="2516" w:type="dxa"/>
            <w:hideMark/>
          </w:tcPr>
          <w:p w14:paraId="4BF011C5" w14:textId="77777777" w:rsidR="004F3153" w:rsidRPr="006B78E6" w:rsidRDefault="004F3153" w:rsidP="00A70546">
            <w:pPr>
              <w:rPr>
                <w:snapToGrid w:val="0"/>
                <w:color w:val="000000"/>
                <w:sz w:val="22"/>
                <w:szCs w:val="22"/>
              </w:rPr>
            </w:pPr>
            <w:r w:rsidRPr="006B78E6">
              <w:rPr>
                <w:snapToGrid w:val="0"/>
                <w:color w:val="000000"/>
                <w:sz w:val="22"/>
                <w:szCs w:val="22"/>
              </w:rPr>
              <w:t>Australian Capital Territory</w:t>
            </w:r>
          </w:p>
        </w:tc>
        <w:tc>
          <w:tcPr>
            <w:tcW w:w="3428" w:type="dxa"/>
            <w:hideMark/>
          </w:tcPr>
          <w:p w14:paraId="171CD84B" w14:textId="35AE05B3" w:rsidR="004F3153" w:rsidRPr="006B78E6" w:rsidRDefault="004F3153" w:rsidP="00A70546">
            <w:pPr>
              <w:jc w:val="center"/>
              <w:cnfStyle w:val="000000000000" w:firstRow="0" w:lastRow="0" w:firstColumn="0" w:lastColumn="0" w:oddVBand="0" w:evenVBand="0" w:oddHBand="0" w:evenHBand="0" w:firstRowFirstColumn="0" w:firstRowLastColumn="0" w:lastRowFirstColumn="0" w:lastRowLastColumn="0"/>
              <w:rPr>
                <w:sz w:val="22"/>
                <w:szCs w:val="22"/>
              </w:rPr>
            </w:pPr>
            <w:r w:rsidRPr="006B78E6">
              <w:rPr>
                <w:color w:val="000000"/>
                <w:sz w:val="22"/>
                <w:szCs w:val="22"/>
                <w:lang w:val="en-US"/>
              </w:rPr>
              <w:t>0.</w:t>
            </w:r>
            <w:r w:rsidR="00CC41A6" w:rsidRPr="006B78E6">
              <w:rPr>
                <w:color w:val="000000"/>
                <w:sz w:val="22"/>
                <w:szCs w:val="22"/>
                <w:lang w:val="en-US"/>
              </w:rPr>
              <w:t>88</w:t>
            </w:r>
            <w:r w:rsidRPr="006B78E6">
              <w:rPr>
                <w:color w:val="000000"/>
                <w:sz w:val="22"/>
                <w:szCs w:val="22"/>
                <w:lang w:val="en-US"/>
              </w:rPr>
              <w:t>%</w:t>
            </w:r>
          </w:p>
        </w:tc>
        <w:tc>
          <w:tcPr>
            <w:tcW w:w="3827" w:type="dxa"/>
            <w:hideMark/>
          </w:tcPr>
          <w:p w14:paraId="48A26A4C" w14:textId="34B7D33D" w:rsidR="004F3153" w:rsidRPr="006B78E6" w:rsidRDefault="004F3153" w:rsidP="00A70546">
            <w:pPr>
              <w:jc w:val="center"/>
              <w:cnfStyle w:val="000000000000" w:firstRow="0" w:lastRow="0" w:firstColumn="0" w:lastColumn="0" w:oddVBand="0" w:evenVBand="0" w:oddHBand="0" w:evenHBand="0" w:firstRowFirstColumn="0" w:firstRowLastColumn="0" w:lastRowFirstColumn="0" w:lastRowLastColumn="0"/>
              <w:rPr>
                <w:sz w:val="22"/>
                <w:szCs w:val="22"/>
              </w:rPr>
            </w:pPr>
            <w:r w:rsidRPr="006B78E6">
              <w:rPr>
                <w:sz w:val="22"/>
                <w:szCs w:val="22"/>
              </w:rPr>
              <w:t>$</w:t>
            </w:r>
            <w:r w:rsidR="00CC41A6" w:rsidRPr="006B78E6">
              <w:rPr>
                <w:sz w:val="22"/>
                <w:szCs w:val="22"/>
              </w:rPr>
              <w:t>567</w:t>
            </w:r>
            <w:r w:rsidRPr="006B78E6">
              <w:rPr>
                <w:sz w:val="22"/>
                <w:szCs w:val="22"/>
              </w:rPr>
              <w:t>,</w:t>
            </w:r>
            <w:r w:rsidR="00CC41A6" w:rsidRPr="006B78E6">
              <w:rPr>
                <w:sz w:val="22"/>
                <w:szCs w:val="22"/>
              </w:rPr>
              <w:t>600</w:t>
            </w:r>
          </w:p>
        </w:tc>
      </w:tr>
      <w:tr w:rsidR="004F3153" w:rsidRPr="001B7D5F" w14:paraId="135D0B1F" w14:textId="77777777" w:rsidTr="004C0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hideMark/>
          </w:tcPr>
          <w:p w14:paraId="0F770AD6" w14:textId="77777777" w:rsidR="004F3153" w:rsidRPr="006B78E6" w:rsidRDefault="004F3153" w:rsidP="00A70546">
            <w:pPr>
              <w:rPr>
                <w:snapToGrid w:val="0"/>
                <w:color w:val="000000"/>
                <w:sz w:val="22"/>
                <w:szCs w:val="22"/>
              </w:rPr>
            </w:pPr>
            <w:r w:rsidRPr="006B78E6">
              <w:rPr>
                <w:snapToGrid w:val="0"/>
                <w:color w:val="000000"/>
                <w:sz w:val="22"/>
                <w:szCs w:val="22"/>
              </w:rPr>
              <w:t>Northern Territory</w:t>
            </w:r>
          </w:p>
        </w:tc>
        <w:tc>
          <w:tcPr>
            <w:tcW w:w="3428" w:type="dxa"/>
            <w:hideMark/>
          </w:tcPr>
          <w:p w14:paraId="77C0414E" w14:textId="0B2F9305" w:rsidR="004F3153" w:rsidRPr="006B78E6" w:rsidRDefault="004F3153" w:rsidP="00A70546">
            <w:pPr>
              <w:jc w:val="center"/>
              <w:cnfStyle w:val="000000100000" w:firstRow="0" w:lastRow="0" w:firstColumn="0" w:lastColumn="0" w:oddVBand="0" w:evenVBand="0" w:oddHBand="1" w:evenHBand="0" w:firstRowFirstColumn="0" w:firstRowLastColumn="0" w:lastRowFirstColumn="0" w:lastRowLastColumn="0"/>
              <w:rPr>
                <w:sz w:val="22"/>
                <w:szCs w:val="22"/>
              </w:rPr>
            </w:pPr>
            <w:r w:rsidRPr="006B78E6">
              <w:rPr>
                <w:color w:val="000000"/>
                <w:sz w:val="22"/>
                <w:szCs w:val="22"/>
                <w:lang w:val="en-US"/>
              </w:rPr>
              <w:t>0.</w:t>
            </w:r>
            <w:r w:rsidR="00CC41A6" w:rsidRPr="006B78E6">
              <w:rPr>
                <w:color w:val="000000"/>
                <w:sz w:val="22"/>
                <w:szCs w:val="22"/>
                <w:lang w:val="en-US"/>
              </w:rPr>
              <w:t>48</w:t>
            </w:r>
            <w:r w:rsidRPr="006B78E6">
              <w:rPr>
                <w:color w:val="000000"/>
                <w:sz w:val="22"/>
                <w:szCs w:val="22"/>
                <w:lang w:val="en-US"/>
              </w:rPr>
              <w:t>%</w:t>
            </w:r>
          </w:p>
        </w:tc>
        <w:tc>
          <w:tcPr>
            <w:tcW w:w="3827" w:type="dxa"/>
            <w:hideMark/>
          </w:tcPr>
          <w:p w14:paraId="2596558F" w14:textId="040AD41E" w:rsidR="004F3153" w:rsidRPr="006B78E6" w:rsidRDefault="004F3153" w:rsidP="00A70546">
            <w:pPr>
              <w:jc w:val="center"/>
              <w:cnfStyle w:val="000000100000" w:firstRow="0" w:lastRow="0" w:firstColumn="0" w:lastColumn="0" w:oddVBand="0" w:evenVBand="0" w:oddHBand="1" w:evenHBand="0" w:firstRowFirstColumn="0" w:firstRowLastColumn="0" w:lastRowFirstColumn="0" w:lastRowLastColumn="0"/>
              <w:rPr>
                <w:sz w:val="22"/>
                <w:szCs w:val="22"/>
              </w:rPr>
            </w:pPr>
            <w:r w:rsidRPr="006B78E6">
              <w:rPr>
                <w:sz w:val="22"/>
                <w:szCs w:val="22"/>
              </w:rPr>
              <w:t>$</w:t>
            </w:r>
            <w:r w:rsidR="00CC41A6" w:rsidRPr="006B78E6">
              <w:rPr>
                <w:sz w:val="22"/>
                <w:szCs w:val="22"/>
              </w:rPr>
              <w:t>309</w:t>
            </w:r>
            <w:r w:rsidRPr="006B78E6">
              <w:rPr>
                <w:sz w:val="22"/>
                <w:szCs w:val="22"/>
              </w:rPr>
              <w:t>,</w:t>
            </w:r>
            <w:r w:rsidR="00CC41A6" w:rsidRPr="006B78E6">
              <w:rPr>
                <w:sz w:val="22"/>
                <w:szCs w:val="22"/>
              </w:rPr>
              <w:t>600</w:t>
            </w:r>
          </w:p>
        </w:tc>
      </w:tr>
    </w:tbl>
    <w:p w14:paraId="636D855F" w14:textId="45EA7C82" w:rsidR="004F716F" w:rsidRPr="001B7D5F" w:rsidRDefault="004F716F" w:rsidP="00A70546">
      <w:pPr>
        <w:pStyle w:val="BodyText"/>
      </w:pPr>
    </w:p>
    <w:p w14:paraId="4FB75860" w14:textId="21A9CF9A" w:rsidR="006F084B" w:rsidRPr="001B7D5F" w:rsidRDefault="006F084B" w:rsidP="00A70546">
      <w:pPr>
        <w:pStyle w:val="BodyText"/>
        <w:numPr>
          <w:ilvl w:val="0"/>
          <w:numId w:val="27"/>
        </w:numPr>
        <w:rPr>
          <w:szCs w:val="22"/>
        </w:rPr>
      </w:pPr>
      <w:r w:rsidRPr="001B7D5F">
        <w:t>Funding</w:t>
      </w:r>
      <w:r w:rsidRPr="001B7D5F">
        <w:rPr>
          <w:szCs w:val="22"/>
        </w:rPr>
        <w:t xml:space="preserve"> for the Australian Digital Health Agency’s corporate and service costs and the operation of the My Health Record by the Australian Digital Health Agency will be met by the Commonwealth.</w:t>
      </w:r>
    </w:p>
    <w:p w14:paraId="24A0511A" w14:textId="752571BB" w:rsidR="00501ABF" w:rsidRPr="001B7D5F" w:rsidRDefault="001B294D" w:rsidP="00A70546">
      <w:pPr>
        <w:pStyle w:val="Heading3"/>
      </w:pPr>
      <w:bookmarkStart w:id="157" w:name="_Toc2041272150"/>
      <w:bookmarkStart w:id="158" w:name="_Toc2130296664"/>
      <w:r>
        <w:t>A</w:t>
      </w:r>
      <w:r w:rsidR="10747C02" w:rsidRPr="001B7D5F">
        <w:t>greed Services and Strategic Pr</w:t>
      </w:r>
      <w:r w:rsidR="00F66AD2" w:rsidRPr="001B7D5F">
        <w:t>iorities</w:t>
      </w:r>
      <w:r w:rsidR="10747C02" w:rsidRPr="001B7D5F">
        <w:t xml:space="preserve"> to be funded</w:t>
      </w:r>
      <w:bookmarkEnd w:id="157"/>
      <w:bookmarkEnd w:id="158"/>
    </w:p>
    <w:p w14:paraId="33612D5A" w14:textId="23CB6A85" w:rsidR="00736482" w:rsidRPr="001B7D5F" w:rsidRDefault="00501ABF" w:rsidP="00A70546">
      <w:pPr>
        <w:pStyle w:val="BodyText"/>
        <w:numPr>
          <w:ilvl w:val="0"/>
          <w:numId w:val="27"/>
        </w:numPr>
        <w:rPr>
          <w:szCs w:val="22"/>
        </w:rPr>
      </w:pPr>
      <w:r w:rsidRPr="001B7D5F">
        <w:rPr>
          <w:szCs w:val="22"/>
        </w:rPr>
        <w:t>The below list represents the services a</w:t>
      </w:r>
      <w:r w:rsidR="003D04A9" w:rsidRPr="001B7D5F">
        <w:rPr>
          <w:szCs w:val="22"/>
        </w:rPr>
        <w:t>nd</w:t>
      </w:r>
      <w:r w:rsidRPr="001B7D5F">
        <w:rPr>
          <w:szCs w:val="22"/>
        </w:rPr>
        <w:t xml:space="preserve"> projects agreed to b</w:t>
      </w:r>
      <w:r w:rsidR="003D04A9" w:rsidRPr="001B7D5F">
        <w:rPr>
          <w:szCs w:val="22"/>
        </w:rPr>
        <w:t>e</w:t>
      </w:r>
      <w:r w:rsidRPr="001B7D5F">
        <w:rPr>
          <w:szCs w:val="22"/>
        </w:rPr>
        <w:t xml:space="preserve"> funded under this Agreement at its commencement. </w:t>
      </w:r>
      <w:r w:rsidR="00736482" w:rsidRPr="001B7D5F">
        <w:rPr>
          <w:szCs w:val="22"/>
        </w:rPr>
        <w:t>As project-specific funding is currently under development</w:t>
      </w:r>
      <w:r w:rsidR="00B664FF" w:rsidRPr="001B7D5F">
        <w:rPr>
          <w:szCs w:val="22"/>
        </w:rPr>
        <w:t xml:space="preserve"> through the finalisation of a new National Digital Health Strategy</w:t>
      </w:r>
      <w:r w:rsidR="00736482" w:rsidRPr="001B7D5F">
        <w:rPr>
          <w:szCs w:val="22"/>
        </w:rPr>
        <w:t xml:space="preserve">, only category-based allocations </w:t>
      </w:r>
      <w:r w:rsidR="007B3E44" w:rsidRPr="001B7D5F">
        <w:rPr>
          <w:szCs w:val="22"/>
        </w:rPr>
        <w:t>have</w:t>
      </w:r>
      <w:r w:rsidR="00736482" w:rsidRPr="001B7D5F">
        <w:rPr>
          <w:szCs w:val="22"/>
        </w:rPr>
        <w:t xml:space="preserve"> been indicated.</w:t>
      </w:r>
    </w:p>
    <w:p w14:paraId="0FB2F406" w14:textId="26E8D221" w:rsidR="00514016" w:rsidRPr="001B7D5F" w:rsidRDefault="00501ABF" w:rsidP="00A70546">
      <w:pPr>
        <w:pStyle w:val="BodyText"/>
        <w:ind w:left="360"/>
        <w:rPr>
          <w:szCs w:val="22"/>
        </w:rPr>
      </w:pPr>
      <w:r w:rsidRPr="001B7D5F">
        <w:rPr>
          <w:szCs w:val="22"/>
        </w:rPr>
        <w:t>This list may be updated as per the terms of this Agreement and will reflect the cessation of some Strategic Pr</w:t>
      </w:r>
      <w:r w:rsidR="00F66AD2" w:rsidRPr="001B7D5F">
        <w:rPr>
          <w:szCs w:val="22"/>
        </w:rPr>
        <w:t>iorities</w:t>
      </w:r>
      <w:r w:rsidRPr="001B7D5F">
        <w:rPr>
          <w:szCs w:val="22"/>
        </w:rPr>
        <w:t>, and commencement of new projects.</w:t>
      </w:r>
    </w:p>
    <w:p w14:paraId="5A52E5B2" w14:textId="469DAC7C" w:rsidR="00736482" w:rsidRPr="001B7D5F" w:rsidRDefault="00736482" w:rsidP="00A70546">
      <w:pPr>
        <w:pStyle w:val="BodyText"/>
        <w:rPr>
          <w:rFonts w:cstheme="minorHAnsi"/>
          <w:i/>
          <w:iCs/>
          <w:color w:val="000000"/>
          <w:shd w:val="clear" w:color="auto" w:fill="FFFFFF"/>
        </w:rPr>
      </w:pPr>
      <w:r w:rsidRPr="001B7D5F">
        <w:rPr>
          <w:rFonts w:cstheme="minorHAnsi"/>
          <w:i/>
          <w:iCs/>
          <w:color w:val="000000"/>
          <w:shd w:val="clear" w:color="auto" w:fill="FFFFFF"/>
        </w:rPr>
        <w:t>National Services – approx. 1</w:t>
      </w:r>
      <w:r w:rsidR="00394E9A" w:rsidRPr="001B7D5F">
        <w:rPr>
          <w:rFonts w:cstheme="minorHAnsi"/>
          <w:i/>
          <w:iCs/>
          <w:color w:val="000000"/>
          <w:shd w:val="clear" w:color="auto" w:fill="FFFFFF"/>
        </w:rPr>
        <w:t>6</w:t>
      </w:r>
      <w:r w:rsidRPr="001B7D5F">
        <w:rPr>
          <w:rFonts w:cstheme="minorHAnsi"/>
          <w:i/>
          <w:iCs/>
          <w:color w:val="000000"/>
          <w:shd w:val="clear" w:color="auto" w:fill="FFFFFF"/>
        </w:rPr>
        <w:t>%</w:t>
      </w:r>
    </w:p>
    <w:p w14:paraId="3942C67D" w14:textId="77777777" w:rsidR="00736482" w:rsidRPr="001B7D5F" w:rsidRDefault="00736482" w:rsidP="00A70546">
      <w:pPr>
        <w:pStyle w:val="BodyText"/>
        <w:numPr>
          <w:ilvl w:val="0"/>
          <w:numId w:val="25"/>
        </w:numPr>
        <w:rPr>
          <w:rFonts w:cstheme="minorHAnsi"/>
        </w:rPr>
      </w:pPr>
      <w:r w:rsidRPr="001B7D5F">
        <w:rPr>
          <w:rFonts w:cstheme="minorHAnsi"/>
          <w:color w:val="000000"/>
          <w:shd w:val="clear" w:color="auto" w:fill="FFFFFF"/>
        </w:rPr>
        <w:lastRenderedPageBreak/>
        <w:t xml:space="preserve">Healthcare </w:t>
      </w:r>
      <w:r w:rsidRPr="001B7D5F">
        <w:rPr>
          <w:rFonts w:cstheme="minorHAnsi"/>
        </w:rPr>
        <w:t>Information Provider Service (ongoing)</w:t>
      </w:r>
    </w:p>
    <w:p w14:paraId="51C587AB" w14:textId="4BA7184B" w:rsidR="00736482" w:rsidRPr="001B7D5F" w:rsidRDefault="00736482" w:rsidP="00A70546">
      <w:pPr>
        <w:pStyle w:val="BodyText"/>
        <w:numPr>
          <w:ilvl w:val="0"/>
          <w:numId w:val="25"/>
        </w:numPr>
        <w:rPr>
          <w:rFonts w:cstheme="minorHAnsi"/>
        </w:rPr>
      </w:pPr>
      <w:r w:rsidRPr="001B7D5F">
        <w:rPr>
          <w:rFonts w:cstheme="minorHAnsi"/>
        </w:rPr>
        <w:t>National Secure Messaging Network (ongoing)</w:t>
      </w:r>
    </w:p>
    <w:p w14:paraId="158C1BFB" w14:textId="77777777" w:rsidR="00736482" w:rsidRPr="001B7D5F" w:rsidRDefault="00736482" w:rsidP="00A70546">
      <w:pPr>
        <w:pStyle w:val="BodyText"/>
        <w:numPr>
          <w:ilvl w:val="0"/>
          <w:numId w:val="25"/>
        </w:numPr>
        <w:rPr>
          <w:rFonts w:cstheme="minorHAnsi"/>
        </w:rPr>
      </w:pPr>
      <w:r w:rsidRPr="001B7D5F">
        <w:rPr>
          <w:rFonts w:cstheme="minorHAnsi"/>
        </w:rPr>
        <w:t xml:space="preserve">Provider Connect Australia (ongoing) </w:t>
      </w:r>
    </w:p>
    <w:p w14:paraId="21F2984B" w14:textId="4F1861DD" w:rsidR="00736482" w:rsidRPr="001B7D5F" w:rsidRDefault="00736482" w:rsidP="00A70546">
      <w:pPr>
        <w:pStyle w:val="BodyText"/>
        <w:numPr>
          <w:ilvl w:val="0"/>
          <w:numId w:val="25"/>
        </w:numPr>
        <w:rPr>
          <w:rFonts w:cstheme="minorHAnsi"/>
        </w:rPr>
      </w:pPr>
      <w:r w:rsidRPr="001B7D5F">
        <w:rPr>
          <w:rFonts w:cstheme="minorHAnsi"/>
        </w:rPr>
        <w:t>Real Time Prescription Monitoring (ongoing)</w:t>
      </w:r>
      <w:r w:rsidR="002F3437">
        <w:rPr>
          <w:rFonts w:cstheme="minorHAnsi"/>
        </w:rPr>
        <w:t xml:space="preserve"> (subject to transition to the Agency) </w:t>
      </w:r>
      <w:r w:rsidRPr="001B7D5F">
        <w:rPr>
          <w:rFonts w:cstheme="minorHAnsi"/>
        </w:rPr>
        <w:t xml:space="preserve"> </w:t>
      </w:r>
    </w:p>
    <w:p w14:paraId="74023CD5" w14:textId="4EE0CAB0" w:rsidR="00501ABF" w:rsidRPr="001B7D5F" w:rsidRDefault="00501ABF" w:rsidP="00A70546">
      <w:pPr>
        <w:pStyle w:val="BodyText"/>
        <w:rPr>
          <w:rFonts w:cstheme="minorHAnsi"/>
          <w:i/>
          <w:iCs/>
        </w:rPr>
      </w:pPr>
      <w:r w:rsidRPr="001B7D5F">
        <w:rPr>
          <w:rFonts w:cstheme="minorHAnsi"/>
          <w:i/>
          <w:iCs/>
        </w:rPr>
        <w:t>Foundation Services</w:t>
      </w:r>
      <w:r w:rsidR="00736482" w:rsidRPr="001B7D5F">
        <w:rPr>
          <w:rFonts w:cstheme="minorHAnsi"/>
          <w:i/>
          <w:iCs/>
        </w:rPr>
        <w:t xml:space="preserve"> – approx. 5</w:t>
      </w:r>
      <w:r w:rsidR="00394E9A" w:rsidRPr="001B7D5F">
        <w:rPr>
          <w:rFonts w:cstheme="minorHAnsi"/>
          <w:i/>
          <w:iCs/>
        </w:rPr>
        <w:t>1</w:t>
      </w:r>
      <w:r w:rsidR="00736482" w:rsidRPr="001B7D5F">
        <w:rPr>
          <w:rFonts w:cstheme="minorHAnsi"/>
          <w:i/>
          <w:iCs/>
        </w:rPr>
        <w:t xml:space="preserve"> %</w:t>
      </w:r>
    </w:p>
    <w:p w14:paraId="507D9086" w14:textId="095E6E6D" w:rsidR="00501ABF" w:rsidRPr="001B7D5F" w:rsidRDefault="00501ABF" w:rsidP="00A70546">
      <w:pPr>
        <w:pStyle w:val="BodyText"/>
        <w:numPr>
          <w:ilvl w:val="0"/>
          <w:numId w:val="26"/>
        </w:numPr>
        <w:rPr>
          <w:rFonts w:cstheme="minorHAnsi"/>
        </w:rPr>
      </w:pPr>
      <w:r w:rsidRPr="001B7D5F">
        <w:rPr>
          <w:rFonts w:cstheme="minorHAnsi"/>
        </w:rPr>
        <w:t>Healthcare Identifiers Service (ongoing)</w:t>
      </w:r>
    </w:p>
    <w:p w14:paraId="5E8218DC" w14:textId="76F34FE4" w:rsidR="00736482" w:rsidRPr="001B7D5F" w:rsidRDefault="00501ABF" w:rsidP="00A70546">
      <w:pPr>
        <w:pStyle w:val="BodyText"/>
        <w:numPr>
          <w:ilvl w:val="0"/>
          <w:numId w:val="26"/>
        </w:numPr>
        <w:rPr>
          <w:rFonts w:cstheme="minorHAnsi"/>
        </w:rPr>
      </w:pPr>
      <w:r w:rsidRPr="001B7D5F">
        <w:rPr>
          <w:rFonts w:cstheme="minorHAnsi"/>
        </w:rPr>
        <w:t xml:space="preserve">National Authentication Service for Health (ongoing) </w:t>
      </w:r>
    </w:p>
    <w:p w14:paraId="35B1E0F0" w14:textId="38ED1637" w:rsidR="00501ABF" w:rsidRPr="001B7D5F" w:rsidRDefault="00501ABF" w:rsidP="00A70546">
      <w:pPr>
        <w:pStyle w:val="BodyText"/>
        <w:numPr>
          <w:ilvl w:val="0"/>
          <w:numId w:val="26"/>
        </w:numPr>
        <w:rPr>
          <w:rFonts w:cstheme="minorHAnsi"/>
        </w:rPr>
      </w:pPr>
      <w:r w:rsidRPr="001B7D5F">
        <w:rPr>
          <w:rFonts w:cstheme="minorHAnsi"/>
        </w:rPr>
        <w:t>National Clinical Terminology Service (ongoing)</w:t>
      </w:r>
    </w:p>
    <w:p w14:paraId="0821E559" w14:textId="08FFC754" w:rsidR="00736482" w:rsidRPr="001B7D5F" w:rsidRDefault="00736482" w:rsidP="00A70546">
      <w:pPr>
        <w:pStyle w:val="BodyText"/>
        <w:numPr>
          <w:ilvl w:val="0"/>
          <w:numId w:val="26"/>
        </w:numPr>
        <w:rPr>
          <w:rFonts w:cstheme="minorHAnsi"/>
        </w:rPr>
      </w:pPr>
      <w:r w:rsidRPr="001B7D5F">
        <w:rPr>
          <w:rFonts w:cstheme="minorHAnsi"/>
        </w:rPr>
        <w:t>Standards and informatics (ongoing)</w:t>
      </w:r>
    </w:p>
    <w:p w14:paraId="46E3EB98" w14:textId="336BD669" w:rsidR="00514016" w:rsidRPr="001B7D5F" w:rsidRDefault="00736482" w:rsidP="00A70546">
      <w:pPr>
        <w:pStyle w:val="BodyText"/>
        <w:numPr>
          <w:ilvl w:val="0"/>
          <w:numId w:val="26"/>
        </w:numPr>
        <w:rPr>
          <w:rFonts w:cstheme="minorHAnsi"/>
        </w:rPr>
      </w:pPr>
      <w:r w:rsidRPr="001B7D5F">
        <w:rPr>
          <w:rFonts w:cstheme="minorHAnsi"/>
        </w:rPr>
        <w:t>New standards related services (ongoing)</w:t>
      </w:r>
    </w:p>
    <w:p w14:paraId="7440FDB8" w14:textId="10A32D48" w:rsidR="00736482" w:rsidRPr="001B7D5F" w:rsidRDefault="00736482" w:rsidP="00A70546">
      <w:pPr>
        <w:pStyle w:val="BodyText"/>
        <w:numPr>
          <w:ilvl w:val="0"/>
          <w:numId w:val="26"/>
        </w:numPr>
      </w:pPr>
      <w:r w:rsidRPr="001B7D5F">
        <w:t>National Healthcare Interoperability Plan implementation</w:t>
      </w:r>
      <w:r w:rsidR="092F4187" w:rsidRPr="001B7D5F">
        <w:t xml:space="preserve"> (ongoing)</w:t>
      </w:r>
    </w:p>
    <w:p w14:paraId="14197E7F" w14:textId="06BBF658" w:rsidR="00501ABF" w:rsidRPr="001B7D5F" w:rsidRDefault="00501ABF" w:rsidP="00A70546">
      <w:pPr>
        <w:pStyle w:val="BodyText"/>
        <w:rPr>
          <w:rFonts w:cstheme="minorHAnsi"/>
          <w:i/>
          <w:iCs/>
        </w:rPr>
      </w:pPr>
      <w:r w:rsidRPr="001B7D5F">
        <w:rPr>
          <w:rFonts w:cstheme="minorHAnsi"/>
          <w:i/>
          <w:iCs/>
        </w:rPr>
        <w:t xml:space="preserve">Strategic </w:t>
      </w:r>
      <w:r w:rsidR="00C25303" w:rsidRPr="001B7D5F">
        <w:rPr>
          <w:rFonts w:cstheme="minorHAnsi"/>
          <w:i/>
          <w:iCs/>
        </w:rPr>
        <w:t>Priority</w:t>
      </w:r>
      <w:r w:rsidR="0092610C" w:rsidRPr="001B7D5F">
        <w:rPr>
          <w:rFonts w:cstheme="minorHAnsi"/>
          <w:i/>
          <w:iCs/>
        </w:rPr>
        <w:t xml:space="preserve"> Projects</w:t>
      </w:r>
      <w:r w:rsidR="00C25303" w:rsidRPr="001B7D5F">
        <w:rPr>
          <w:rFonts w:cstheme="minorHAnsi"/>
          <w:i/>
          <w:iCs/>
        </w:rPr>
        <w:t xml:space="preserve"> </w:t>
      </w:r>
      <w:r w:rsidR="00736482" w:rsidRPr="001B7D5F">
        <w:rPr>
          <w:rFonts w:cstheme="minorHAnsi"/>
          <w:i/>
          <w:iCs/>
        </w:rPr>
        <w:t xml:space="preserve">– approx. </w:t>
      </w:r>
      <w:r w:rsidR="00222B03">
        <w:rPr>
          <w:rFonts w:cstheme="minorHAnsi"/>
          <w:i/>
          <w:iCs/>
        </w:rPr>
        <w:t>21</w:t>
      </w:r>
      <w:r w:rsidR="00736482" w:rsidRPr="001B7D5F">
        <w:rPr>
          <w:rFonts w:cstheme="minorHAnsi"/>
          <w:i/>
          <w:iCs/>
        </w:rPr>
        <w:t>%</w:t>
      </w:r>
    </w:p>
    <w:p w14:paraId="0C8CA08F" w14:textId="77777777" w:rsidR="00071718" w:rsidRPr="001B7D5F" w:rsidRDefault="00071718" w:rsidP="00A70546">
      <w:pPr>
        <w:pStyle w:val="BodyText"/>
        <w:numPr>
          <w:ilvl w:val="0"/>
          <w:numId w:val="28"/>
        </w:numPr>
        <w:rPr>
          <w:rFonts w:cstheme="minorHAnsi"/>
        </w:rPr>
      </w:pPr>
      <w:r w:rsidRPr="001B7D5F">
        <w:rPr>
          <w:rFonts w:cstheme="minorHAnsi"/>
        </w:rPr>
        <w:t>National Health Information Exchange Capabilities</w:t>
      </w:r>
    </w:p>
    <w:p w14:paraId="165148FC" w14:textId="321ADD82" w:rsidR="00071718" w:rsidRPr="001B7D5F" w:rsidRDefault="00071718" w:rsidP="00A70546">
      <w:pPr>
        <w:pStyle w:val="BodyText"/>
        <w:numPr>
          <w:ilvl w:val="0"/>
          <w:numId w:val="28"/>
        </w:numPr>
        <w:rPr>
          <w:rFonts w:cstheme="minorHAnsi"/>
        </w:rPr>
      </w:pPr>
      <w:r w:rsidRPr="001B7D5F">
        <w:rPr>
          <w:rFonts w:cstheme="minorHAnsi"/>
        </w:rPr>
        <w:t>Implementation of Electronic Prescribing in Public Hospitals.</w:t>
      </w:r>
    </w:p>
    <w:p w14:paraId="3BE0C583" w14:textId="73E64F14" w:rsidR="00071718" w:rsidRDefault="00071718" w:rsidP="00A70546">
      <w:pPr>
        <w:pStyle w:val="BodyText"/>
        <w:numPr>
          <w:ilvl w:val="0"/>
          <w:numId w:val="28"/>
        </w:numPr>
        <w:rPr>
          <w:rFonts w:cstheme="minorHAnsi"/>
        </w:rPr>
      </w:pPr>
      <w:r w:rsidRPr="001B7D5F">
        <w:rPr>
          <w:rFonts w:cstheme="minorHAnsi"/>
        </w:rPr>
        <w:t>MHR Connections (pathology, diagnostic imaging, specialists, community health)</w:t>
      </w:r>
    </w:p>
    <w:p w14:paraId="453C2AF9" w14:textId="1D9FBFBD" w:rsidR="002F3437" w:rsidRPr="001B7D5F" w:rsidRDefault="002F3437" w:rsidP="00A70546">
      <w:pPr>
        <w:pStyle w:val="BodyText"/>
        <w:numPr>
          <w:ilvl w:val="0"/>
          <w:numId w:val="28"/>
        </w:numPr>
        <w:rPr>
          <w:rFonts w:cstheme="minorHAnsi"/>
        </w:rPr>
      </w:pPr>
      <w:r>
        <w:rPr>
          <w:rFonts w:cstheme="minorHAnsi"/>
        </w:rPr>
        <w:t xml:space="preserve">Real Time Prescription Monitoring enhancements </w:t>
      </w:r>
    </w:p>
    <w:p w14:paraId="5EA1EE67" w14:textId="24164B2C" w:rsidR="00222B03" w:rsidRPr="00222B03" w:rsidRDefault="00222B03" w:rsidP="00A70546">
      <w:pPr>
        <w:pStyle w:val="BodyText"/>
        <w:rPr>
          <w:rFonts w:cstheme="minorHAnsi"/>
          <w:i/>
          <w:iCs/>
        </w:rPr>
      </w:pPr>
      <w:r w:rsidRPr="00A74335">
        <w:rPr>
          <w:rFonts w:cstheme="minorHAnsi"/>
          <w:i/>
          <w:iCs/>
        </w:rPr>
        <w:t>Funding available for other strategic priorities – approx. 12%</w:t>
      </w:r>
    </w:p>
    <w:p w14:paraId="224F6802" w14:textId="621727D4" w:rsidR="00646FAC" w:rsidRPr="001B7D5F" w:rsidRDefault="00071718" w:rsidP="00A70546">
      <w:pPr>
        <w:pStyle w:val="BodyText"/>
        <w:rPr>
          <w:rFonts w:cstheme="minorHAnsi"/>
        </w:rPr>
        <w:sectPr w:rsidR="00646FAC" w:rsidRPr="001B7D5F" w:rsidSect="00A15B7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276" w:left="1440" w:header="708" w:footer="0" w:gutter="0"/>
          <w:cols w:space="708"/>
          <w:docGrid w:linePitch="360"/>
        </w:sectPr>
      </w:pPr>
      <w:r w:rsidRPr="001B7D5F">
        <w:rPr>
          <w:rFonts w:cstheme="minorHAnsi"/>
        </w:rPr>
        <w:t xml:space="preserve">These projects will be confirmed </w:t>
      </w:r>
      <w:r w:rsidR="000B046B" w:rsidRPr="001B7D5F">
        <w:rPr>
          <w:rFonts w:cstheme="minorHAnsi"/>
        </w:rPr>
        <w:t>through approval of the Agency</w:t>
      </w:r>
      <w:r w:rsidR="00F66AD2" w:rsidRPr="001B7D5F">
        <w:rPr>
          <w:rFonts w:cstheme="minorHAnsi"/>
        </w:rPr>
        <w:t>’s</w:t>
      </w:r>
      <w:r w:rsidR="000B046B" w:rsidRPr="001B7D5F">
        <w:rPr>
          <w:rFonts w:cstheme="minorHAnsi"/>
        </w:rPr>
        <w:t xml:space="preserve"> annual </w:t>
      </w:r>
      <w:r w:rsidR="00F66AD2" w:rsidRPr="001B7D5F">
        <w:rPr>
          <w:rFonts w:cstheme="minorHAnsi"/>
        </w:rPr>
        <w:t>W</w:t>
      </w:r>
      <w:r w:rsidR="000B046B" w:rsidRPr="001B7D5F">
        <w:rPr>
          <w:rFonts w:cstheme="minorHAnsi"/>
        </w:rPr>
        <w:t xml:space="preserve">ork </w:t>
      </w:r>
      <w:r w:rsidR="00B664FF" w:rsidRPr="001B7D5F">
        <w:rPr>
          <w:rFonts w:cstheme="minorHAnsi"/>
        </w:rPr>
        <w:t>P</w:t>
      </w:r>
      <w:r w:rsidR="000B046B" w:rsidRPr="001B7D5F">
        <w:rPr>
          <w:rFonts w:cstheme="minorHAnsi"/>
        </w:rPr>
        <w:t>lan</w:t>
      </w:r>
      <w:r w:rsidR="00B664FF" w:rsidRPr="001B7D5F">
        <w:rPr>
          <w:rFonts w:cstheme="minorHAnsi"/>
        </w:rPr>
        <w:t xml:space="preserve"> </w:t>
      </w:r>
      <w:r w:rsidRPr="001B7D5F">
        <w:rPr>
          <w:rFonts w:cstheme="minorHAnsi"/>
        </w:rPr>
        <w:t xml:space="preserve">for the financial year 2023-24, </w:t>
      </w:r>
      <w:r w:rsidR="00AE13A4" w:rsidRPr="001B7D5F">
        <w:rPr>
          <w:rFonts w:cstheme="minorHAnsi"/>
        </w:rPr>
        <w:t xml:space="preserve">and </w:t>
      </w:r>
      <w:r w:rsidR="00B664FF" w:rsidRPr="001B7D5F">
        <w:rPr>
          <w:rFonts w:cstheme="minorHAnsi"/>
        </w:rPr>
        <w:t>a</w:t>
      </w:r>
      <w:r w:rsidR="00246014" w:rsidRPr="001B7D5F">
        <w:rPr>
          <w:rFonts w:cstheme="minorHAnsi"/>
        </w:rPr>
        <w:t>s</w:t>
      </w:r>
      <w:r w:rsidR="00B664FF" w:rsidRPr="001B7D5F">
        <w:rPr>
          <w:rFonts w:cstheme="minorHAnsi"/>
        </w:rPr>
        <w:t xml:space="preserve"> guided by the National Digital Health Strategy</w:t>
      </w:r>
      <w:r w:rsidR="000B046B" w:rsidRPr="001B7D5F">
        <w:rPr>
          <w:rFonts w:cstheme="minorHAnsi"/>
        </w:rPr>
        <w:t xml:space="preserve">. </w:t>
      </w:r>
      <w:r w:rsidR="00736482" w:rsidRPr="001B7D5F">
        <w:rPr>
          <w:rFonts w:cstheme="minorHAnsi"/>
        </w:rPr>
        <w:t xml:space="preserve"> </w:t>
      </w:r>
      <w:r w:rsidR="000B046B" w:rsidRPr="001B7D5F" w:rsidDel="000B046B">
        <w:rPr>
          <w:rFonts w:cstheme="minorHAnsi"/>
        </w:rPr>
        <w:t xml:space="preserve"> </w:t>
      </w:r>
    </w:p>
    <w:p w14:paraId="3F1FCADF" w14:textId="6C214EE2" w:rsidR="004F716F" w:rsidRPr="001B7D5F" w:rsidRDefault="4707829C" w:rsidP="00A70546">
      <w:pPr>
        <w:pStyle w:val="Heading2"/>
      </w:pPr>
      <w:bookmarkStart w:id="159" w:name="_Toc1062978693"/>
      <w:bookmarkStart w:id="160" w:name="_Toc1584939096"/>
      <w:r w:rsidRPr="001B7D5F">
        <w:lastRenderedPageBreak/>
        <w:t xml:space="preserve">Schedule </w:t>
      </w:r>
      <w:r w:rsidR="53E55C0C" w:rsidRPr="001B7D5F">
        <w:t>D</w:t>
      </w:r>
      <w:r w:rsidR="1ACD0015" w:rsidRPr="001B7D5F">
        <w:t xml:space="preserve"> – </w:t>
      </w:r>
      <w:r w:rsidRPr="001B7D5F">
        <w:t xml:space="preserve">Process for the </w:t>
      </w:r>
      <w:r w:rsidR="0017035E">
        <w:t>D</w:t>
      </w:r>
      <w:r w:rsidRPr="001B7D5F">
        <w:t xml:space="preserve">esign and </w:t>
      </w:r>
      <w:r w:rsidR="0017035E">
        <w:t>I</w:t>
      </w:r>
      <w:r w:rsidRPr="001B7D5F">
        <w:t xml:space="preserve">mplementation of </w:t>
      </w:r>
      <w:r w:rsidR="0017035E">
        <w:t>N</w:t>
      </w:r>
      <w:r w:rsidRPr="001B7D5F">
        <w:t xml:space="preserve">ew </w:t>
      </w:r>
      <w:r w:rsidR="0017035E">
        <w:t>I</w:t>
      </w:r>
      <w:r w:rsidRPr="001B7D5F">
        <w:t>nitiatives</w:t>
      </w:r>
      <w:bookmarkEnd w:id="159"/>
      <w:bookmarkEnd w:id="160"/>
    </w:p>
    <w:p w14:paraId="7B83B099" w14:textId="222B2706" w:rsidR="00F37159" w:rsidRPr="001B7D5F" w:rsidRDefault="00F37159" w:rsidP="00A70546">
      <w:pPr>
        <w:pStyle w:val="BodyText"/>
      </w:pPr>
      <w:r w:rsidRPr="001B7D5F">
        <w:t>The initiatives and programs to be assessed for funding through this process are related to the development and implementation of</w:t>
      </w:r>
      <w:r w:rsidR="004260DD" w:rsidRPr="001B7D5F">
        <w:t xml:space="preserve"> new high-value</w:t>
      </w:r>
      <w:r w:rsidRPr="001B7D5F">
        <w:t xml:space="preserve"> </w:t>
      </w:r>
      <w:r w:rsidR="004260DD" w:rsidRPr="001B7D5F">
        <w:t xml:space="preserve">projects </w:t>
      </w:r>
      <w:r w:rsidR="005E0F69" w:rsidRPr="001B7D5F">
        <w:t xml:space="preserve">and objectives </w:t>
      </w:r>
      <w:r w:rsidRPr="001B7D5F">
        <w:t>supported by all Parties under the Agreement. The principles do not apply to funding for:</w:t>
      </w:r>
    </w:p>
    <w:p w14:paraId="061AD027" w14:textId="0A8C27E5" w:rsidR="00F37159" w:rsidRPr="001B7D5F" w:rsidRDefault="00DC7468" w:rsidP="00A70546">
      <w:pPr>
        <w:pStyle w:val="BodyText"/>
        <w:numPr>
          <w:ilvl w:val="0"/>
          <w:numId w:val="12"/>
        </w:numPr>
      </w:pPr>
      <w:r w:rsidRPr="001B7D5F">
        <w:t>C</w:t>
      </w:r>
      <w:r w:rsidR="00F37159" w:rsidRPr="001B7D5F">
        <w:t>orporate costs</w:t>
      </w:r>
      <w:r w:rsidRPr="001B7D5F">
        <w:t xml:space="preserve"> of </w:t>
      </w:r>
      <w:r w:rsidR="00700070" w:rsidRPr="001B7D5F">
        <w:t>D</w:t>
      </w:r>
      <w:r w:rsidRPr="001B7D5F">
        <w:t xml:space="preserve">elivery </w:t>
      </w:r>
      <w:r w:rsidR="00700070" w:rsidRPr="001B7D5F">
        <w:t>P</w:t>
      </w:r>
      <w:r w:rsidRPr="001B7D5F">
        <w:t>artners</w:t>
      </w:r>
    </w:p>
    <w:p w14:paraId="001D4610" w14:textId="75224236" w:rsidR="004260DD" w:rsidRPr="001B7D5F" w:rsidRDefault="004260DD" w:rsidP="00A70546">
      <w:pPr>
        <w:pStyle w:val="BodyText"/>
        <w:numPr>
          <w:ilvl w:val="0"/>
          <w:numId w:val="12"/>
        </w:numPr>
      </w:pPr>
      <w:r w:rsidRPr="001B7D5F">
        <w:t>Changes/amendments to deliverables or funding levels for existing projects or services under the Agreement.</w:t>
      </w:r>
    </w:p>
    <w:p w14:paraId="4DB0114E" w14:textId="4FE3BF07" w:rsidR="00F37159" w:rsidRPr="001B7D5F" w:rsidRDefault="005E0F69" w:rsidP="00A70546">
      <w:pPr>
        <w:pStyle w:val="BodyText"/>
        <w:numPr>
          <w:ilvl w:val="0"/>
          <w:numId w:val="12"/>
        </w:numPr>
      </w:pPr>
      <w:r w:rsidRPr="001B7D5F">
        <w:t>O</w:t>
      </w:r>
      <w:r w:rsidR="00F37159" w:rsidRPr="001B7D5F">
        <w:t>perational costs</w:t>
      </w:r>
      <w:r w:rsidRPr="001B7D5F">
        <w:t xml:space="preserve"> for </w:t>
      </w:r>
      <w:r w:rsidR="00B822C7" w:rsidRPr="001B7D5F">
        <w:t xml:space="preserve">Foundation and </w:t>
      </w:r>
      <w:r w:rsidR="004609AE" w:rsidRPr="001B7D5F">
        <w:t>N</w:t>
      </w:r>
      <w:r w:rsidRPr="001B7D5F">
        <w:t xml:space="preserve">ational </w:t>
      </w:r>
      <w:r w:rsidR="004609AE" w:rsidRPr="001B7D5F">
        <w:t>Services</w:t>
      </w:r>
    </w:p>
    <w:p w14:paraId="2E1271EB" w14:textId="422AB6E6" w:rsidR="00F37159" w:rsidRPr="00585678" w:rsidRDefault="00F37159" w:rsidP="00585678">
      <w:pPr>
        <w:pStyle w:val="Heading3"/>
      </w:pPr>
      <w:r w:rsidRPr="001B7D5F">
        <w:t>Principles for deciding</w:t>
      </w:r>
      <w:bookmarkStart w:id="161" w:name="_GoBack"/>
      <w:bookmarkEnd w:id="161"/>
      <w:r w:rsidRPr="001B7D5F">
        <w:t xml:space="preserve"> to invest in an initiative</w:t>
      </w:r>
    </w:p>
    <w:p w14:paraId="4EFFFD77" w14:textId="30815B9B" w:rsidR="00F37159" w:rsidRPr="001B7D5F" w:rsidRDefault="00F37159" w:rsidP="00A70546">
      <w:pPr>
        <w:pStyle w:val="BodyText"/>
      </w:pPr>
      <w:r w:rsidRPr="001B7D5F">
        <w:t>Proposed projects must align with the bolded principle below, and at least one other:</w:t>
      </w:r>
    </w:p>
    <w:p w14:paraId="0CFECAB6" w14:textId="065E2CE7" w:rsidR="00F37159" w:rsidRPr="001B7D5F" w:rsidRDefault="00F37159" w:rsidP="00A70546">
      <w:pPr>
        <w:pStyle w:val="BodyText"/>
        <w:numPr>
          <w:ilvl w:val="0"/>
          <w:numId w:val="10"/>
        </w:numPr>
        <w:tabs>
          <w:tab w:val="clear" w:pos="720"/>
        </w:tabs>
        <w:ind w:left="360"/>
        <w:rPr>
          <w:b/>
          <w:bCs/>
        </w:rPr>
      </w:pPr>
      <w:r w:rsidRPr="001B7D5F">
        <w:rPr>
          <w:b/>
          <w:bCs/>
        </w:rPr>
        <w:t>The initiative will align with and actively use national standards</w:t>
      </w:r>
      <w:r w:rsidR="005E0F69" w:rsidRPr="001B7D5F">
        <w:rPr>
          <w:b/>
          <w:bCs/>
        </w:rPr>
        <w:t xml:space="preserve"> and</w:t>
      </w:r>
      <w:r w:rsidRPr="001B7D5F">
        <w:rPr>
          <w:b/>
          <w:bCs/>
        </w:rPr>
        <w:t xml:space="preserve"> </w:t>
      </w:r>
      <w:r w:rsidRPr="001B7D5F">
        <w:rPr>
          <w:b/>
          <w:bCs/>
          <w:lang w:val="en-US"/>
        </w:rPr>
        <w:t xml:space="preserve">meet all </w:t>
      </w:r>
      <w:r w:rsidRPr="001B7D5F">
        <w:rPr>
          <w:b/>
          <w:bCs/>
        </w:rPr>
        <w:t xml:space="preserve">relevant conformance requirements. The initiative will support the enhancement or development of new national standards where these are not currently mature or fit for purpose to support this use case. </w:t>
      </w:r>
    </w:p>
    <w:p w14:paraId="14A90A5B" w14:textId="77777777" w:rsidR="00F37159" w:rsidRPr="001B7D5F" w:rsidRDefault="00F37159" w:rsidP="00A70546">
      <w:pPr>
        <w:pStyle w:val="BodyText"/>
        <w:numPr>
          <w:ilvl w:val="0"/>
          <w:numId w:val="10"/>
        </w:numPr>
        <w:tabs>
          <w:tab w:val="clear" w:pos="720"/>
        </w:tabs>
        <w:ind w:left="360"/>
        <w:rPr>
          <w:lang w:val="en-US"/>
        </w:rPr>
      </w:pPr>
      <w:r w:rsidRPr="001B7D5F">
        <w:rPr>
          <w:lang w:val="en-US"/>
        </w:rPr>
        <w:t xml:space="preserve">The </w:t>
      </w:r>
      <w:r w:rsidRPr="001B7D5F">
        <w:t>initiative</w:t>
      </w:r>
      <w:r w:rsidRPr="001B7D5F">
        <w:rPr>
          <w:lang w:val="en-US"/>
        </w:rPr>
        <w:t xml:space="preserve"> is aligned with and supports delivery of the National Digital Health Strategy.</w:t>
      </w:r>
    </w:p>
    <w:p w14:paraId="33FF1190" w14:textId="48667B44" w:rsidR="00F37159" w:rsidRPr="001B7D5F" w:rsidRDefault="00F37159" w:rsidP="00A70546">
      <w:pPr>
        <w:pStyle w:val="BodyText"/>
        <w:numPr>
          <w:ilvl w:val="0"/>
          <w:numId w:val="10"/>
        </w:numPr>
        <w:tabs>
          <w:tab w:val="clear" w:pos="720"/>
        </w:tabs>
        <w:ind w:left="360"/>
        <w:rPr>
          <w:lang w:val="en-US"/>
        </w:rPr>
      </w:pPr>
      <w:r w:rsidRPr="001B7D5F">
        <w:rPr>
          <w:lang w:val="en-US"/>
        </w:rPr>
        <w:t xml:space="preserve">All </w:t>
      </w:r>
      <w:r w:rsidR="00A155FC" w:rsidRPr="001B7D5F">
        <w:rPr>
          <w:lang w:val="en-US"/>
        </w:rPr>
        <w:t>Partie</w:t>
      </w:r>
      <w:r w:rsidRPr="001B7D5F">
        <w:rPr>
          <w:lang w:val="en-US"/>
        </w:rPr>
        <w:t xml:space="preserve">s support the initiative, and the initiative has the potential to be </w:t>
      </w:r>
      <w:r w:rsidRPr="001B7D5F">
        <w:t>nationally</w:t>
      </w:r>
      <w:r w:rsidRPr="001B7D5F">
        <w:rPr>
          <w:lang w:val="en-US"/>
        </w:rPr>
        <w:t xml:space="preserve"> scaled and incorporated into each jurisdiction in future, at a level appropriate to each jurisdiction’s digital health maturity, thereby driving value at a national scale.</w:t>
      </w:r>
    </w:p>
    <w:p w14:paraId="5B51863F" w14:textId="710D9AA9" w:rsidR="00F37159" w:rsidRPr="001B7D5F" w:rsidRDefault="00F37159" w:rsidP="00A70546">
      <w:pPr>
        <w:pStyle w:val="BodyText"/>
        <w:numPr>
          <w:ilvl w:val="0"/>
          <w:numId w:val="10"/>
        </w:numPr>
        <w:tabs>
          <w:tab w:val="clear" w:pos="720"/>
        </w:tabs>
        <w:ind w:left="360"/>
      </w:pPr>
      <w:r w:rsidRPr="001B7D5F">
        <w:t xml:space="preserve">A lead </w:t>
      </w:r>
      <w:r w:rsidR="00A155FC" w:rsidRPr="001B7D5F">
        <w:t>Delivery Partner</w:t>
      </w:r>
      <w:r w:rsidRPr="001B7D5F">
        <w:t xml:space="preserve"> or</w:t>
      </w:r>
      <w:r w:rsidR="00A155FC" w:rsidRPr="001B7D5F">
        <w:t xml:space="preserve"> Party </w:t>
      </w:r>
      <w:r w:rsidRPr="001B7D5F">
        <w:t>for the initiative is identified</w:t>
      </w:r>
      <w:r w:rsidR="005E0F69" w:rsidRPr="001B7D5F">
        <w:t xml:space="preserve"> who will manage the project</w:t>
      </w:r>
      <w:r w:rsidRPr="001B7D5F">
        <w:t xml:space="preserve">. </w:t>
      </w:r>
    </w:p>
    <w:p w14:paraId="6197FCEC" w14:textId="18368D30" w:rsidR="00F37159" w:rsidRPr="001B7D5F" w:rsidRDefault="00F37159" w:rsidP="00A70546">
      <w:pPr>
        <w:pStyle w:val="BodyText"/>
        <w:numPr>
          <w:ilvl w:val="0"/>
          <w:numId w:val="10"/>
        </w:numPr>
        <w:tabs>
          <w:tab w:val="clear" w:pos="720"/>
        </w:tabs>
        <w:ind w:left="360"/>
      </w:pPr>
      <w:r w:rsidRPr="001B7D5F">
        <w:t xml:space="preserve">The scope and objectives of the initiative are </w:t>
      </w:r>
      <w:r w:rsidR="008C48E7" w:rsidRPr="001B7D5F">
        <w:t>clear,</w:t>
      </w:r>
      <w:r w:rsidRPr="001B7D5F">
        <w:t xml:space="preserve"> and the potential benefits are understood. </w:t>
      </w:r>
    </w:p>
    <w:p w14:paraId="1ECEC201" w14:textId="08C88164" w:rsidR="00F37159" w:rsidRPr="001B7D5F" w:rsidRDefault="00F37159" w:rsidP="00A70546">
      <w:pPr>
        <w:pStyle w:val="BodyText"/>
        <w:numPr>
          <w:ilvl w:val="0"/>
          <w:numId w:val="10"/>
        </w:numPr>
        <w:tabs>
          <w:tab w:val="clear" w:pos="720"/>
        </w:tabs>
        <w:ind w:left="360"/>
      </w:pPr>
      <w:r w:rsidRPr="001B7D5F">
        <w:rPr>
          <w:lang w:val="en-US"/>
        </w:rPr>
        <w:t xml:space="preserve">The initiative will integrate with and will actively use national </w:t>
      </w:r>
      <w:r w:rsidRPr="001B7D5F">
        <w:t xml:space="preserve">digital </w:t>
      </w:r>
      <w:r w:rsidR="005E0F69" w:rsidRPr="001B7D5F">
        <w:t xml:space="preserve">health foundations </w:t>
      </w:r>
      <w:r w:rsidRPr="001B7D5F">
        <w:t>and services.</w:t>
      </w:r>
    </w:p>
    <w:p w14:paraId="49E85136" w14:textId="284FAB09" w:rsidR="00F37159" w:rsidRPr="001B7D5F" w:rsidRDefault="00F37159" w:rsidP="00A70546">
      <w:pPr>
        <w:pStyle w:val="BodyText"/>
        <w:numPr>
          <w:ilvl w:val="0"/>
          <w:numId w:val="10"/>
        </w:numPr>
        <w:tabs>
          <w:tab w:val="clear" w:pos="720"/>
        </w:tabs>
        <w:ind w:left="360"/>
      </w:pPr>
      <w:r w:rsidRPr="001B7D5F">
        <w:t xml:space="preserve">The scope of the initiative is not already covered within the scope of existing funding for the operations and maintenance of national digital health </w:t>
      </w:r>
      <w:r w:rsidR="005E0F69" w:rsidRPr="001B7D5F">
        <w:t>foundations and services</w:t>
      </w:r>
      <w:r w:rsidRPr="001B7D5F">
        <w:t xml:space="preserve"> (unless it is an enhancement whose costs exceed the scope of existing support and maintenance funding).</w:t>
      </w:r>
    </w:p>
    <w:p w14:paraId="708073F5" w14:textId="1FD33CF6" w:rsidR="00F37159" w:rsidRPr="001B7D5F" w:rsidRDefault="00F37159" w:rsidP="00A70546">
      <w:pPr>
        <w:pStyle w:val="BodyText"/>
        <w:numPr>
          <w:ilvl w:val="0"/>
          <w:numId w:val="10"/>
        </w:numPr>
        <w:tabs>
          <w:tab w:val="clear" w:pos="720"/>
        </w:tabs>
        <w:ind w:left="360"/>
      </w:pPr>
      <w:r w:rsidRPr="001B7D5F">
        <w:t xml:space="preserve">The initiative will develop </w:t>
      </w:r>
      <w:r w:rsidR="005E0F69" w:rsidRPr="001B7D5F">
        <w:t xml:space="preserve">capability </w:t>
      </w:r>
      <w:r w:rsidRPr="001B7D5F">
        <w:t>that ha</w:t>
      </w:r>
      <w:r w:rsidR="00F66AD2" w:rsidRPr="001B7D5F">
        <w:t>s</w:t>
      </w:r>
      <w:r w:rsidRPr="001B7D5F">
        <w:t xml:space="preserve"> the potential for re-use for other use cases, or by other jurisdictions or agencies.  </w:t>
      </w:r>
    </w:p>
    <w:p w14:paraId="5396CE6E" w14:textId="77777777" w:rsidR="00F37159" w:rsidRPr="001B7D5F" w:rsidRDefault="00F37159" w:rsidP="00A70546">
      <w:pPr>
        <w:pStyle w:val="BodyText"/>
        <w:numPr>
          <w:ilvl w:val="0"/>
          <w:numId w:val="10"/>
        </w:numPr>
        <w:tabs>
          <w:tab w:val="clear" w:pos="720"/>
        </w:tabs>
        <w:ind w:left="360"/>
      </w:pPr>
      <w:r w:rsidRPr="001B7D5F">
        <w:t xml:space="preserve">The initiative’s governance structure supports (or will support) collaboration in the initiative by any other agency or jurisdiction interested in being involved, and/or willing to contribute funding to promote inter-jurisdictional, or national expansion. </w:t>
      </w:r>
    </w:p>
    <w:p w14:paraId="5B7A45F3" w14:textId="77777777" w:rsidR="00F37159" w:rsidRPr="001B7D5F" w:rsidRDefault="00F37159" w:rsidP="00A70546">
      <w:pPr>
        <w:pStyle w:val="BodyText"/>
        <w:numPr>
          <w:ilvl w:val="0"/>
          <w:numId w:val="10"/>
        </w:numPr>
        <w:tabs>
          <w:tab w:val="clear" w:pos="720"/>
        </w:tabs>
        <w:ind w:left="360"/>
      </w:pPr>
      <w:r w:rsidRPr="001B7D5F">
        <w:t>The initiative will be funded, managed, tracked and evaluated in a transparent way and lessons learned shared among all stakeholders so that they can be applied to subsequent initiatives.</w:t>
      </w:r>
    </w:p>
    <w:p w14:paraId="7CDA5C02" w14:textId="77777777" w:rsidR="00F37159" w:rsidRPr="001B7D5F" w:rsidRDefault="00F37159" w:rsidP="00A70546">
      <w:pPr>
        <w:pStyle w:val="BodyText"/>
        <w:numPr>
          <w:ilvl w:val="0"/>
          <w:numId w:val="10"/>
        </w:numPr>
        <w:tabs>
          <w:tab w:val="clear" w:pos="720"/>
        </w:tabs>
        <w:ind w:left="360"/>
      </w:pPr>
      <w:r w:rsidRPr="001B7D5F">
        <w:rPr>
          <w:lang w:val="en-US"/>
        </w:rPr>
        <w:lastRenderedPageBreak/>
        <w:t xml:space="preserve">The initiative is feasible and deliverable within expected timeframes and resource allocation, and costs are </w:t>
      </w:r>
      <w:r w:rsidRPr="001B7D5F">
        <w:t>reasonable</w:t>
      </w:r>
      <w:r w:rsidRPr="001B7D5F">
        <w:rPr>
          <w:lang w:val="en-US"/>
        </w:rPr>
        <w:t xml:space="preserve"> and appropriate.</w:t>
      </w:r>
    </w:p>
    <w:p w14:paraId="46C89585" w14:textId="7C0D92E5" w:rsidR="00F37159" w:rsidRPr="001B7D5F" w:rsidRDefault="00F37159" w:rsidP="00A70546">
      <w:pPr>
        <w:pStyle w:val="BodyText"/>
        <w:numPr>
          <w:ilvl w:val="0"/>
          <w:numId w:val="10"/>
        </w:numPr>
        <w:tabs>
          <w:tab w:val="clear" w:pos="720"/>
        </w:tabs>
        <w:ind w:left="360"/>
      </w:pPr>
      <w:r w:rsidRPr="001B7D5F">
        <w:rPr>
          <w:lang w:val="en-US"/>
        </w:rPr>
        <w:t xml:space="preserve">The ongoing costs of scaling and transitioning the initiative will be considered from </w:t>
      </w:r>
      <w:r w:rsidRPr="001B7D5F">
        <w:t>initiation</w:t>
      </w:r>
      <w:r w:rsidRPr="001B7D5F">
        <w:rPr>
          <w:lang w:val="en-US"/>
        </w:rPr>
        <w:t xml:space="preserve"> to ensure the solution is sustainable and so that appropriate funding mechanisms can be identified.</w:t>
      </w:r>
    </w:p>
    <w:p w14:paraId="181CE796" w14:textId="372FDC7F" w:rsidR="00F37159" w:rsidRPr="00585678" w:rsidRDefault="00F37159" w:rsidP="00585678">
      <w:pPr>
        <w:pStyle w:val="Heading3"/>
      </w:pPr>
      <w:r w:rsidRPr="005B2440">
        <w:t>Process for deciding to invest in an initiative</w:t>
      </w:r>
    </w:p>
    <w:p w14:paraId="27ED17EC" w14:textId="17F35D1D" w:rsidR="00F37159" w:rsidRPr="001B7D5F" w:rsidRDefault="00F37159" w:rsidP="00A70546">
      <w:pPr>
        <w:pStyle w:val="BodyText"/>
      </w:pPr>
      <w:r w:rsidRPr="001B7D5F">
        <w:t>This process will be used by the</w:t>
      </w:r>
      <w:r w:rsidR="00C02C3E" w:rsidRPr="001B7D5F">
        <w:t xml:space="preserve"> Oversight</w:t>
      </w:r>
      <w:r w:rsidRPr="001B7D5F">
        <w:t xml:space="preserve"> Committee to assess, prioritise and approve investments for the development and implementation of programs under the National Digital Health Strategy for any initiatives that meet the agreed criteria. Initiative ideas can be put forward </w:t>
      </w:r>
      <w:r w:rsidR="009C51D5" w:rsidRPr="001B7D5F">
        <w:t xml:space="preserve">by </w:t>
      </w:r>
      <w:r w:rsidR="00F7723B" w:rsidRPr="001B7D5F">
        <w:t xml:space="preserve">any </w:t>
      </w:r>
      <w:r w:rsidR="00F66AD2" w:rsidRPr="001B7D5F">
        <w:t>Parties</w:t>
      </w:r>
      <w:r w:rsidR="00F7723B" w:rsidRPr="001B7D5F">
        <w:t>, representatives of the Oversight Committee,</w:t>
      </w:r>
      <w:r w:rsidR="009C51D5" w:rsidRPr="001B7D5F">
        <w:t xml:space="preserve"> or </w:t>
      </w:r>
      <w:r w:rsidR="00F66AD2" w:rsidRPr="001B7D5F">
        <w:t>D</w:t>
      </w:r>
      <w:r w:rsidR="009C51D5" w:rsidRPr="001B7D5F">
        <w:t xml:space="preserve">elivery </w:t>
      </w:r>
      <w:r w:rsidR="00F66AD2" w:rsidRPr="001B7D5F">
        <w:t>P</w:t>
      </w:r>
      <w:r w:rsidR="009C51D5" w:rsidRPr="001B7D5F">
        <w:t>artner</w:t>
      </w:r>
      <w:r w:rsidR="00F7723B" w:rsidRPr="001B7D5F">
        <w:t>s</w:t>
      </w:r>
      <w:r w:rsidRPr="001B7D5F">
        <w:t xml:space="preserve">. </w:t>
      </w:r>
    </w:p>
    <w:tbl>
      <w:tblPr>
        <w:tblStyle w:val="TableGrid"/>
        <w:tblW w:w="0" w:type="auto"/>
        <w:tblLook w:val="04A0" w:firstRow="1" w:lastRow="0" w:firstColumn="1" w:lastColumn="0" w:noHBand="0" w:noVBand="1"/>
      </w:tblPr>
      <w:tblGrid>
        <w:gridCol w:w="1980"/>
        <w:gridCol w:w="4961"/>
        <w:gridCol w:w="2075"/>
      </w:tblGrid>
      <w:tr w:rsidR="00F37159" w:rsidRPr="001B7D5F" w14:paraId="1C25B201" w14:textId="77777777" w:rsidTr="002B1B49">
        <w:tc>
          <w:tcPr>
            <w:tcW w:w="1980" w:type="dxa"/>
          </w:tcPr>
          <w:p w14:paraId="4DBB7593" w14:textId="77777777" w:rsidR="00F37159" w:rsidRPr="001B7D5F" w:rsidRDefault="00F37159" w:rsidP="00A70546">
            <w:pPr>
              <w:pStyle w:val="BodyText"/>
              <w:spacing w:after="0"/>
            </w:pPr>
            <w:r w:rsidRPr="001B7D5F">
              <w:rPr>
                <w:b/>
                <w:bCs/>
              </w:rPr>
              <w:t>Step</w:t>
            </w:r>
          </w:p>
        </w:tc>
        <w:tc>
          <w:tcPr>
            <w:tcW w:w="4961" w:type="dxa"/>
          </w:tcPr>
          <w:p w14:paraId="2B9A7520" w14:textId="77777777" w:rsidR="00F37159" w:rsidRPr="001B7D5F" w:rsidRDefault="00F37159" w:rsidP="00A70546">
            <w:pPr>
              <w:pStyle w:val="BodyText"/>
              <w:spacing w:after="0"/>
            </w:pPr>
            <w:r w:rsidRPr="001B7D5F">
              <w:rPr>
                <w:b/>
                <w:bCs/>
              </w:rPr>
              <w:t>Description</w:t>
            </w:r>
          </w:p>
        </w:tc>
        <w:tc>
          <w:tcPr>
            <w:tcW w:w="2075" w:type="dxa"/>
          </w:tcPr>
          <w:p w14:paraId="5F8C159B" w14:textId="0F08D5E8" w:rsidR="00F37159" w:rsidRPr="001B7D5F" w:rsidRDefault="00394E9A" w:rsidP="00A70546">
            <w:pPr>
              <w:pStyle w:val="BodyText"/>
              <w:spacing w:after="0"/>
            </w:pPr>
            <w:r w:rsidRPr="001B7D5F">
              <w:rPr>
                <w:b/>
                <w:bCs/>
              </w:rPr>
              <w:t xml:space="preserve">Indicative </w:t>
            </w:r>
            <w:r w:rsidR="00F37159" w:rsidRPr="001B7D5F">
              <w:rPr>
                <w:b/>
                <w:bCs/>
              </w:rPr>
              <w:t>Timeline</w:t>
            </w:r>
          </w:p>
        </w:tc>
      </w:tr>
      <w:tr w:rsidR="00F37159" w:rsidRPr="001B7D5F" w14:paraId="03920810" w14:textId="77777777" w:rsidTr="002B1B49">
        <w:tc>
          <w:tcPr>
            <w:tcW w:w="1980" w:type="dxa"/>
          </w:tcPr>
          <w:p w14:paraId="6D2A89E8" w14:textId="77777777" w:rsidR="00F37159" w:rsidRPr="001B7D5F" w:rsidRDefault="00F37159" w:rsidP="00A70546">
            <w:pPr>
              <w:pStyle w:val="BodyText"/>
              <w:spacing w:after="0"/>
              <w:rPr>
                <w:b/>
                <w:bCs/>
              </w:rPr>
            </w:pPr>
            <w:r w:rsidRPr="001B7D5F">
              <w:rPr>
                <w:b/>
                <w:bCs/>
              </w:rPr>
              <w:t xml:space="preserve">1. Initial idea prioritisation and assessment  </w:t>
            </w:r>
          </w:p>
        </w:tc>
        <w:tc>
          <w:tcPr>
            <w:tcW w:w="4961" w:type="dxa"/>
          </w:tcPr>
          <w:p w14:paraId="13F9764E" w14:textId="228A16C3" w:rsidR="00F37159" w:rsidRPr="001B7D5F" w:rsidRDefault="00F37159" w:rsidP="00A70546">
            <w:pPr>
              <w:rPr>
                <w:rFonts w:cstheme="minorHAnsi"/>
                <w:sz w:val="22"/>
                <w:szCs w:val="22"/>
              </w:rPr>
            </w:pPr>
            <w:r w:rsidRPr="001B7D5F">
              <w:rPr>
                <w:rFonts w:cstheme="minorHAnsi"/>
                <w:sz w:val="22"/>
                <w:szCs w:val="22"/>
              </w:rPr>
              <w:t>National strategic digital health initiative ideas will be presented to the</w:t>
            </w:r>
            <w:r w:rsidR="00A155FC" w:rsidRPr="001B7D5F">
              <w:rPr>
                <w:rFonts w:cstheme="minorHAnsi"/>
                <w:sz w:val="22"/>
                <w:szCs w:val="22"/>
              </w:rPr>
              <w:t xml:space="preserve"> Oversight</w:t>
            </w:r>
            <w:r w:rsidRPr="001B7D5F">
              <w:rPr>
                <w:rFonts w:cstheme="minorHAnsi"/>
                <w:sz w:val="22"/>
                <w:szCs w:val="22"/>
              </w:rPr>
              <w:t xml:space="preserve"> Committee for assessment and prioritisation against the agreed principles and endorsed for development of a business case. </w:t>
            </w:r>
          </w:p>
          <w:p w14:paraId="643C4CE6" w14:textId="77777777" w:rsidR="00F37159" w:rsidRPr="001B7D5F" w:rsidRDefault="00F37159" w:rsidP="00A70546">
            <w:pPr>
              <w:rPr>
                <w:rFonts w:cstheme="minorHAnsi"/>
                <w:sz w:val="22"/>
                <w:szCs w:val="22"/>
              </w:rPr>
            </w:pPr>
          </w:p>
          <w:p w14:paraId="785F0717" w14:textId="77C3D9FD" w:rsidR="00F37159" w:rsidRPr="001B7D5F" w:rsidRDefault="00F37159" w:rsidP="00A70546">
            <w:pPr>
              <w:rPr>
                <w:rFonts w:cstheme="minorHAnsi"/>
                <w:sz w:val="22"/>
                <w:szCs w:val="22"/>
              </w:rPr>
            </w:pPr>
            <w:r w:rsidRPr="001B7D5F">
              <w:rPr>
                <w:rFonts w:cstheme="minorHAnsi"/>
                <w:sz w:val="22"/>
                <w:szCs w:val="22"/>
              </w:rPr>
              <w:t>Initiative ideas can be tabled by</w:t>
            </w:r>
            <w:r w:rsidR="009C51D5" w:rsidRPr="001B7D5F">
              <w:rPr>
                <w:rFonts w:cstheme="minorHAnsi"/>
                <w:sz w:val="22"/>
                <w:szCs w:val="22"/>
              </w:rPr>
              <w:t xml:space="preserve"> all Parties or </w:t>
            </w:r>
            <w:r w:rsidR="00F66AD2" w:rsidRPr="001B7D5F">
              <w:rPr>
                <w:rFonts w:cstheme="minorHAnsi"/>
                <w:sz w:val="22"/>
                <w:szCs w:val="22"/>
              </w:rPr>
              <w:t>D</w:t>
            </w:r>
            <w:r w:rsidR="009C51D5" w:rsidRPr="001B7D5F">
              <w:rPr>
                <w:rFonts w:cstheme="minorHAnsi"/>
                <w:sz w:val="22"/>
                <w:szCs w:val="22"/>
              </w:rPr>
              <w:t xml:space="preserve">elivery </w:t>
            </w:r>
            <w:r w:rsidR="00F66AD2" w:rsidRPr="001B7D5F">
              <w:rPr>
                <w:rFonts w:cstheme="minorHAnsi"/>
                <w:sz w:val="22"/>
                <w:szCs w:val="22"/>
              </w:rPr>
              <w:t>P</w:t>
            </w:r>
            <w:r w:rsidR="009C51D5" w:rsidRPr="001B7D5F">
              <w:rPr>
                <w:rFonts w:cstheme="minorHAnsi"/>
                <w:sz w:val="22"/>
                <w:szCs w:val="22"/>
              </w:rPr>
              <w:t>artners</w:t>
            </w:r>
            <w:r w:rsidRPr="001B7D5F">
              <w:rPr>
                <w:rFonts w:cstheme="minorHAnsi"/>
                <w:sz w:val="22"/>
                <w:szCs w:val="22"/>
              </w:rPr>
              <w:t xml:space="preserve"> and may come from </w:t>
            </w:r>
            <w:r w:rsidR="00F7723B" w:rsidRPr="001B7D5F">
              <w:rPr>
                <w:rFonts w:cstheme="minorHAnsi"/>
                <w:sz w:val="22"/>
                <w:szCs w:val="22"/>
              </w:rPr>
              <w:t>several</w:t>
            </w:r>
            <w:r w:rsidRPr="001B7D5F">
              <w:rPr>
                <w:rFonts w:cstheme="minorHAnsi"/>
                <w:sz w:val="22"/>
                <w:szCs w:val="22"/>
              </w:rPr>
              <w:t xml:space="preserve"> sources, including:</w:t>
            </w:r>
          </w:p>
          <w:p w14:paraId="70A00100" w14:textId="0E191935" w:rsidR="00F37159" w:rsidRPr="001B7D5F" w:rsidRDefault="00F37159" w:rsidP="00A70546">
            <w:pPr>
              <w:pStyle w:val="ListParagraph"/>
              <w:keepLines/>
              <w:numPr>
                <w:ilvl w:val="0"/>
                <w:numId w:val="11"/>
              </w:numPr>
              <w:rPr>
                <w:rFonts w:cstheme="minorHAnsi"/>
                <w:sz w:val="22"/>
                <w:szCs w:val="22"/>
              </w:rPr>
            </w:pPr>
            <w:r w:rsidRPr="001B7D5F">
              <w:rPr>
                <w:rFonts w:cstheme="minorHAnsi"/>
                <w:sz w:val="22"/>
                <w:szCs w:val="22"/>
              </w:rPr>
              <w:t xml:space="preserve">An initiative idea presented to the </w:t>
            </w:r>
            <w:r w:rsidR="00A155FC" w:rsidRPr="001B7D5F">
              <w:rPr>
                <w:rFonts w:cstheme="minorHAnsi"/>
                <w:sz w:val="22"/>
                <w:szCs w:val="22"/>
              </w:rPr>
              <w:t>Oversight</w:t>
            </w:r>
            <w:r w:rsidRPr="001B7D5F">
              <w:rPr>
                <w:rFonts w:cstheme="minorHAnsi"/>
                <w:sz w:val="22"/>
                <w:szCs w:val="22"/>
              </w:rPr>
              <w:t xml:space="preserve"> Committee by a </w:t>
            </w:r>
            <w:r w:rsidR="00F66AD2" w:rsidRPr="001B7D5F">
              <w:rPr>
                <w:rFonts w:cstheme="minorHAnsi"/>
                <w:sz w:val="22"/>
                <w:szCs w:val="22"/>
              </w:rPr>
              <w:t>D</w:t>
            </w:r>
            <w:r w:rsidRPr="001B7D5F">
              <w:rPr>
                <w:rFonts w:cstheme="minorHAnsi"/>
                <w:sz w:val="22"/>
                <w:szCs w:val="22"/>
              </w:rPr>
              <w:t xml:space="preserve">elivery </w:t>
            </w:r>
            <w:r w:rsidR="00F66AD2" w:rsidRPr="001B7D5F">
              <w:rPr>
                <w:rFonts w:cstheme="minorHAnsi"/>
                <w:sz w:val="22"/>
                <w:szCs w:val="22"/>
              </w:rPr>
              <w:t>P</w:t>
            </w:r>
            <w:r w:rsidRPr="001B7D5F">
              <w:rPr>
                <w:rFonts w:cstheme="minorHAnsi"/>
                <w:sz w:val="22"/>
                <w:szCs w:val="22"/>
              </w:rPr>
              <w:t>artner.</w:t>
            </w:r>
          </w:p>
          <w:p w14:paraId="455362BF" w14:textId="77777777" w:rsidR="00F37159" w:rsidRPr="001B7D5F" w:rsidRDefault="00F37159" w:rsidP="00A70546">
            <w:pPr>
              <w:pStyle w:val="ListParagraph"/>
              <w:keepLines/>
              <w:numPr>
                <w:ilvl w:val="0"/>
                <w:numId w:val="11"/>
              </w:numPr>
              <w:rPr>
                <w:rFonts w:cstheme="minorHAnsi"/>
                <w:sz w:val="22"/>
                <w:szCs w:val="22"/>
              </w:rPr>
            </w:pPr>
            <w:r w:rsidRPr="001B7D5F">
              <w:rPr>
                <w:rFonts w:cstheme="minorHAnsi"/>
                <w:sz w:val="22"/>
                <w:szCs w:val="22"/>
              </w:rPr>
              <w:t>An initiative idea to deliver a ministerial commitment.</w:t>
            </w:r>
          </w:p>
          <w:p w14:paraId="2B001C12" w14:textId="77777777" w:rsidR="00F37159" w:rsidRPr="001B7D5F" w:rsidRDefault="00F37159" w:rsidP="00A70546">
            <w:pPr>
              <w:pStyle w:val="ListParagraph"/>
              <w:keepLines/>
              <w:numPr>
                <w:ilvl w:val="0"/>
                <w:numId w:val="11"/>
              </w:numPr>
              <w:rPr>
                <w:rFonts w:cstheme="minorHAnsi"/>
                <w:sz w:val="22"/>
                <w:szCs w:val="22"/>
              </w:rPr>
            </w:pPr>
            <w:r w:rsidRPr="001B7D5F">
              <w:rPr>
                <w:rFonts w:cstheme="minorHAnsi"/>
                <w:sz w:val="22"/>
                <w:szCs w:val="22"/>
              </w:rPr>
              <w:t>The outcomes or evaluation of an existing proof of concept or pilot project delivered by a member organisation identified as suitable for national scaling.</w:t>
            </w:r>
          </w:p>
          <w:p w14:paraId="3E419A7B" w14:textId="77777777" w:rsidR="00F37159" w:rsidRPr="001B7D5F" w:rsidRDefault="00F37159" w:rsidP="00A70546">
            <w:pPr>
              <w:rPr>
                <w:rFonts w:cstheme="minorHAnsi"/>
                <w:sz w:val="22"/>
                <w:szCs w:val="22"/>
              </w:rPr>
            </w:pPr>
          </w:p>
          <w:p w14:paraId="75D04682" w14:textId="254D77CE" w:rsidR="00F37159" w:rsidRPr="001B7D5F" w:rsidRDefault="00F37159" w:rsidP="00A70546">
            <w:pPr>
              <w:rPr>
                <w:rFonts w:cstheme="minorHAnsi"/>
                <w:sz w:val="22"/>
                <w:szCs w:val="22"/>
              </w:rPr>
            </w:pPr>
            <w:r w:rsidRPr="001B7D5F">
              <w:rPr>
                <w:rFonts w:cstheme="minorHAnsi"/>
                <w:sz w:val="22"/>
                <w:szCs w:val="22"/>
              </w:rPr>
              <w:t>All</w:t>
            </w:r>
            <w:r w:rsidR="00A155FC" w:rsidRPr="001B7D5F">
              <w:rPr>
                <w:rFonts w:cstheme="minorHAnsi"/>
                <w:sz w:val="22"/>
                <w:szCs w:val="22"/>
              </w:rPr>
              <w:t xml:space="preserve"> Parties</w:t>
            </w:r>
            <w:r w:rsidRPr="001B7D5F">
              <w:rPr>
                <w:rFonts w:cstheme="minorHAnsi"/>
                <w:sz w:val="22"/>
                <w:szCs w:val="22"/>
              </w:rPr>
              <w:t xml:space="preserve"> must agree for an idea to be progressed to the business case phase. Funding for the development of the business case may be considered where this is requested.</w:t>
            </w:r>
          </w:p>
          <w:p w14:paraId="522DE3A9" w14:textId="77777777" w:rsidR="00F37159" w:rsidRPr="001B7D5F" w:rsidRDefault="00F37159" w:rsidP="00A70546">
            <w:pPr>
              <w:rPr>
                <w:rFonts w:cstheme="minorHAnsi"/>
                <w:sz w:val="22"/>
                <w:szCs w:val="22"/>
              </w:rPr>
            </w:pPr>
          </w:p>
          <w:p w14:paraId="45839CBE" w14:textId="5A877C61" w:rsidR="00F37159" w:rsidRPr="001B7D5F" w:rsidRDefault="00F37159" w:rsidP="00A70546">
            <w:pPr>
              <w:rPr>
                <w:rFonts w:cstheme="minorHAnsi"/>
                <w:sz w:val="22"/>
                <w:szCs w:val="22"/>
              </w:rPr>
            </w:pPr>
            <w:r w:rsidRPr="001B7D5F">
              <w:rPr>
                <w:rFonts w:cstheme="minorHAnsi"/>
                <w:sz w:val="22"/>
                <w:szCs w:val="22"/>
              </w:rPr>
              <w:t xml:space="preserve">The </w:t>
            </w:r>
            <w:r w:rsidR="00A155FC" w:rsidRPr="001B7D5F">
              <w:rPr>
                <w:rFonts w:cstheme="minorHAnsi"/>
                <w:sz w:val="22"/>
                <w:szCs w:val="22"/>
              </w:rPr>
              <w:t>Oversight C</w:t>
            </w:r>
            <w:r w:rsidRPr="001B7D5F">
              <w:rPr>
                <w:rFonts w:cstheme="minorHAnsi"/>
                <w:sz w:val="22"/>
                <w:szCs w:val="22"/>
              </w:rPr>
              <w:t>ommittee must determine whether:</w:t>
            </w:r>
          </w:p>
          <w:p w14:paraId="6520F066" w14:textId="77777777" w:rsidR="00F37159" w:rsidRPr="001B7D5F" w:rsidRDefault="00F37159" w:rsidP="00A70546">
            <w:pPr>
              <w:pStyle w:val="ListParagraph"/>
              <w:keepLines/>
              <w:numPr>
                <w:ilvl w:val="0"/>
                <w:numId w:val="11"/>
              </w:numPr>
              <w:rPr>
                <w:rFonts w:cstheme="minorHAnsi"/>
                <w:sz w:val="22"/>
                <w:szCs w:val="22"/>
              </w:rPr>
            </w:pPr>
            <w:r w:rsidRPr="001B7D5F">
              <w:rPr>
                <w:rFonts w:cstheme="minorHAnsi"/>
                <w:sz w:val="22"/>
                <w:szCs w:val="22"/>
              </w:rPr>
              <w:t>The business case will be for the full national roll-out of the initiative.</w:t>
            </w:r>
          </w:p>
          <w:p w14:paraId="3BB36EEB" w14:textId="4AD28D20" w:rsidR="00F37159" w:rsidRPr="001B7D5F" w:rsidRDefault="00F37159" w:rsidP="00A70546">
            <w:pPr>
              <w:pStyle w:val="ListParagraph"/>
              <w:keepLines/>
              <w:numPr>
                <w:ilvl w:val="0"/>
                <w:numId w:val="11"/>
              </w:numPr>
              <w:rPr>
                <w:rFonts w:cstheme="minorHAnsi"/>
                <w:sz w:val="22"/>
                <w:szCs w:val="22"/>
              </w:rPr>
            </w:pPr>
            <w:r w:rsidRPr="001B7D5F">
              <w:rPr>
                <w:rFonts w:cstheme="minorHAnsi"/>
                <w:sz w:val="22"/>
                <w:szCs w:val="22"/>
              </w:rPr>
              <w:t xml:space="preserve">The implementation of the initiative </w:t>
            </w:r>
            <w:r w:rsidR="009C51D5" w:rsidRPr="001B7D5F">
              <w:rPr>
                <w:rFonts w:cstheme="minorHAnsi"/>
                <w:sz w:val="22"/>
                <w:szCs w:val="22"/>
              </w:rPr>
              <w:t xml:space="preserve">by Party or Delivery Partner </w:t>
            </w:r>
            <w:r w:rsidRPr="001B7D5F">
              <w:rPr>
                <w:rFonts w:cstheme="minorHAnsi"/>
                <w:sz w:val="22"/>
                <w:szCs w:val="22"/>
              </w:rPr>
              <w:t xml:space="preserve">as a proof of concept or a pilot for evaluation, ahead of developing a full national business case. </w:t>
            </w:r>
          </w:p>
          <w:p w14:paraId="6DB2FC7E" w14:textId="77777777" w:rsidR="00F37159" w:rsidRPr="001B7D5F" w:rsidRDefault="00F37159" w:rsidP="00A70546">
            <w:pPr>
              <w:rPr>
                <w:rFonts w:cstheme="minorHAnsi"/>
                <w:sz w:val="22"/>
                <w:szCs w:val="22"/>
              </w:rPr>
            </w:pPr>
          </w:p>
          <w:p w14:paraId="068D66C9" w14:textId="15982B01" w:rsidR="00F37159" w:rsidRPr="001B7D5F" w:rsidRDefault="00F37159" w:rsidP="00A70546">
            <w:pPr>
              <w:rPr>
                <w:rFonts w:cstheme="minorHAnsi"/>
                <w:sz w:val="22"/>
                <w:szCs w:val="22"/>
              </w:rPr>
            </w:pPr>
            <w:r w:rsidRPr="001B7D5F">
              <w:rPr>
                <w:rFonts w:cstheme="minorHAnsi"/>
                <w:sz w:val="22"/>
                <w:szCs w:val="22"/>
              </w:rPr>
              <w:t xml:space="preserve">Where information on high level costs and benefits are not currently available, the </w:t>
            </w:r>
            <w:r w:rsidR="00A155FC" w:rsidRPr="001B7D5F">
              <w:rPr>
                <w:rFonts w:cstheme="minorHAnsi"/>
                <w:sz w:val="22"/>
                <w:szCs w:val="22"/>
              </w:rPr>
              <w:t xml:space="preserve">Oversight </w:t>
            </w:r>
            <w:r w:rsidRPr="001B7D5F">
              <w:rPr>
                <w:rFonts w:cstheme="minorHAnsi"/>
                <w:sz w:val="22"/>
                <w:szCs w:val="22"/>
              </w:rPr>
              <w:t>Committee may determine for the lead</w:t>
            </w:r>
            <w:r w:rsidR="0094182F" w:rsidRPr="001B7D5F">
              <w:rPr>
                <w:rFonts w:cstheme="minorHAnsi"/>
                <w:sz w:val="22"/>
                <w:szCs w:val="22"/>
              </w:rPr>
              <w:t xml:space="preserve"> Party </w:t>
            </w:r>
            <w:r w:rsidRPr="001B7D5F">
              <w:rPr>
                <w:rFonts w:cstheme="minorHAnsi"/>
                <w:sz w:val="22"/>
                <w:szCs w:val="22"/>
              </w:rPr>
              <w:t xml:space="preserve">or </w:t>
            </w:r>
            <w:r w:rsidR="0094182F" w:rsidRPr="001B7D5F">
              <w:rPr>
                <w:rFonts w:cstheme="minorHAnsi"/>
                <w:sz w:val="22"/>
                <w:szCs w:val="22"/>
              </w:rPr>
              <w:t xml:space="preserve">Delivery Partner </w:t>
            </w:r>
            <w:r w:rsidRPr="001B7D5F">
              <w:rPr>
                <w:rFonts w:cstheme="minorHAnsi"/>
                <w:sz w:val="22"/>
                <w:szCs w:val="22"/>
              </w:rPr>
              <w:t xml:space="preserve">to develop an initial high level business case (2a) for </w:t>
            </w:r>
            <w:r w:rsidRPr="001B7D5F">
              <w:rPr>
                <w:rFonts w:cstheme="minorHAnsi"/>
                <w:sz w:val="22"/>
                <w:szCs w:val="22"/>
              </w:rPr>
              <w:lastRenderedPageBreak/>
              <w:t>agreement ahead of development of the full business case.</w:t>
            </w:r>
          </w:p>
          <w:p w14:paraId="79ACEDFB" w14:textId="77777777" w:rsidR="00F37159" w:rsidRPr="001B7D5F" w:rsidRDefault="00F37159" w:rsidP="00A70546">
            <w:pPr>
              <w:rPr>
                <w:rFonts w:cstheme="minorHAnsi"/>
                <w:sz w:val="22"/>
                <w:szCs w:val="22"/>
              </w:rPr>
            </w:pPr>
          </w:p>
        </w:tc>
        <w:tc>
          <w:tcPr>
            <w:tcW w:w="2075" w:type="dxa"/>
          </w:tcPr>
          <w:p w14:paraId="7A32A287" w14:textId="52222043" w:rsidR="00F37159" w:rsidRPr="001B7D5F" w:rsidRDefault="00F37159" w:rsidP="00A70546">
            <w:pPr>
              <w:pStyle w:val="BodyText"/>
              <w:spacing w:after="0"/>
            </w:pPr>
            <w:r w:rsidRPr="001B7D5F">
              <w:lastRenderedPageBreak/>
              <w:t xml:space="preserve">Aligned to </w:t>
            </w:r>
            <w:r w:rsidR="00F66AD2" w:rsidRPr="001B7D5F">
              <w:t>Oversight Committee</w:t>
            </w:r>
            <w:r w:rsidRPr="001B7D5F">
              <w:t xml:space="preserve"> schedule</w:t>
            </w:r>
          </w:p>
        </w:tc>
      </w:tr>
      <w:tr w:rsidR="00F37159" w:rsidRPr="001B7D5F" w14:paraId="7D91BEC3" w14:textId="77777777" w:rsidTr="002B1B49">
        <w:tc>
          <w:tcPr>
            <w:tcW w:w="1980" w:type="dxa"/>
          </w:tcPr>
          <w:p w14:paraId="144BFA66" w14:textId="77777777" w:rsidR="00F37159" w:rsidRPr="001B7D5F" w:rsidRDefault="00F37159" w:rsidP="00A70546">
            <w:r w:rsidRPr="001B7D5F">
              <w:rPr>
                <w:b/>
                <w:bCs/>
                <w:sz w:val="22"/>
              </w:rPr>
              <w:t>2a. Development of a high-level business case</w:t>
            </w:r>
          </w:p>
        </w:tc>
        <w:tc>
          <w:tcPr>
            <w:tcW w:w="4961" w:type="dxa"/>
          </w:tcPr>
          <w:p w14:paraId="41D1D174" w14:textId="77777777" w:rsidR="00F37159" w:rsidRPr="001B7D5F" w:rsidRDefault="00F37159" w:rsidP="00A70546">
            <w:pPr>
              <w:rPr>
                <w:rFonts w:cstheme="minorHAnsi"/>
                <w:sz w:val="22"/>
                <w:szCs w:val="22"/>
              </w:rPr>
            </w:pPr>
            <w:r w:rsidRPr="001B7D5F">
              <w:rPr>
                <w:rFonts w:cstheme="minorHAnsi"/>
                <w:sz w:val="22"/>
                <w:szCs w:val="22"/>
              </w:rPr>
              <w:t>Development of a high-level business case and implementation plan.</w:t>
            </w:r>
          </w:p>
          <w:p w14:paraId="295D2409" w14:textId="77777777" w:rsidR="00F37159" w:rsidRPr="001B7D5F" w:rsidRDefault="00F37159" w:rsidP="00A70546">
            <w:pPr>
              <w:rPr>
                <w:rFonts w:cstheme="minorHAnsi"/>
                <w:sz w:val="22"/>
                <w:szCs w:val="22"/>
              </w:rPr>
            </w:pPr>
          </w:p>
          <w:p w14:paraId="753C3F63" w14:textId="0EA4DCB9" w:rsidR="00F37159" w:rsidRPr="001B7D5F" w:rsidRDefault="00F37159" w:rsidP="00A70546">
            <w:pPr>
              <w:rPr>
                <w:rFonts w:cstheme="minorHAnsi"/>
                <w:sz w:val="22"/>
                <w:szCs w:val="22"/>
              </w:rPr>
            </w:pPr>
            <w:r w:rsidRPr="001B7D5F">
              <w:rPr>
                <w:rFonts w:cstheme="minorHAnsi"/>
                <w:sz w:val="22"/>
                <w:szCs w:val="22"/>
              </w:rPr>
              <w:t>Where an initiative idea does not have high-level cost and benefit estimates available, the</w:t>
            </w:r>
            <w:r w:rsidR="0094182F" w:rsidRPr="001B7D5F">
              <w:rPr>
                <w:rFonts w:cstheme="minorHAnsi"/>
                <w:sz w:val="22"/>
                <w:szCs w:val="22"/>
              </w:rPr>
              <w:t xml:space="preserve"> Oversight</w:t>
            </w:r>
            <w:r w:rsidRPr="001B7D5F">
              <w:rPr>
                <w:rFonts w:cstheme="minorHAnsi"/>
                <w:sz w:val="22"/>
                <w:szCs w:val="22"/>
              </w:rPr>
              <w:t xml:space="preserve"> Committee may request a high-level business case be developed initially for endorsement ahead of proceeding to development of a full business case.   </w:t>
            </w:r>
          </w:p>
          <w:p w14:paraId="2358BC2B" w14:textId="77777777" w:rsidR="00F37159" w:rsidRPr="001B7D5F" w:rsidRDefault="00F37159" w:rsidP="00A70546">
            <w:pPr>
              <w:rPr>
                <w:rFonts w:cstheme="minorHAnsi"/>
                <w:sz w:val="22"/>
                <w:szCs w:val="22"/>
              </w:rPr>
            </w:pPr>
          </w:p>
          <w:p w14:paraId="1E377332" w14:textId="4FCFC444" w:rsidR="00F37159" w:rsidRPr="001B7D5F" w:rsidRDefault="00F37159" w:rsidP="00A70546">
            <w:pPr>
              <w:rPr>
                <w:rFonts w:cstheme="minorHAnsi"/>
                <w:sz w:val="22"/>
                <w:szCs w:val="22"/>
              </w:rPr>
            </w:pPr>
            <w:r w:rsidRPr="001B7D5F">
              <w:rPr>
                <w:rFonts w:cstheme="minorHAnsi"/>
                <w:sz w:val="22"/>
                <w:szCs w:val="22"/>
              </w:rPr>
              <w:t xml:space="preserve">This could be developed by the lead </w:t>
            </w:r>
            <w:r w:rsidR="0094182F" w:rsidRPr="001B7D5F">
              <w:rPr>
                <w:rFonts w:cstheme="minorHAnsi"/>
                <w:sz w:val="22"/>
                <w:szCs w:val="22"/>
              </w:rPr>
              <w:t>Party or Delivery Partner</w:t>
            </w:r>
            <w:r w:rsidRPr="001B7D5F">
              <w:rPr>
                <w:rFonts w:cstheme="minorHAnsi"/>
                <w:sz w:val="22"/>
                <w:szCs w:val="22"/>
              </w:rPr>
              <w:t xml:space="preserve"> with input from the other agencies and</w:t>
            </w:r>
            <w:r w:rsidR="0094182F" w:rsidRPr="001B7D5F">
              <w:rPr>
                <w:rFonts w:cstheme="minorHAnsi"/>
                <w:sz w:val="22"/>
                <w:szCs w:val="22"/>
              </w:rPr>
              <w:t xml:space="preserve"> Parties</w:t>
            </w:r>
            <w:r w:rsidRPr="001B7D5F">
              <w:rPr>
                <w:rFonts w:cstheme="minorHAnsi"/>
                <w:sz w:val="22"/>
                <w:szCs w:val="22"/>
              </w:rPr>
              <w:t xml:space="preserve"> as required.</w:t>
            </w:r>
          </w:p>
          <w:p w14:paraId="504B1A22" w14:textId="77777777" w:rsidR="00F37159" w:rsidRPr="001B7D5F" w:rsidRDefault="00F37159" w:rsidP="00A70546">
            <w:pPr>
              <w:rPr>
                <w:rFonts w:cstheme="minorHAnsi"/>
                <w:sz w:val="22"/>
                <w:szCs w:val="22"/>
              </w:rPr>
            </w:pPr>
          </w:p>
        </w:tc>
        <w:tc>
          <w:tcPr>
            <w:tcW w:w="2075" w:type="dxa"/>
          </w:tcPr>
          <w:p w14:paraId="6C366370" w14:textId="77777777" w:rsidR="00F37159" w:rsidRPr="001B7D5F" w:rsidRDefault="00F37159" w:rsidP="00A70546">
            <w:pPr>
              <w:pStyle w:val="BodyText"/>
              <w:spacing w:after="0"/>
            </w:pPr>
            <w:r w:rsidRPr="001B7D5F">
              <w:t>4 weeks</w:t>
            </w:r>
          </w:p>
        </w:tc>
      </w:tr>
      <w:tr w:rsidR="00F37159" w:rsidRPr="001B7D5F" w14:paraId="260C2B65" w14:textId="77777777" w:rsidTr="002B1B49">
        <w:tc>
          <w:tcPr>
            <w:tcW w:w="1980" w:type="dxa"/>
          </w:tcPr>
          <w:p w14:paraId="5B504170" w14:textId="77777777" w:rsidR="00F37159" w:rsidRPr="001B7D5F" w:rsidRDefault="00F37159" w:rsidP="00A70546">
            <w:r w:rsidRPr="001B7D5F">
              <w:rPr>
                <w:b/>
                <w:bCs/>
                <w:sz w:val="22"/>
              </w:rPr>
              <w:t>2b. Development of initiative business case(s)</w:t>
            </w:r>
          </w:p>
        </w:tc>
        <w:tc>
          <w:tcPr>
            <w:tcW w:w="4961" w:type="dxa"/>
          </w:tcPr>
          <w:p w14:paraId="30EB569B" w14:textId="77777777" w:rsidR="00F37159" w:rsidRPr="001B7D5F" w:rsidRDefault="00F37159" w:rsidP="00A70546">
            <w:pPr>
              <w:rPr>
                <w:rFonts w:cstheme="minorHAnsi"/>
                <w:sz w:val="22"/>
                <w:szCs w:val="22"/>
              </w:rPr>
            </w:pPr>
            <w:r w:rsidRPr="001B7D5F">
              <w:rPr>
                <w:rFonts w:cstheme="minorHAnsi"/>
                <w:sz w:val="22"/>
                <w:szCs w:val="22"/>
              </w:rPr>
              <w:t xml:space="preserve">Development of a business case including a project implementation plan. </w:t>
            </w:r>
          </w:p>
          <w:p w14:paraId="4F6647E2" w14:textId="77777777" w:rsidR="00F37159" w:rsidRPr="001B7D5F" w:rsidRDefault="00F37159" w:rsidP="00A70546">
            <w:pPr>
              <w:rPr>
                <w:rFonts w:cstheme="minorHAnsi"/>
                <w:sz w:val="22"/>
                <w:szCs w:val="22"/>
              </w:rPr>
            </w:pPr>
          </w:p>
          <w:p w14:paraId="21E07F32" w14:textId="77777777" w:rsidR="00F37159" w:rsidRPr="001B7D5F" w:rsidRDefault="00F37159" w:rsidP="00A70546">
            <w:pPr>
              <w:rPr>
                <w:rFonts w:cstheme="minorHAnsi"/>
                <w:sz w:val="22"/>
                <w:szCs w:val="22"/>
              </w:rPr>
            </w:pPr>
            <w:r w:rsidRPr="001B7D5F">
              <w:rPr>
                <w:rFonts w:cstheme="minorHAnsi"/>
                <w:sz w:val="22"/>
                <w:szCs w:val="22"/>
              </w:rPr>
              <w:t>This may require the development of a number of interlinked business cases, for instance where:</w:t>
            </w:r>
          </w:p>
          <w:p w14:paraId="3C7C6FB1" w14:textId="5B3B6B4B" w:rsidR="00F37159" w:rsidRPr="001B7D5F" w:rsidRDefault="00F37159" w:rsidP="00A70546">
            <w:pPr>
              <w:pStyle w:val="ListParagraph"/>
              <w:keepLines/>
              <w:numPr>
                <w:ilvl w:val="0"/>
                <w:numId w:val="11"/>
              </w:numPr>
              <w:rPr>
                <w:rFonts w:cstheme="minorHAnsi"/>
                <w:sz w:val="22"/>
                <w:szCs w:val="22"/>
              </w:rPr>
            </w:pPr>
            <w:r w:rsidRPr="001B7D5F">
              <w:rPr>
                <w:rFonts w:cstheme="minorHAnsi"/>
                <w:sz w:val="22"/>
                <w:szCs w:val="22"/>
              </w:rPr>
              <w:t xml:space="preserve">Business case funding is sought under the Agreement for national </w:t>
            </w:r>
            <w:r w:rsidR="00483546" w:rsidRPr="001B7D5F">
              <w:rPr>
                <w:rFonts w:cstheme="minorHAnsi"/>
                <w:sz w:val="22"/>
                <w:szCs w:val="22"/>
              </w:rPr>
              <w:t xml:space="preserve">foundations </w:t>
            </w:r>
            <w:r w:rsidRPr="001B7D5F">
              <w:rPr>
                <w:rFonts w:cstheme="minorHAnsi"/>
                <w:sz w:val="22"/>
                <w:szCs w:val="22"/>
              </w:rPr>
              <w:t>and services enhancements or resourcing support from</w:t>
            </w:r>
            <w:r w:rsidR="00483546" w:rsidRPr="001B7D5F">
              <w:rPr>
                <w:rFonts w:cstheme="minorHAnsi"/>
                <w:sz w:val="22"/>
                <w:szCs w:val="22"/>
              </w:rPr>
              <w:t xml:space="preserve"> the Australian Digital Health Agency,</w:t>
            </w:r>
            <w:r w:rsidRPr="001B7D5F">
              <w:rPr>
                <w:rFonts w:cstheme="minorHAnsi"/>
                <w:sz w:val="22"/>
                <w:szCs w:val="22"/>
              </w:rPr>
              <w:t xml:space="preserve"> Services Australia</w:t>
            </w:r>
            <w:r w:rsidR="00483546" w:rsidRPr="001B7D5F">
              <w:rPr>
                <w:rFonts w:cstheme="minorHAnsi"/>
                <w:sz w:val="22"/>
                <w:szCs w:val="22"/>
              </w:rPr>
              <w:t xml:space="preserve"> or Healthdirect</w:t>
            </w:r>
            <w:r w:rsidR="00F66AD2" w:rsidRPr="001B7D5F">
              <w:rPr>
                <w:rFonts w:cstheme="minorHAnsi"/>
                <w:sz w:val="22"/>
                <w:szCs w:val="22"/>
              </w:rPr>
              <w:t xml:space="preserve"> Australia</w:t>
            </w:r>
            <w:r w:rsidRPr="001B7D5F">
              <w:rPr>
                <w:rFonts w:cstheme="minorHAnsi"/>
                <w:sz w:val="22"/>
                <w:szCs w:val="22"/>
              </w:rPr>
              <w:t>.</w:t>
            </w:r>
          </w:p>
          <w:p w14:paraId="0CD59A91" w14:textId="63DE6CC5" w:rsidR="00F37159" w:rsidRPr="001B7D5F" w:rsidRDefault="00F37159" w:rsidP="00A70546">
            <w:pPr>
              <w:pStyle w:val="ListParagraph"/>
              <w:keepLines/>
              <w:numPr>
                <w:ilvl w:val="0"/>
                <w:numId w:val="11"/>
              </w:numPr>
              <w:rPr>
                <w:rFonts w:cstheme="minorHAnsi"/>
                <w:sz w:val="22"/>
                <w:szCs w:val="22"/>
              </w:rPr>
            </w:pPr>
            <w:r w:rsidRPr="001B7D5F">
              <w:rPr>
                <w:rFonts w:cstheme="minorHAnsi"/>
                <w:sz w:val="22"/>
                <w:szCs w:val="22"/>
              </w:rPr>
              <w:t xml:space="preserve">A business case(s) for funding is in parallel sourced from within </w:t>
            </w:r>
            <w:r w:rsidR="0094182F" w:rsidRPr="001B7D5F">
              <w:rPr>
                <w:rFonts w:cstheme="minorHAnsi"/>
                <w:sz w:val="22"/>
                <w:szCs w:val="22"/>
              </w:rPr>
              <w:t>Partie</w:t>
            </w:r>
            <w:r w:rsidRPr="001B7D5F">
              <w:rPr>
                <w:rFonts w:cstheme="minorHAnsi"/>
                <w:sz w:val="22"/>
                <w:szCs w:val="22"/>
              </w:rPr>
              <w:t xml:space="preserve">s for co-contribution to the initiative.  </w:t>
            </w:r>
          </w:p>
          <w:p w14:paraId="7997682A" w14:textId="77777777" w:rsidR="00F37159" w:rsidRPr="001B7D5F" w:rsidRDefault="00F37159" w:rsidP="00A70546">
            <w:pPr>
              <w:rPr>
                <w:rFonts w:cstheme="minorHAnsi"/>
                <w:sz w:val="22"/>
                <w:szCs w:val="22"/>
              </w:rPr>
            </w:pPr>
          </w:p>
          <w:p w14:paraId="40841C01" w14:textId="77777777" w:rsidR="00F37159" w:rsidRPr="001B7D5F" w:rsidRDefault="00F37159" w:rsidP="00A70546">
            <w:pPr>
              <w:rPr>
                <w:rFonts w:cstheme="minorHAnsi"/>
                <w:sz w:val="22"/>
                <w:szCs w:val="22"/>
              </w:rPr>
            </w:pPr>
            <w:r w:rsidRPr="001B7D5F">
              <w:rPr>
                <w:rFonts w:cstheme="minorHAnsi"/>
                <w:sz w:val="22"/>
                <w:szCs w:val="22"/>
              </w:rPr>
              <w:t>Options for developing the business case:</w:t>
            </w:r>
          </w:p>
          <w:p w14:paraId="273318DF" w14:textId="76EE0490" w:rsidR="00F37159" w:rsidRPr="001B7D5F" w:rsidRDefault="00F37159" w:rsidP="00A70546">
            <w:pPr>
              <w:pStyle w:val="ListParagraph"/>
              <w:keepLines/>
              <w:numPr>
                <w:ilvl w:val="0"/>
                <w:numId w:val="11"/>
              </w:numPr>
              <w:rPr>
                <w:rFonts w:cstheme="minorHAnsi"/>
                <w:sz w:val="22"/>
                <w:szCs w:val="22"/>
              </w:rPr>
            </w:pPr>
            <w:r w:rsidRPr="001B7D5F">
              <w:rPr>
                <w:rFonts w:cstheme="minorHAnsi"/>
                <w:sz w:val="22"/>
                <w:szCs w:val="22"/>
              </w:rPr>
              <w:t xml:space="preserve">Developed by </w:t>
            </w:r>
            <w:r w:rsidR="0094182F" w:rsidRPr="001B7D5F">
              <w:rPr>
                <w:rFonts w:cstheme="minorHAnsi"/>
                <w:sz w:val="22"/>
                <w:szCs w:val="22"/>
              </w:rPr>
              <w:t>D</w:t>
            </w:r>
            <w:r w:rsidR="00F53382" w:rsidRPr="001B7D5F">
              <w:rPr>
                <w:rFonts w:cstheme="minorHAnsi"/>
                <w:sz w:val="22"/>
                <w:szCs w:val="22"/>
              </w:rPr>
              <w:t xml:space="preserve">elivery </w:t>
            </w:r>
            <w:r w:rsidR="0094182F" w:rsidRPr="001B7D5F">
              <w:rPr>
                <w:rFonts w:cstheme="minorHAnsi"/>
                <w:sz w:val="22"/>
                <w:szCs w:val="22"/>
              </w:rPr>
              <w:t>P</w:t>
            </w:r>
            <w:r w:rsidR="00F53382" w:rsidRPr="001B7D5F">
              <w:rPr>
                <w:rFonts w:cstheme="minorHAnsi"/>
                <w:sz w:val="22"/>
                <w:szCs w:val="22"/>
              </w:rPr>
              <w:t>artners</w:t>
            </w:r>
            <w:r w:rsidRPr="001B7D5F">
              <w:rPr>
                <w:rFonts w:cstheme="minorHAnsi"/>
                <w:sz w:val="22"/>
                <w:szCs w:val="22"/>
              </w:rPr>
              <w:t xml:space="preserve"> where it relates to national </w:t>
            </w:r>
            <w:r w:rsidR="00483546" w:rsidRPr="001B7D5F">
              <w:rPr>
                <w:rFonts w:cstheme="minorHAnsi"/>
                <w:sz w:val="22"/>
                <w:szCs w:val="22"/>
              </w:rPr>
              <w:t>foundations</w:t>
            </w:r>
            <w:r w:rsidRPr="001B7D5F">
              <w:rPr>
                <w:rFonts w:cstheme="minorHAnsi"/>
                <w:sz w:val="22"/>
                <w:szCs w:val="22"/>
              </w:rPr>
              <w:t xml:space="preserve"> or digital services operated and managed by these</w:t>
            </w:r>
            <w:r w:rsidR="00483546" w:rsidRPr="001B7D5F">
              <w:rPr>
                <w:rFonts w:cstheme="minorHAnsi"/>
                <w:sz w:val="22"/>
                <w:szCs w:val="22"/>
              </w:rPr>
              <w:t xml:space="preserve"> Delivery Partners</w:t>
            </w:r>
            <w:r w:rsidRPr="001B7D5F">
              <w:rPr>
                <w:rFonts w:cstheme="minorHAnsi"/>
                <w:sz w:val="22"/>
                <w:szCs w:val="22"/>
              </w:rPr>
              <w:t>.</w:t>
            </w:r>
          </w:p>
          <w:p w14:paraId="6E4DF9ED" w14:textId="3A577A8A" w:rsidR="00F37159" w:rsidRPr="001B7D5F" w:rsidRDefault="00F37159" w:rsidP="00A70546">
            <w:pPr>
              <w:pStyle w:val="ListParagraph"/>
              <w:keepLines/>
              <w:numPr>
                <w:ilvl w:val="0"/>
                <w:numId w:val="11"/>
              </w:numPr>
              <w:rPr>
                <w:rFonts w:cstheme="minorHAnsi"/>
                <w:sz w:val="22"/>
                <w:szCs w:val="22"/>
              </w:rPr>
            </w:pPr>
            <w:r w:rsidRPr="001B7D5F">
              <w:rPr>
                <w:rFonts w:cstheme="minorHAnsi"/>
                <w:sz w:val="22"/>
                <w:szCs w:val="22"/>
              </w:rPr>
              <w:t xml:space="preserve">Developed by the nominated </w:t>
            </w:r>
            <w:r w:rsidR="0094182F" w:rsidRPr="001B7D5F">
              <w:rPr>
                <w:rFonts w:cstheme="minorHAnsi"/>
                <w:sz w:val="22"/>
                <w:szCs w:val="22"/>
              </w:rPr>
              <w:t xml:space="preserve">Party </w:t>
            </w:r>
            <w:r w:rsidRPr="001B7D5F">
              <w:rPr>
                <w:rFonts w:cstheme="minorHAnsi"/>
                <w:sz w:val="22"/>
                <w:szCs w:val="22"/>
              </w:rPr>
              <w:t>who will lead the initiative.</w:t>
            </w:r>
          </w:p>
          <w:p w14:paraId="20A8E461" w14:textId="636E5D05" w:rsidR="00F37159" w:rsidRPr="001B7D5F" w:rsidRDefault="00F37159" w:rsidP="00A70546">
            <w:pPr>
              <w:pStyle w:val="ListParagraph"/>
              <w:keepLines/>
              <w:numPr>
                <w:ilvl w:val="0"/>
                <w:numId w:val="11"/>
              </w:numPr>
              <w:rPr>
                <w:rFonts w:cstheme="minorHAnsi"/>
                <w:sz w:val="22"/>
                <w:szCs w:val="22"/>
              </w:rPr>
            </w:pPr>
            <w:r w:rsidRPr="001B7D5F">
              <w:rPr>
                <w:rFonts w:cstheme="minorHAnsi"/>
                <w:sz w:val="22"/>
                <w:szCs w:val="22"/>
              </w:rPr>
              <w:t>Developed by another</w:t>
            </w:r>
            <w:r w:rsidR="0094182F" w:rsidRPr="001B7D5F">
              <w:rPr>
                <w:rFonts w:cstheme="minorHAnsi"/>
                <w:sz w:val="22"/>
                <w:szCs w:val="22"/>
              </w:rPr>
              <w:t xml:space="preserve"> Party</w:t>
            </w:r>
            <w:r w:rsidRPr="001B7D5F">
              <w:rPr>
                <w:rFonts w:cstheme="minorHAnsi"/>
                <w:sz w:val="22"/>
                <w:szCs w:val="22"/>
              </w:rPr>
              <w:t>, in partnership with the lead</w:t>
            </w:r>
            <w:r w:rsidR="0094182F" w:rsidRPr="001B7D5F">
              <w:rPr>
                <w:rFonts w:cstheme="minorHAnsi"/>
                <w:sz w:val="22"/>
                <w:szCs w:val="22"/>
              </w:rPr>
              <w:t xml:space="preserve"> Party</w:t>
            </w:r>
            <w:r w:rsidRPr="001B7D5F">
              <w:rPr>
                <w:rFonts w:cstheme="minorHAnsi"/>
                <w:sz w:val="22"/>
                <w:szCs w:val="22"/>
              </w:rPr>
              <w:t xml:space="preserve">.  </w:t>
            </w:r>
          </w:p>
          <w:p w14:paraId="732341AC" w14:textId="77777777" w:rsidR="00F37159" w:rsidRPr="001B7D5F" w:rsidRDefault="00F37159" w:rsidP="00A70546">
            <w:pPr>
              <w:rPr>
                <w:rFonts w:cstheme="minorHAnsi"/>
                <w:sz w:val="22"/>
                <w:szCs w:val="22"/>
              </w:rPr>
            </w:pPr>
          </w:p>
          <w:p w14:paraId="2A9B6AE2" w14:textId="77777777" w:rsidR="00F37159" w:rsidRPr="001B7D5F" w:rsidRDefault="00F37159" w:rsidP="00A70546">
            <w:pPr>
              <w:rPr>
                <w:rFonts w:cstheme="minorHAnsi"/>
                <w:sz w:val="22"/>
                <w:szCs w:val="22"/>
              </w:rPr>
            </w:pPr>
            <w:r w:rsidRPr="001B7D5F">
              <w:rPr>
                <w:rFonts w:cstheme="minorHAnsi"/>
                <w:sz w:val="22"/>
                <w:szCs w:val="22"/>
              </w:rPr>
              <w:t>Where a national business case is being developed, all agencies and jurisdictions may be engaged in its development to validate benefits, costs and the implementation approach.</w:t>
            </w:r>
          </w:p>
          <w:p w14:paraId="27601C45" w14:textId="77777777" w:rsidR="00F37159" w:rsidRPr="001B7D5F" w:rsidRDefault="00F37159" w:rsidP="00A70546">
            <w:pPr>
              <w:rPr>
                <w:rFonts w:cstheme="minorHAnsi"/>
                <w:sz w:val="22"/>
                <w:szCs w:val="22"/>
              </w:rPr>
            </w:pPr>
          </w:p>
        </w:tc>
        <w:tc>
          <w:tcPr>
            <w:tcW w:w="2075" w:type="dxa"/>
          </w:tcPr>
          <w:p w14:paraId="2D295770" w14:textId="77777777" w:rsidR="00F37159" w:rsidRPr="001B7D5F" w:rsidRDefault="00F37159" w:rsidP="00A70546">
            <w:pPr>
              <w:pStyle w:val="BodyText"/>
              <w:spacing w:after="0"/>
            </w:pPr>
            <w:r w:rsidRPr="001B7D5F">
              <w:t>8 - 14 weeks</w:t>
            </w:r>
          </w:p>
        </w:tc>
      </w:tr>
      <w:tr w:rsidR="00F37159" w:rsidRPr="001B7D5F" w14:paraId="756C9B5A" w14:textId="77777777" w:rsidTr="002B1B49">
        <w:tc>
          <w:tcPr>
            <w:tcW w:w="1980" w:type="dxa"/>
          </w:tcPr>
          <w:p w14:paraId="3BE99503" w14:textId="77777777" w:rsidR="00F37159" w:rsidRPr="001B7D5F" w:rsidRDefault="00F37159" w:rsidP="00A70546">
            <w:r w:rsidRPr="001B7D5F">
              <w:rPr>
                <w:b/>
                <w:bCs/>
                <w:sz w:val="22"/>
              </w:rPr>
              <w:t>3. Independent Business Case Gateway Review</w:t>
            </w:r>
            <w:r w:rsidRPr="001B7D5F">
              <w:t xml:space="preserve"> </w:t>
            </w:r>
          </w:p>
        </w:tc>
        <w:tc>
          <w:tcPr>
            <w:tcW w:w="4961" w:type="dxa"/>
          </w:tcPr>
          <w:p w14:paraId="0B066D55" w14:textId="3DE337E9" w:rsidR="00F37159" w:rsidRPr="001B7D5F" w:rsidRDefault="00F37159" w:rsidP="00A70546">
            <w:pPr>
              <w:rPr>
                <w:rFonts w:cstheme="minorHAnsi"/>
                <w:sz w:val="22"/>
                <w:szCs w:val="22"/>
              </w:rPr>
            </w:pPr>
            <w:r w:rsidRPr="001B7D5F">
              <w:rPr>
                <w:rFonts w:cstheme="minorHAnsi"/>
                <w:sz w:val="22"/>
                <w:szCs w:val="22"/>
              </w:rPr>
              <w:t>Independent review and assurance of the business case to confirm the case for change is robust</w:t>
            </w:r>
            <w:r w:rsidR="00F66AD2" w:rsidRPr="001B7D5F">
              <w:rPr>
                <w:rFonts w:cstheme="minorHAnsi"/>
                <w:sz w:val="22"/>
                <w:szCs w:val="22"/>
              </w:rPr>
              <w:t>;</w:t>
            </w:r>
            <w:r w:rsidRPr="001B7D5F">
              <w:rPr>
                <w:rFonts w:cstheme="minorHAnsi"/>
                <w:sz w:val="22"/>
                <w:szCs w:val="22"/>
              </w:rPr>
              <w:t xml:space="preserve"> </w:t>
            </w:r>
            <w:r w:rsidR="00F66AD2" w:rsidRPr="001B7D5F">
              <w:rPr>
                <w:rFonts w:cstheme="minorHAnsi"/>
                <w:sz w:val="22"/>
                <w:szCs w:val="22"/>
              </w:rPr>
              <w:t xml:space="preserve">that </w:t>
            </w:r>
            <w:r w:rsidRPr="001B7D5F">
              <w:rPr>
                <w:rFonts w:cstheme="minorHAnsi"/>
                <w:sz w:val="22"/>
                <w:szCs w:val="22"/>
              </w:rPr>
              <w:t>the initiative is feasible</w:t>
            </w:r>
            <w:r w:rsidR="001C2EB2" w:rsidRPr="001B7D5F">
              <w:rPr>
                <w:rFonts w:cstheme="minorHAnsi"/>
                <w:sz w:val="22"/>
                <w:szCs w:val="22"/>
              </w:rPr>
              <w:t>,</w:t>
            </w:r>
            <w:r w:rsidR="00F66AD2" w:rsidRPr="001B7D5F">
              <w:rPr>
                <w:rFonts w:cstheme="minorHAnsi"/>
                <w:sz w:val="22"/>
                <w:szCs w:val="22"/>
              </w:rPr>
              <w:t xml:space="preserve"> </w:t>
            </w:r>
            <w:r w:rsidRPr="001B7D5F">
              <w:rPr>
                <w:rFonts w:cstheme="minorHAnsi"/>
                <w:sz w:val="22"/>
                <w:szCs w:val="22"/>
              </w:rPr>
              <w:t>deliverable</w:t>
            </w:r>
            <w:r w:rsidR="00F66AD2" w:rsidRPr="001B7D5F">
              <w:rPr>
                <w:rFonts w:cstheme="minorHAnsi"/>
                <w:sz w:val="22"/>
                <w:szCs w:val="22"/>
              </w:rPr>
              <w:t>, and</w:t>
            </w:r>
            <w:r w:rsidRPr="001B7D5F">
              <w:rPr>
                <w:rFonts w:cstheme="minorHAnsi"/>
                <w:sz w:val="22"/>
                <w:szCs w:val="22"/>
              </w:rPr>
              <w:t xml:space="preserve"> represents </w:t>
            </w:r>
            <w:r w:rsidRPr="001B7D5F">
              <w:rPr>
                <w:rFonts w:cstheme="minorHAnsi"/>
                <w:sz w:val="22"/>
                <w:szCs w:val="22"/>
              </w:rPr>
              <w:lastRenderedPageBreak/>
              <w:t>value for money</w:t>
            </w:r>
            <w:r w:rsidR="00F66AD2" w:rsidRPr="001B7D5F">
              <w:rPr>
                <w:rFonts w:cstheme="minorHAnsi"/>
                <w:sz w:val="22"/>
                <w:szCs w:val="22"/>
              </w:rPr>
              <w:t>;</w:t>
            </w:r>
            <w:r w:rsidRPr="001B7D5F">
              <w:rPr>
                <w:rFonts w:cstheme="minorHAnsi"/>
                <w:sz w:val="22"/>
                <w:szCs w:val="22"/>
              </w:rPr>
              <w:t xml:space="preserve"> and that alternative solution and delivery options have been assessed. </w:t>
            </w:r>
          </w:p>
          <w:p w14:paraId="109D162C" w14:textId="77777777" w:rsidR="00F37159" w:rsidRPr="001B7D5F" w:rsidRDefault="00F37159" w:rsidP="00A70546">
            <w:pPr>
              <w:rPr>
                <w:rFonts w:cstheme="minorHAnsi"/>
                <w:sz w:val="22"/>
                <w:szCs w:val="22"/>
              </w:rPr>
            </w:pPr>
          </w:p>
          <w:p w14:paraId="7568439D" w14:textId="77777777" w:rsidR="00F37159" w:rsidRPr="001B7D5F" w:rsidRDefault="00F37159" w:rsidP="00A70546">
            <w:pPr>
              <w:rPr>
                <w:rFonts w:cstheme="minorHAnsi"/>
                <w:sz w:val="22"/>
                <w:szCs w:val="22"/>
              </w:rPr>
            </w:pPr>
            <w:r w:rsidRPr="001B7D5F">
              <w:rPr>
                <w:rFonts w:cstheme="minorHAnsi"/>
                <w:sz w:val="22"/>
                <w:szCs w:val="22"/>
              </w:rPr>
              <w:t>Options for delivering an independent business case gateway review include:</w:t>
            </w:r>
          </w:p>
          <w:p w14:paraId="3BF6CFA1" w14:textId="68450F36" w:rsidR="00F37159" w:rsidRPr="001B7D5F" w:rsidRDefault="00F37159" w:rsidP="00A70546">
            <w:pPr>
              <w:pStyle w:val="ListParagraph"/>
              <w:keepLines/>
              <w:numPr>
                <w:ilvl w:val="0"/>
                <w:numId w:val="11"/>
              </w:numPr>
              <w:rPr>
                <w:rFonts w:cstheme="minorHAnsi"/>
                <w:sz w:val="22"/>
                <w:szCs w:val="22"/>
              </w:rPr>
            </w:pPr>
            <w:r w:rsidRPr="001B7D5F">
              <w:rPr>
                <w:rFonts w:cstheme="minorHAnsi"/>
                <w:sz w:val="22"/>
                <w:szCs w:val="22"/>
              </w:rPr>
              <w:t>Assessed by</w:t>
            </w:r>
            <w:r w:rsidR="00483546" w:rsidRPr="001B7D5F">
              <w:rPr>
                <w:rFonts w:cstheme="minorHAnsi"/>
                <w:sz w:val="22"/>
                <w:szCs w:val="22"/>
              </w:rPr>
              <w:t xml:space="preserve"> a Delivery Partner</w:t>
            </w:r>
          </w:p>
          <w:p w14:paraId="2D9C6B17" w14:textId="3C658BCB" w:rsidR="00F37159" w:rsidRPr="001B7D5F" w:rsidRDefault="00F37159" w:rsidP="00A70546">
            <w:pPr>
              <w:pStyle w:val="ListParagraph"/>
              <w:keepLines/>
              <w:numPr>
                <w:ilvl w:val="0"/>
                <w:numId w:val="11"/>
              </w:numPr>
              <w:rPr>
                <w:rFonts w:cstheme="minorHAnsi"/>
                <w:sz w:val="22"/>
                <w:szCs w:val="22"/>
              </w:rPr>
            </w:pPr>
            <w:r w:rsidRPr="001B7D5F">
              <w:rPr>
                <w:rFonts w:cstheme="minorHAnsi"/>
                <w:sz w:val="22"/>
                <w:szCs w:val="22"/>
              </w:rPr>
              <w:t xml:space="preserve">Assessed by another nominated </w:t>
            </w:r>
            <w:r w:rsidR="0094182F" w:rsidRPr="001B7D5F">
              <w:rPr>
                <w:rFonts w:cstheme="minorHAnsi"/>
                <w:sz w:val="22"/>
                <w:szCs w:val="22"/>
              </w:rPr>
              <w:t>Party</w:t>
            </w:r>
          </w:p>
          <w:p w14:paraId="10AD88B9" w14:textId="77777777" w:rsidR="00F37159" w:rsidRPr="001B7D5F" w:rsidRDefault="00F37159" w:rsidP="00A70546">
            <w:pPr>
              <w:rPr>
                <w:rFonts w:cstheme="minorHAnsi"/>
                <w:sz w:val="22"/>
                <w:szCs w:val="22"/>
              </w:rPr>
            </w:pPr>
          </w:p>
          <w:p w14:paraId="6C62EE28" w14:textId="7D7FB821" w:rsidR="00F37159" w:rsidRPr="001B7D5F" w:rsidRDefault="00F37159" w:rsidP="00A70546">
            <w:pPr>
              <w:rPr>
                <w:rFonts w:cstheme="minorHAnsi"/>
                <w:sz w:val="22"/>
                <w:szCs w:val="22"/>
              </w:rPr>
            </w:pPr>
            <w:r w:rsidRPr="001B7D5F">
              <w:rPr>
                <w:rFonts w:cstheme="minorHAnsi"/>
                <w:sz w:val="22"/>
                <w:szCs w:val="22"/>
              </w:rPr>
              <w:t xml:space="preserve">At this stage the business case could also be shared with all other agencies and jurisdictions for comments and feedback prior to submission to the </w:t>
            </w:r>
            <w:r w:rsidR="0094182F" w:rsidRPr="001B7D5F">
              <w:rPr>
                <w:rFonts w:cstheme="minorHAnsi"/>
                <w:sz w:val="22"/>
                <w:szCs w:val="22"/>
              </w:rPr>
              <w:t xml:space="preserve">Oversight </w:t>
            </w:r>
            <w:r w:rsidRPr="001B7D5F">
              <w:rPr>
                <w:rFonts w:cstheme="minorHAnsi"/>
                <w:sz w:val="22"/>
                <w:szCs w:val="22"/>
              </w:rPr>
              <w:t>Committee, as a further validation exercise.</w:t>
            </w:r>
          </w:p>
          <w:p w14:paraId="2A576347" w14:textId="77777777" w:rsidR="00F37159" w:rsidRPr="001B7D5F" w:rsidRDefault="00F37159" w:rsidP="00A70546">
            <w:pPr>
              <w:rPr>
                <w:rFonts w:cstheme="minorHAnsi"/>
                <w:sz w:val="22"/>
                <w:szCs w:val="22"/>
              </w:rPr>
            </w:pPr>
          </w:p>
          <w:p w14:paraId="75886040" w14:textId="5B322CD6" w:rsidR="00F37159" w:rsidRPr="001B7D5F" w:rsidRDefault="00F37159" w:rsidP="00A70546">
            <w:pPr>
              <w:rPr>
                <w:rFonts w:cstheme="minorHAnsi"/>
                <w:sz w:val="22"/>
                <w:szCs w:val="22"/>
              </w:rPr>
            </w:pPr>
            <w:r w:rsidRPr="001B7D5F">
              <w:rPr>
                <w:rFonts w:cstheme="minorHAnsi"/>
                <w:sz w:val="22"/>
                <w:szCs w:val="22"/>
              </w:rPr>
              <w:t xml:space="preserve">The </w:t>
            </w:r>
            <w:r w:rsidR="0094182F" w:rsidRPr="001B7D5F">
              <w:rPr>
                <w:rFonts w:cstheme="minorHAnsi"/>
                <w:sz w:val="22"/>
                <w:szCs w:val="22"/>
              </w:rPr>
              <w:t>Party-</w:t>
            </w:r>
            <w:r w:rsidRPr="001B7D5F">
              <w:rPr>
                <w:rFonts w:cstheme="minorHAnsi"/>
                <w:sz w:val="22"/>
                <w:szCs w:val="22"/>
              </w:rPr>
              <w:t xml:space="preserve">level business case will go through the relevant gateway assurance processes within </w:t>
            </w:r>
            <w:r w:rsidR="0094182F" w:rsidRPr="001B7D5F">
              <w:rPr>
                <w:rFonts w:cstheme="minorHAnsi"/>
                <w:sz w:val="22"/>
                <w:szCs w:val="22"/>
              </w:rPr>
              <w:t xml:space="preserve">its respective </w:t>
            </w:r>
            <w:r w:rsidRPr="001B7D5F">
              <w:rPr>
                <w:rFonts w:cstheme="minorHAnsi"/>
                <w:sz w:val="22"/>
                <w:szCs w:val="22"/>
              </w:rPr>
              <w:t>jurisdiction.</w:t>
            </w:r>
          </w:p>
          <w:p w14:paraId="0BE15FB4" w14:textId="77777777" w:rsidR="00F37159" w:rsidRPr="001B7D5F" w:rsidRDefault="00F37159" w:rsidP="00A70546">
            <w:pPr>
              <w:rPr>
                <w:rFonts w:cstheme="minorHAnsi"/>
                <w:sz w:val="22"/>
                <w:szCs w:val="22"/>
              </w:rPr>
            </w:pPr>
          </w:p>
        </w:tc>
        <w:tc>
          <w:tcPr>
            <w:tcW w:w="2075" w:type="dxa"/>
          </w:tcPr>
          <w:p w14:paraId="602137F5" w14:textId="77777777" w:rsidR="00F37159" w:rsidRPr="001B7D5F" w:rsidRDefault="00F37159" w:rsidP="00A70546">
            <w:pPr>
              <w:pStyle w:val="BodyText"/>
              <w:spacing w:after="0"/>
            </w:pPr>
            <w:r w:rsidRPr="001B7D5F">
              <w:lastRenderedPageBreak/>
              <w:t>2 – 4 weeks</w:t>
            </w:r>
          </w:p>
        </w:tc>
      </w:tr>
      <w:tr w:rsidR="00F37159" w14:paraId="28AF478E" w14:textId="77777777" w:rsidTr="002B1B49">
        <w:tc>
          <w:tcPr>
            <w:tcW w:w="1980" w:type="dxa"/>
          </w:tcPr>
          <w:p w14:paraId="6290B45E" w14:textId="79DDC465" w:rsidR="00F37159" w:rsidRPr="001B7D5F" w:rsidRDefault="00F37159" w:rsidP="00A70546">
            <w:r w:rsidRPr="001B7D5F">
              <w:rPr>
                <w:b/>
                <w:bCs/>
                <w:sz w:val="22"/>
              </w:rPr>
              <w:t>4. Oversight Committee Endorsement of Business Case</w:t>
            </w:r>
          </w:p>
        </w:tc>
        <w:tc>
          <w:tcPr>
            <w:tcW w:w="4961" w:type="dxa"/>
          </w:tcPr>
          <w:p w14:paraId="646470E8" w14:textId="2EEEF465" w:rsidR="00F37159" w:rsidRPr="001B7D5F" w:rsidRDefault="00F37159" w:rsidP="00A70546">
            <w:pPr>
              <w:rPr>
                <w:sz w:val="22"/>
              </w:rPr>
            </w:pPr>
            <w:r w:rsidRPr="001B7D5F">
              <w:rPr>
                <w:sz w:val="22"/>
              </w:rPr>
              <w:t>The business case and gateway review are presented to the Oversight Committee for endorsement of funding for the development and implementation of the initiative.</w:t>
            </w:r>
          </w:p>
          <w:p w14:paraId="7C4C70A9" w14:textId="77777777" w:rsidR="00F37159" w:rsidRPr="001B7D5F" w:rsidRDefault="00F37159" w:rsidP="00A70546">
            <w:pPr>
              <w:rPr>
                <w:sz w:val="22"/>
              </w:rPr>
            </w:pPr>
          </w:p>
          <w:p w14:paraId="1B8AF151" w14:textId="6A951D2A" w:rsidR="00F37159" w:rsidRPr="001B7D5F" w:rsidRDefault="00F37159" w:rsidP="00A70546">
            <w:pPr>
              <w:rPr>
                <w:rFonts w:cstheme="minorHAnsi"/>
                <w:szCs w:val="22"/>
              </w:rPr>
            </w:pPr>
            <w:r w:rsidRPr="001B7D5F">
              <w:rPr>
                <w:sz w:val="22"/>
              </w:rPr>
              <w:t>Where a business case is inter-related to a jurisdiction business case, a business case can be endorsed subject to jurisdiction</w:t>
            </w:r>
            <w:r w:rsidR="0094182F" w:rsidRPr="001B7D5F">
              <w:rPr>
                <w:sz w:val="22"/>
              </w:rPr>
              <w:t>al</w:t>
            </w:r>
            <w:r w:rsidRPr="001B7D5F">
              <w:rPr>
                <w:sz w:val="22"/>
              </w:rPr>
              <w:t xml:space="preserve"> funding also being approved.</w:t>
            </w:r>
            <w:r w:rsidRPr="001B7D5F">
              <w:rPr>
                <w:rFonts w:cstheme="minorHAnsi"/>
                <w:szCs w:val="22"/>
              </w:rPr>
              <w:t xml:space="preserve"> </w:t>
            </w:r>
          </w:p>
        </w:tc>
        <w:tc>
          <w:tcPr>
            <w:tcW w:w="2075" w:type="dxa"/>
          </w:tcPr>
          <w:p w14:paraId="3C5875E3" w14:textId="6690681F" w:rsidR="00F37159" w:rsidRDefault="00F37159" w:rsidP="00A70546">
            <w:pPr>
              <w:pStyle w:val="BodyText"/>
              <w:spacing w:after="0"/>
            </w:pPr>
            <w:r w:rsidRPr="001B7D5F">
              <w:t xml:space="preserve">Aligned to Oversight Committee </w:t>
            </w:r>
            <w:r w:rsidR="00483546" w:rsidRPr="001B7D5F">
              <w:t>Meeting S</w:t>
            </w:r>
            <w:r w:rsidRPr="001B7D5F">
              <w:t>chedule</w:t>
            </w:r>
          </w:p>
        </w:tc>
      </w:tr>
    </w:tbl>
    <w:p w14:paraId="527E666F" w14:textId="41B69E16" w:rsidR="004F716F" w:rsidRPr="00655A0F" w:rsidRDefault="004F716F" w:rsidP="00A70546">
      <w:pPr>
        <w:pStyle w:val="BodyText"/>
      </w:pPr>
    </w:p>
    <w:sectPr w:rsidR="004F716F" w:rsidRPr="00655A0F" w:rsidSect="00EF6205">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6501A" w14:textId="77777777" w:rsidR="00C12E34" w:rsidRDefault="00C12E34" w:rsidP="00B16BE0">
      <w:pPr>
        <w:spacing w:after="0" w:line="240" w:lineRule="auto"/>
      </w:pPr>
      <w:r>
        <w:separator/>
      </w:r>
    </w:p>
  </w:endnote>
  <w:endnote w:type="continuationSeparator" w:id="0">
    <w:p w14:paraId="6DB6A32C" w14:textId="77777777" w:rsidR="00C12E34" w:rsidRDefault="00C12E34" w:rsidP="00B16BE0">
      <w:pPr>
        <w:spacing w:after="0" w:line="240" w:lineRule="auto"/>
      </w:pPr>
      <w:r>
        <w:continuationSeparator/>
      </w:r>
    </w:p>
  </w:endnote>
  <w:endnote w:type="continuationNotice" w:id="1">
    <w:p w14:paraId="702365E8" w14:textId="77777777" w:rsidR="00C12E34" w:rsidRDefault="00C12E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CE781" w14:textId="77777777" w:rsidR="00EA2BD6" w:rsidRDefault="00EA2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312928"/>
      <w:docPartObj>
        <w:docPartGallery w:val="Page Numbers (Bottom of Page)"/>
        <w:docPartUnique/>
      </w:docPartObj>
    </w:sdtPr>
    <w:sdtEndPr>
      <w:rPr>
        <w:noProof/>
      </w:rPr>
    </w:sdtEndPr>
    <w:sdtContent>
      <w:p w14:paraId="74959D4D" w14:textId="180A23CD" w:rsidR="00A72F36" w:rsidRDefault="00C96BEE">
        <w:pPr>
          <w:pStyle w:val="Footer"/>
          <w:jc w:val="center"/>
          <w:rPr>
            <w:noProof/>
          </w:rPr>
        </w:pPr>
        <w:r>
          <w:fldChar w:fldCharType="begin"/>
        </w:r>
        <w:r>
          <w:instrText xml:space="preserve"> PAGE   \* MERGEFORMAT </w:instrText>
        </w:r>
        <w:r>
          <w:fldChar w:fldCharType="separate"/>
        </w:r>
        <w:r w:rsidR="00FE6209">
          <w:rPr>
            <w:noProof/>
          </w:rPr>
          <w:t>1</w:t>
        </w:r>
        <w:r>
          <w:rPr>
            <w:noProof/>
          </w:rPr>
          <w:fldChar w:fldCharType="end"/>
        </w:r>
      </w:p>
      <w:p w14:paraId="7C0A0223" w14:textId="77777777" w:rsidR="00A72F36" w:rsidRDefault="00A72F36">
        <w:pPr>
          <w:pStyle w:val="Footer"/>
          <w:jc w:val="center"/>
          <w:rPr>
            <w:noProof/>
          </w:rPr>
        </w:pPr>
      </w:p>
      <w:p w14:paraId="62B72D1A" w14:textId="77777777" w:rsidR="00A72F36" w:rsidRPr="00F848D3" w:rsidRDefault="00A72F36" w:rsidP="00A72F36">
        <w:pPr>
          <w:pStyle w:val="Heading1"/>
          <w:numPr>
            <w:ilvl w:val="1"/>
            <w:numId w:val="0"/>
          </w:numPr>
          <w:jc w:val="center"/>
          <w:rPr>
            <w:rFonts w:asciiTheme="minorHAnsi" w:hAnsiTheme="minorHAnsi" w:cstheme="minorHAnsi"/>
            <w:b w:val="0"/>
            <w:bCs/>
            <w:sz w:val="16"/>
            <w:szCs w:val="16"/>
          </w:rPr>
        </w:pPr>
        <w:r w:rsidRPr="00F848D3">
          <w:rPr>
            <w:rFonts w:asciiTheme="minorHAnsi" w:hAnsiTheme="minorHAnsi" w:cstheme="minorHAnsi"/>
            <w:b w:val="0"/>
            <w:bCs/>
            <w:sz w:val="16"/>
            <w:szCs w:val="16"/>
          </w:rPr>
          <w:t>Intergovernmental Agreement on National Digital Health 2023-2027</w:t>
        </w:r>
      </w:p>
      <w:p w14:paraId="477D0392" w14:textId="7B11CA95" w:rsidR="00C96BEE" w:rsidRDefault="00FE6209">
        <w:pPr>
          <w:pStyle w:val="Footer"/>
          <w:jc w:val="center"/>
        </w:pPr>
      </w:p>
    </w:sdtContent>
  </w:sdt>
  <w:p w14:paraId="331DB8C4" w14:textId="1BB69BA0" w:rsidR="00C96BEE" w:rsidRPr="00D07087" w:rsidRDefault="00C96BEE" w:rsidP="00D07087">
    <w:pPr>
      <w:pStyle w:val="Header"/>
      <w:jc w:val="center"/>
      <w:rPr>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956C4" w14:textId="77777777" w:rsidR="00EA2BD6" w:rsidRDefault="00EA2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FCC70" w14:textId="77777777" w:rsidR="00C12E34" w:rsidRDefault="00C12E34" w:rsidP="00B16BE0">
      <w:pPr>
        <w:spacing w:after="0" w:line="240" w:lineRule="auto"/>
      </w:pPr>
      <w:r>
        <w:separator/>
      </w:r>
    </w:p>
  </w:footnote>
  <w:footnote w:type="continuationSeparator" w:id="0">
    <w:p w14:paraId="5C55266D" w14:textId="77777777" w:rsidR="00C12E34" w:rsidRDefault="00C12E34" w:rsidP="00B16BE0">
      <w:pPr>
        <w:spacing w:after="0" w:line="240" w:lineRule="auto"/>
      </w:pPr>
      <w:r>
        <w:continuationSeparator/>
      </w:r>
    </w:p>
  </w:footnote>
  <w:footnote w:type="continuationNotice" w:id="1">
    <w:p w14:paraId="041B2F81" w14:textId="77777777" w:rsidR="00C12E34" w:rsidRDefault="00C12E34">
      <w:pPr>
        <w:spacing w:after="0" w:line="240" w:lineRule="auto"/>
      </w:pPr>
    </w:p>
  </w:footnote>
  <w:footnote w:id="2">
    <w:p w14:paraId="263055D4" w14:textId="76C3DFBE" w:rsidR="00BC6305" w:rsidRDefault="00BC6305">
      <w:pPr>
        <w:pStyle w:val="FootnoteText"/>
      </w:pPr>
      <w:r>
        <w:rPr>
          <w:rStyle w:val="FootnoteReference"/>
        </w:rPr>
        <w:footnoteRef/>
      </w:r>
      <w:r>
        <w:t xml:space="preserve"> Based on the </w:t>
      </w:r>
      <w:r w:rsidR="00605160">
        <w:t xml:space="preserve">HCEF </w:t>
      </w:r>
      <w:r>
        <w:t>cost-shared formula 20</w:t>
      </w:r>
      <w:r w:rsidR="00CC41A6">
        <w:t>22-23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99F45" w14:textId="77777777" w:rsidR="00EA2BD6" w:rsidRDefault="00EA2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6692C" w14:textId="5C0DA11E" w:rsidR="00300F52" w:rsidRPr="00300F52" w:rsidRDefault="00300F52">
    <w:pPr>
      <w:pStyle w:val="Header"/>
      <w:rPr>
        <w:b/>
        <w:bCs/>
        <w:color w:val="FF0000"/>
        <w:sz w:val="24"/>
        <w:szCs w:val="24"/>
      </w:rPr>
    </w:pPr>
    <w:r>
      <w:tab/>
    </w:r>
  </w:p>
  <w:p w14:paraId="3B9CB343" w14:textId="45FCA0B8" w:rsidR="00A173A8" w:rsidRDefault="00A173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764C7" w14:textId="77777777" w:rsidR="00EA2BD6" w:rsidRDefault="00EA2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295"/>
    <w:multiLevelType w:val="hybridMultilevel"/>
    <w:tmpl w:val="83EC9546"/>
    <w:lvl w:ilvl="0" w:tplc="FFFFFFFF">
      <w:start w:val="1"/>
      <w:numFmt w:val="lowerRoman"/>
      <w:lvlText w:val="%1."/>
      <w:lvlJc w:val="righ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96818D0"/>
    <w:multiLevelType w:val="hybridMultilevel"/>
    <w:tmpl w:val="83EC9546"/>
    <w:lvl w:ilvl="0" w:tplc="FFFFFFFF">
      <w:start w:val="1"/>
      <w:numFmt w:val="lowerRoman"/>
      <w:lvlText w:val="%1."/>
      <w:lvlJc w:val="righ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A8078D1"/>
    <w:multiLevelType w:val="multilevel"/>
    <w:tmpl w:val="77CE82B0"/>
    <w:lvl w:ilvl="0">
      <w:start w:val="6"/>
      <w:numFmt w:val="decimal"/>
      <w:lvlText w:val="%1"/>
      <w:lvlJc w:val="left"/>
      <w:pPr>
        <w:ind w:left="470" w:hanging="470"/>
      </w:pPr>
      <w:rPr>
        <w:rFonts w:hint="default"/>
      </w:rPr>
    </w:lvl>
    <w:lvl w:ilvl="1">
      <w:start w:val="6"/>
      <w:numFmt w:val="decimal"/>
      <w:lvlText w:val="%1.%2"/>
      <w:lvlJc w:val="left"/>
      <w:pPr>
        <w:ind w:left="470" w:hanging="47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BB646B"/>
    <w:multiLevelType w:val="hybridMultilevel"/>
    <w:tmpl w:val="83EC9546"/>
    <w:lvl w:ilvl="0" w:tplc="FFFFFFFF">
      <w:start w:val="1"/>
      <w:numFmt w:val="lowerRoman"/>
      <w:lvlText w:val="%1."/>
      <w:lvlJc w:val="righ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ADF2F55"/>
    <w:multiLevelType w:val="hybridMultilevel"/>
    <w:tmpl w:val="00B0D51A"/>
    <w:lvl w:ilvl="0" w:tplc="D5C0C618">
      <w:start w:val="1"/>
      <w:numFmt w:val="decimal"/>
      <w:lvlText w:val="%1."/>
      <w:lvlJc w:val="left"/>
      <w:pPr>
        <w:tabs>
          <w:tab w:val="num" w:pos="720"/>
        </w:tabs>
        <w:ind w:left="720" w:hanging="360"/>
      </w:pPr>
    </w:lvl>
    <w:lvl w:ilvl="1" w:tplc="30D0147A" w:tentative="1">
      <w:start w:val="1"/>
      <w:numFmt w:val="decimal"/>
      <w:lvlText w:val="%2."/>
      <w:lvlJc w:val="left"/>
      <w:pPr>
        <w:tabs>
          <w:tab w:val="num" w:pos="1440"/>
        </w:tabs>
        <w:ind w:left="1440" w:hanging="360"/>
      </w:pPr>
    </w:lvl>
    <w:lvl w:ilvl="2" w:tplc="E9565022" w:tentative="1">
      <w:start w:val="1"/>
      <w:numFmt w:val="decimal"/>
      <w:lvlText w:val="%3."/>
      <w:lvlJc w:val="left"/>
      <w:pPr>
        <w:tabs>
          <w:tab w:val="num" w:pos="2160"/>
        </w:tabs>
        <w:ind w:left="2160" w:hanging="360"/>
      </w:pPr>
    </w:lvl>
    <w:lvl w:ilvl="3" w:tplc="B6B609CA" w:tentative="1">
      <w:start w:val="1"/>
      <w:numFmt w:val="decimal"/>
      <w:lvlText w:val="%4."/>
      <w:lvlJc w:val="left"/>
      <w:pPr>
        <w:tabs>
          <w:tab w:val="num" w:pos="2880"/>
        </w:tabs>
        <w:ind w:left="2880" w:hanging="360"/>
      </w:pPr>
    </w:lvl>
    <w:lvl w:ilvl="4" w:tplc="0FCC890A" w:tentative="1">
      <w:start w:val="1"/>
      <w:numFmt w:val="decimal"/>
      <w:lvlText w:val="%5."/>
      <w:lvlJc w:val="left"/>
      <w:pPr>
        <w:tabs>
          <w:tab w:val="num" w:pos="3600"/>
        </w:tabs>
        <w:ind w:left="3600" w:hanging="360"/>
      </w:pPr>
    </w:lvl>
    <w:lvl w:ilvl="5" w:tplc="B8B0A5F2" w:tentative="1">
      <w:start w:val="1"/>
      <w:numFmt w:val="decimal"/>
      <w:lvlText w:val="%6."/>
      <w:lvlJc w:val="left"/>
      <w:pPr>
        <w:tabs>
          <w:tab w:val="num" w:pos="4320"/>
        </w:tabs>
        <w:ind w:left="4320" w:hanging="360"/>
      </w:pPr>
    </w:lvl>
    <w:lvl w:ilvl="6" w:tplc="C804BE60" w:tentative="1">
      <w:start w:val="1"/>
      <w:numFmt w:val="decimal"/>
      <w:lvlText w:val="%7."/>
      <w:lvlJc w:val="left"/>
      <w:pPr>
        <w:tabs>
          <w:tab w:val="num" w:pos="5040"/>
        </w:tabs>
        <w:ind w:left="5040" w:hanging="360"/>
      </w:pPr>
    </w:lvl>
    <w:lvl w:ilvl="7" w:tplc="13B2DA3A" w:tentative="1">
      <w:start w:val="1"/>
      <w:numFmt w:val="decimal"/>
      <w:lvlText w:val="%8."/>
      <w:lvlJc w:val="left"/>
      <w:pPr>
        <w:tabs>
          <w:tab w:val="num" w:pos="5760"/>
        </w:tabs>
        <w:ind w:left="5760" w:hanging="360"/>
      </w:pPr>
    </w:lvl>
    <w:lvl w:ilvl="8" w:tplc="82765474" w:tentative="1">
      <w:start w:val="1"/>
      <w:numFmt w:val="decimal"/>
      <w:lvlText w:val="%9."/>
      <w:lvlJc w:val="left"/>
      <w:pPr>
        <w:tabs>
          <w:tab w:val="num" w:pos="6480"/>
        </w:tabs>
        <w:ind w:left="6480" w:hanging="360"/>
      </w:pPr>
    </w:lvl>
  </w:abstractNum>
  <w:abstractNum w:abstractNumId="5" w15:restartNumberingAfterBreak="0">
    <w:nsid w:val="0BA15675"/>
    <w:multiLevelType w:val="hybridMultilevel"/>
    <w:tmpl w:val="83EC9546"/>
    <w:lvl w:ilvl="0" w:tplc="FFFFFFFF">
      <w:start w:val="1"/>
      <w:numFmt w:val="lowerRoman"/>
      <w:lvlText w:val="%1."/>
      <w:lvlJc w:val="righ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BD17B02"/>
    <w:multiLevelType w:val="hybridMultilevel"/>
    <w:tmpl w:val="A476BA0E"/>
    <w:lvl w:ilvl="0" w:tplc="FFFFFFFF">
      <w:start w:val="1"/>
      <w:numFmt w:val="lowerRoman"/>
      <w:lvlText w:val="%1."/>
      <w:lvlJc w:val="righ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1CC05D2"/>
    <w:multiLevelType w:val="hybridMultilevel"/>
    <w:tmpl w:val="2042F52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8" w15:restartNumberingAfterBreak="0">
    <w:nsid w:val="11F51C81"/>
    <w:multiLevelType w:val="hybridMultilevel"/>
    <w:tmpl w:val="78F0119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307AFB"/>
    <w:multiLevelType w:val="hybridMultilevel"/>
    <w:tmpl w:val="91BA3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3D748A"/>
    <w:multiLevelType w:val="hybridMultilevel"/>
    <w:tmpl w:val="6534F514"/>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A270848"/>
    <w:multiLevelType w:val="hybridMultilevel"/>
    <w:tmpl w:val="17381BBC"/>
    <w:lvl w:ilvl="0" w:tplc="85A8099E">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777CD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635314"/>
    <w:multiLevelType w:val="multilevel"/>
    <w:tmpl w:val="E084B5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D102887"/>
    <w:multiLevelType w:val="multilevel"/>
    <w:tmpl w:val="A78895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D9344A0"/>
    <w:multiLevelType w:val="hybridMultilevel"/>
    <w:tmpl w:val="8564DE38"/>
    <w:lvl w:ilvl="0" w:tplc="0C09001B">
      <w:start w:val="1"/>
      <w:numFmt w:val="lowerRoman"/>
      <w:lvlText w:val="%1."/>
      <w:lvlJc w:val="right"/>
      <w:pPr>
        <w:ind w:left="360" w:hanging="360"/>
      </w:pPr>
      <w:rPr>
        <w:rFonts w:hint="default"/>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F071038"/>
    <w:multiLevelType w:val="hybridMultilevel"/>
    <w:tmpl w:val="AAE456F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AE59A7"/>
    <w:multiLevelType w:val="hybridMultilevel"/>
    <w:tmpl w:val="3B905E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0C54FF1"/>
    <w:multiLevelType w:val="hybridMultilevel"/>
    <w:tmpl w:val="BE3230D4"/>
    <w:lvl w:ilvl="0" w:tplc="C122E608">
      <w:start w:val="1"/>
      <w:numFmt w:val="upperLetter"/>
      <w:lvlText w:val="%1."/>
      <w:lvlJc w:val="left"/>
      <w:pPr>
        <w:ind w:left="360" w:hanging="360"/>
      </w:pPr>
      <w:rPr>
        <w:rFonts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26C40DD"/>
    <w:multiLevelType w:val="hybridMultilevel"/>
    <w:tmpl w:val="83EC9546"/>
    <w:lvl w:ilvl="0" w:tplc="FFFFFFFF">
      <w:start w:val="1"/>
      <w:numFmt w:val="lowerRoman"/>
      <w:lvlText w:val="%1."/>
      <w:lvlJc w:val="righ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60D6F28"/>
    <w:multiLevelType w:val="hybridMultilevel"/>
    <w:tmpl w:val="66D67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3674DE"/>
    <w:multiLevelType w:val="multilevel"/>
    <w:tmpl w:val="97D686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F077E7"/>
    <w:multiLevelType w:val="hybridMultilevel"/>
    <w:tmpl w:val="83EC9546"/>
    <w:lvl w:ilvl="0" w:tplc="FFFFFFFF">
      <w:start w:val="1"/>
      <w:numFmt w:val="lowerRoman"/>
      <w:lvlText w:val="%1."/>
      <w:lvlJc w:val="righ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2D706365"/>
    <w:multiLevelType w:val="hybridMultilevel"/>
    <w:tmpl w:val="EFB0F0C2"/>
    <w:lvl w:ilvl="0" w:tplc="634E11EE">
      <w:start w:val="1"/>
      <w:numFmt w:val="lowerRoman"/>
      <w:lvlText w:val="%1."/>
      <w:lvlJc w:val="righ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42066F4"/>
    <w:multiLevelType w:val="hybridMultilevel"/>
    <w:tmpl w:val="CECAB7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4C068A"/>
    <w:multiLevelType w:val="multilevel"/>
    <w:tmpl w:val="17C895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A3250FD"/>
    <w:multiLevelType w:val="multilevel"/>
    <w:tmpl w:val="819469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0B0654E"/>
    <w:multiLevelType w:val="hybridMultilevel"/>
    <w:tmpl w:val="83EC9546"/>
    <w:lvl w:ilvl="0" w:tplc="FFFFFFFF">
      <w:start w:val="1"/>
      <w:numFmt w:val="lowerRoman"/>
      <w:lvlText w:val="%1."/>
      <w:lvlJc w:val="righ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58416D5"/>
    <w:multiLevelType w:val="hybridMultilevel"/>
    <w:tmpl w:val="F82EA072"/>
    <w:lvl w:ilvl="0" w:tplc="6F7C7BCA">
      <w:start w:val="1"/>
      <w:numFmt w:val="decimal"/>
      <w:lvlText w:val="%1."/>
      <w:lvlJc w:val="left"/>
      <w:pPr>
        <w:tabs>
          <w:tab w:val="num" w:pos="720"/>
        </w:tabs>
        <w:ind w:left="720" w:hanging="360"/>
      </w:pPr>
    </w:lvl>
    <w:lvl w:ilvl="1" w:tplc="94E6B9B2" w:tentative="1">
      <w:start w:val="1"/>
      <w:numFmt w:val="decimal"/>
      <w:lvlText w:val="%2."/>
      <w:lvlJc w:val="left"/>
      <w:pPr>
        <w:tabs>
          <w:tab w:val="num" w:pos="1440"/>
        </w:tabs>
        <w:ind w:left="1440" w:hanging="360"/>
      </w:pPr>
    </w:lvl>
    <w:lvl w:ilvl="2" w:tplc="7E2E3982" w:tentative="1">
      <w:start w:val="1"/>
      <w:numFmt w:val="decimal"/>
      <w:lvlText w:val="%3."/>
      <w:lvlJc w:val="left"/>
      <w:pPr>
        <w:tabs>
          <w:tab w:val="num" w:pos="2160"/>
        </w:tabs>
        <w:ind w:left="2160" w:hanging="360"/>
      </w:pPr>
    </w:lvl>
    <w:lvl w:ilvl="3" w:tplc="868C11D8" w:tentative="1">
      <w:start w:val="1"/>
      <w:numFmt w:val="decimal"/>
      <w:lvlText w:val="%4."/>
      <w:lvlJc w:val="left"/>
      <w:pPr>
        <w:tabs>
          <w:tab w:val="num" w:pos="2880"/>
        </w:tabs>
        <w:ind w:left="2880" w:hanging="360"/>
      </w:pPr>
    </w:lvl>
    <w:lvl w:ilvl="4" w:tplc="C85CE516" w:tentative="1">
      <w:start w:val="1"/>
      <w:numFmt w:val="decimal"/>
      <w:lvlText w:val="%5."/>
      <w:lvlJc w:val="left"/>
      <w:pPr>
        <w:tabs>
          <w:tab w:val="num" w:pos="3600"/>
        </w:tabs>
        <w:ind w:left="3600" w:hanging="360"/>
      </w:pPr>
    </w:lvl>
    <w:lvl w:ilvl="5" w:tplc="36826760" w:tentative="1">
      <w:start w:val="1"/>
      <w:numFmt w:val="decimal"/>
      <w:lvlText w:val="%6."/>
      <w:lvlJc w:val="left"/>
      <w:pPr>
        <w:tabs>
          <w:tab w:val="num" w:pos="4320"/>
        </w:tabs>
        <w:ind w:left="4320" w:hanging="360"/>
      </w:pPr>
    </w:lvl>
    <w:lvl w:ilvl="6" w:tplc="625A9004" w:tentative="1">
      <w:start w:val="1"/>
      <w:numFmt w:val="decimal"/>
      <w:lvlText w:val="%7."/>
      <w:lvlJc w:val="left"/>
      <w:pPr>
        <w:tabs>
          <w:tab w:val="num" w:pos="5040"/>
        </w:tabs>
        <w:ind w:left="5040" w:hanging="360"/>
      </w:pPr>
    </w:lvl>
    <w:lvl w:ilvl="7" w:tplc="556EC7C6" w:tentative="1">
      <w:start w:val="1"/>
      <w:numFmt w:val="decimal"/>
      <w:lvlText w:val="%8."/>
      <w:lvlJc w:val="left"/>
      <w:pPr>
        <w:tabs>
          <w:tab w:val="num" w:pos="5760"/>
        </w:tabs>
        <w:ind w:left="5760" w:hanging="360"/>
      </w:pPr>
    </w:lvl>
    <w:lvl w:ilvl="8" w:tplc="93B2BDD4" w:tentative="1">
      <w:start w:val="1"/>
      <w:numFmt w:val="decimal"/>
      <w:lvlText w:val="%9."/>
      <w:lvlJc w:val="left"/>
      <w:pPr>
        <w:tabs>
          <w:tab w:val="num" w:pos="6480"/>
        </w:tabs>
        <w:ind w:left="6480" w:hanging="360"/>
      </w:pPr>
    </w:lvl>
  </w:abstractNum>
  <w:abstractNum w:abstractNumId="29" w15:restartNumberingAfterBreak="0">
    <w:nsid w:val="4C7143AF"/>
    <w:multiLevelType w:val="hybridMultilevel"/>
    <w:tmpl w:val="8564DE38"/>
    <w:lvl w:ilvl="0" w:tplc="FFFFFFFF">
      <w:start w:val="1"/>
      <w:numFmt w:val="lowerRoman"/>
      <w:lvlText w:val="%1."/>
      <w:lvlJc w:val="right"/>
      <w:pPr>
        <w:ind w:left="360" w:hanging="360"/>
      </w:pPr>
      <w:rPr>
        <w:rFonts w:hint="default"/>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0DD7C0A"/>
    <w:multiLevelType w:val="multilevel"/>
    <w:tmpl w:val="9E7A3A4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373C04"/>
    <w:multiLevelType w:val="hybridMultilevel"/>
    <w:tmpl w:val="3A10DC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3604F07"/>
    <w:multiLevelType w:val="multilevel"/>
    <w:tmpl w:val="5AB8BBC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674AFE"/>
    <w:multiLevelType w:val="hybridMultilevel"/>
    <w:tmpl w:val="83EC9546"/>
    <w:lvl w:ilvl="0" w:tplc="FFFFFFFF">
      <w:start w:val="1"/>
      <w:numFmt w:val="lowerRoman"/>
      <w:lvlText w:val="%1."/>
      <w:lvlJc w:val="righ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55950B01"/>
    <w:multiLevelType w:val="hybridMultilevel"/>
    <w:tmpl w:val="83EC9546"/>
    <w:lvl w:ilvl="0" w:tplc="FFFFFFFF">
      <w:start w:val="1"/>
      <w:numFmt w:val="lowerRoman"/>
      <w:lvlText w:val="%1."/>
      <w:lvlJc w:val="righ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58101827"/>
    <w:multiLevelType w:val="multilevel"/>
    <w:tmpl w:val="072C6E52"/>
    <w:lvl w:ilvl="0">
      <w:start w:val="1"/>
      <w:numFmt w:val="bullet"/>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36" w15:restartNumberingAfterBreak="0">
    <w:nsid w:val="5F576922"/>
    <w:multiLevelType w:val="multilevel"/>
    <w:tmpl w:val="2F2C397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7" w15:restartNumberingAfterBreak="0">
    <w:nsid w:val="608F21F8"/>
    <w:multiLevelType w:val="multilevel"/>
    <w:tmpl w:val="735AA688"/>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lvlText w:val="‒"/>
      <w:lvlJc w:val="left"/>
      <w:pPr>
        <w:ind w:left="1134" w:hanging="397"/>
      </w:pPr>
      <w:rPr>
        <w:rFonts w:ascii="Times New Roman" w:hAnsi="Times New Roman" w:cs="Times New Roman" w:hint="default"/>
        <w:color w:val="404040" w:themeColor="text1" w:themeTint="BF"/>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38" w15:restartNumberingAfterBreak="0">
    <w:nsid w:val="667D0422"/>
    <w:multiLevelType w:val="hybridMultilevel"/>
    <w:tmpl w:val="BA446D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sz w:val="2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B490DD2"/>
    <w:multiLevelType w:val="multilevel"/>
    <w:tmpl w:val="A78895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D55356C"/>
    <w:multiLevelType w:val="hybridMultilevel"/>
    <w:tmpl w:val="83EC9546"/>
    <w:lvl w:ilvl="0" w:tplc="FFFFFFFF">
      <w:start w:val="1"/>
      <w:numFmt w:val="lowerRoman"/>
      <w:lvlText w:val="%1."/>
      <w:lvlJc w:val="righ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6DAD45EC"/>
    <w:multiLevelType w:val="hybridMultilevel"/>
    <w:tmpl w:val="870693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F874E69"/>
    <w:multiLevelType w:val="hybridMultilevel"/>
    <w:tmpl w:val="83EC9546"/>
    <w:lvl w:ilvl="0" w:tplc="FFFFFFFF">
      <w:start w:val="1"/>
      <w:numFmt w:val="lowerRoman"/>
      <w:lvlText w:val="%1."/>
      <w:lvlJc w:val="righ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70750EED"/>
    <w:multiLevelType w:val="hybridMultilevel"/>
    <w:tmpl w:val="83EC9546"/>
    <w:lvl w:ilvl="0" w:tplc="FFFFFFFF">
      <w:start w:val="1"/>
      <w:numFmt w:val="lowerRoman"/>
      <w:lvlText w:val="%1."/>
      <w:lvlJc w:val="righ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2EF1E09"/>
    <w:multiLevelType w:val="multilevel"/>
    <w:tmpl w:val="F6DC0CEE"/>
    <w:lvl w:ilvl="0">
      <w:start w:val="1"/>
      <w:numFmt w:val="decimal"/>
      <w:pStyle w:val="NumberedListlvl1"/>
      <w:lvlText w:val="%1."/>
      <w:lvlJc w:val="left"/>
      <w:pPr>
        <w:ind w:left="567" w:hanging="283"/>
      </w:pPr>
      <w:rPr>
        <w:rFonts w:hint="default"/>
      </w:rPr>
    </w:lvl>
    <w:lvl w:ilvl="1">
      <w:start w:val="1"/>
      <w:numFmt w:val="lowerLetter"/>
      <w:lvlText w:val="%2."/>
      <w:lvlJc w:val="left"/>
      <w:pPr>
        <w:ind w:left="1021" w:hanging="283"/>
      </w:pPr>
      <w:rPr>
        <w:rFonts w:hint="default"/>
      </w:rPr>
    </w:lvl>
    <w:lvl w:ilvl="2">
      <w:start w:val="1"/>
      <w:numFmt w:val="lowerRoman"/>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45" w15:restartNumberingAfterBreak="0">
    <w:nsid w:val="739D2E56"/>
    <w:multiLevelType w:val="multilevel"/>
    <w:tmpl w:val="A78895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8854AAC"/>
    <w:multiLevelType w:val="hybridMultilevel"/>
    <w:tmpl w:val="84D69DC2"/>
    <w:lvl w:ilvl="0" w:tplc="8B34BD36">
      <w:start w:val="1"/>
      <w:numFmt w:val="decimal"/>
      <w:pStyle w:val="ListBullet"/>
      <w:lvlText w:val="%1."/>
      <w:lvlJc w:val="left"/>
      <w:pPr>
        <w:tabs>
          <w:tab w:val="num" w:pos="851"/>
        </w:tabs>
        <w:ind w:left="851" w:hanging="567"/>
      </w:pPr>
      <w:rPr>
        <w:rFonts w:cs="Times New Roman" w:hint="default"/>
      </w:rPr>
    </w:lvl>
    <w:lvl w:ilvl="1" w:tplc="605C0C90">
      <w:start w:val="1"/>
      <w:numFmt w:val="lowerLetter"/>
      <w:lvlText w:val="%2)"/>
      <w:lvlJc w:val="left"/>
      <w:pPr>
        <w:tabs>
          <w:tab w:val="num" w:pos="644"/>
        </w:tabs>
        <w:ind w:left="644" w:hanging="360"/>
      </w:pPr>
      <w:rPr>
        <w:rFonts w:hint="default"/>
      </w:rPr>
    </w:lvl>
    <w:lvl w:ilvl="2" w:tplc="51D4C9C8">
      <w:start w:val="1"/>
      <w:numFmt w:val="lowerRoman"/>
      <w:lvlText w:val="%3."/>
      <w:lvlJc w:val="left"/>
      <w:pPr>
        <w:tabs>
          <w:tab w:val="num" w:pos="2160"/>
        </w:tabs>
        <w:ind w:left="2160" w:hanging="180"/>
      </w:pPr>
      <w:rPr>
        <w:rFonts w:ascii="Corbel" w:eastAsia="Times New Roman" w:hAnsi="Corbel" w:cs="Corbel" w:hint="default"/>
      </w:rPr>
    </w:lvl>
    <w:lvl w:ilvl="3" w:tplc="B5028044">
      <w:start w:val="1"/>
      <w:numFmt w:val="decimal"/>
      <w:lvlText w:val="%4."/>
      <w:lvlJc w:val="right"/>
      <w:pPr>
        <w:tabs>
          <w:tab w:val="num" w:pos="2880"/>
        </w:tabs>
        <w:ind w:left="2880" w:hanging="360"/>
      </w:pPr>
      <w:rPr>
        <w:rFonts w:ascii="Corbel" w:eastAsia="Times New Roman" w:hAnsi="Corbel" w:cs="Corbel"/>
      </w:rPr>
    </w:lvl>
    <w:lvl w:ilvl="4" w:tplc="213EA3DC">
      <w:start w:val="1"/>
      <w:numFmt w:val="lowerLetter"/>
      <w:lvlText w:val="%5."/>
      <w:lvlJc w:val="left"/>
      <w:pPr>
        <w:tabs>
          <w:tab w:val="num" w:pos="3600"/>
        </w:tabs>
        <w:ind w:left="3600" w:hanging="360"/>
      </w:pPr>
      <w:rPr>
        <w:rFonts w:cs="Times New Roman"/>
      </w:rPr>
    </w:lvl>
    <w:lvl w:ilvl="5" w:tplc="D2EE939C">
      <w:start w:val="1"/>
      <w:numFmt w:val="lowerRoman"/>
      <w:lvlText w:val="%6."/>
      <w:lvlJc w:val="right"/>
      <w:pPr>
        <w:tabs>
          <w:tab w:val="num" w:pos="4320"/>
        </w:tabs>
        <w:ind w:left="4320" w:hanging="180"/>
      </w:pPr>
      <w:rPr>
        <w:rFonts w:cs="Times New Roman"/>
      </w:rPr>
    </w:lvl>
    <w:lvl w:ilvl="6" w:tplc="3CE20380">
      <w:start w:val="1"/>
      <w:numFmt w:val="decimal"/>
      <w:lvlText w:val="%7."/>
      <w:lvlJc w:val="left"/>
      <w:pPr>
        <w:tabs>
          <w:tab w:val="num" w:pos="5040"/>
        </w:tabs>
        <w:ind w:left="5040" w:hanging="360"/>
      </w:pPr>
      <w:rPr>
        <w:rFonts w:cs="Times New Roman"/>
      </w:rPr>
    </w:lvl>
    <w:lvl w:ilvl="7" w:tplc="BD166BC0">
      <w:start w:val="1"/>
      <w:numFmt w:val="lowerLetter"/>
      <w:lvlText w:val="%8."/>
      <w:lvlJc w:val="left"/>
      <w:pPr>
        <w:tabs>
          <w:tab w:val="num" w:pos="5760"/>
        </w:tabs>
        <w:ind w:left="5760" w:hanging="360"/>
      </w:pPr>
      <w:rPr>
        <w:rFonts w:cs="Times New Roman"/>
      </w:rPr>
    </w:lvl>
    <w:lvl w:ilvl="8" w:tplc="3A0665DC">
      <w:start w:val="1"/>
      <w:numFmt w:val="lowerRoman"/>
      <w:lvlText w:val="%9."/>
      <w:lvlJc w:val="right"/>
      <w:pPr>
        <w:tabs>
          <w:tab w:val="num" w:pos="6480"/>
        </w:tabs>
        <w:ind w:left="6480" w:hanging="180"/>
      </w:pPr>
      <w:rPr>
        <w:rFonts w:cs="Times New Roman"/>
      </w:rPr>
    </w:lvl>
  </w:abstractNum>
  <w:abstractNum w:abstractNumId="47" w15:restartNumberingAfterBreak="0">
    <w:nsid w:val="79771DE6"/>
    <w:multiLevelType w:val="hybridMultilevel"/>
    <w:tmpl w:val="83EC9546"/>
    <w:lvl w:ilvl="0" w:tplc="0C09001B">
      <w:start w:val="1"/>
      <w:numFmt w:val="lowerRoman"/>
      <w:lvlText w:val="%1."/>
      <w:lvlJc w:val="righ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79DE098E"/>
    <w:multiLevelType w:val="hybridMultilevel"/>
    <w:tmpl w:val="ADD8D7BE"/>
    <w:lvl w:ilvl="0" w:tplc="0C09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36"/>
  </w:num>
  <w:num w:numId="2">
    <w:abstractNumId w:val="44"/>
  </w:num>
  <w:num w:numId="3">
    <w:abstractNumId w:val="37"/>
  </w:num>
  <w:num w:numId="4">
    <w:abstractNumId w:val="18"/>
  </w:num>
  <w:num w:numId="5">
    <w:abstractNumId w:val="7"/>
  </w:num>
  <w:num w:numId="6">
    <w:abstractNumId w:val="46"/>
  </w:num>
  <w:num w:numId="7">
    <w:abstractNumId w:val="38"/>
  </w:num>
  <w:num w:numId="8">
    <w:abstractNumId w:val="11"/>
  </w:num>
  <w:num w:numId="9">
    <w:abstractNumId w:val="35"/>
  </w:num>
  <w:num w:numId="10">
    <w:abstractNumId w:val="28"/>
  </w:num>
  <w:num w:numId="11">
    <w:abstractNumId w:val="9"/>
  </w:num>
  <w:num w:numId="12">
    <w:abstractNumId w:val="20"/>
  </w:num>
  <w:num w:numId="13">
    <w:abstractNumId w:val="24"/>
  </w:num>
  <w:num w:numId="14">
    <w:abstractNumId w:val="25"/>
  </w:num>
  <w:num w:numId="15">
    <w:abstractNumId w:val="26"/>
  </w:num>
  <w:num w:numId="16">
    <w:abstractNumId w:val="21"/>
  </w:num>
  <w:num w:numId="17">
    <w:abstractNumId w:val="10"/>
  </w:num>
  <w:num w:numId="18">
    <w:abstractNumId w:val="14"/>
  </w:num>
  <w:num w:numId="19">
    <w:abstractNumId w:val="30"/>
  </w:num>
  <w:num w:numId="20">
    <w:abstractNumId w:val="45"/>
  </w:num>
  <w:num w:numId="21">
    <w:abstractNumId w:val="39"/>
  </w:num>
  <w:num w:numId="22">
    <w:abstractNumId w:val="13"/>
  </w:num>
  <w:num w:numId="23">
    <w:abstractNumId w:val="41"/>
  </w:num>
  <w:num w:numId="24">
    <w:abstractNumId w:val="31"/>
  </w:num>
  <w:num w:numId="25">
    <w:abstractNumId w:val="16"/>
  </w:num>
  <w:num w:numId="26">
    <w:abstractNumId w:val="8"/>
  </w:num>
  <w:num w:numId="27">
    <w:abstractNumId w:val="12"/>
  </w:num>
  <w:num w:numId="28">
    <w:abstractNumId w:val="4"/>
  </w:num>
  <w:num w:numId="29">
    <w:abstractNumId w:val="17"/>
  </w:num>
  <w:num w:numId="30">
    <w:abstractNumId w:val="47"/>
  </w:num>
  <w:num w:numId="31">
    <w:abstractNumId w:val="6"/>
  </w:num>
  <w:num w:numId="32">
    <w:abstractNumId w:val="15"/>
  </w:num>
  <w:num w:numId="33">
    <w:abstractNumId w:val="23"/>
  </w:num>
  <w:num w:numId="34">
    <w:abstractNumId w:val="48"/>
  </w:num>
  <w:num w:numId="35">
    <w:abstractNumId w:val="2"/>
  </w:num>
  <w:num w:numId="36">
    <w:abstractNumId w:val="29"/>
  </w:num>
  <w:num w:numId="37">
    <w:abstractNumId w:val="34"/>
  </w:num>
  <w:num w:numId="38">
    <w:abstractNumId w:val="0"/>
  </w:num>
  <w:num w:numId="39">
    <w:abstractNumId w:val="32"/>
  </w:num>
  <w:num w:numId="40">
    <w:abstractNumId w:val="27"/>
  </w:num>
  <w:num w:numId="41">
    <w:abstractNumId w:val="42"/>
  </w:num>
  <w:num w:numId="42">
    <w:abstractNumId w:val="40"/>
  </w:num>
  <w:num w:numId="43">
    <w:abstractNumId w:val="43"/>
  </w:num>
  <w:num w:numId="44">
    <w:abstractNumId w:val="33"/>
  </w:num>
  <w:num w:numId="45">
    <w:abstractNumId w:val="5"/>
  </w:num>
  <w:num w:numId="46">
    <w:abstractNumId w:val="1"/>
  </w:num>
  <w:num w:numId="47">
    <w:abstractNumId w:val="3"/>
  </w:num>
  <w:num w:numId="48">
    <w:abstractNumId w:val="19"/>
  </w:num>
  <w:num w:numId="49">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E0"/>
    <w:rsid w:val="00000A61"/>
    <w:rsid w:val="0000115E"/>
    <w:rsid w:val="0000141B"/>
    <w:rsid w:val="000014C5"/>
    <w:rsid w:val="000021E8"/>
    <w:rsid w:val="00002B40"/>
    <w:rsid w:val="00003856"/>
    <w:rsid w:val="0000417E"/>
    <w:rsid w:val="000052F9"/>
    <w:rsid w:val="00005428"/>
    <w:rsid w:val="00005517"/>
    <w:rsid w:val="00006562"/>
    <w:rsid w:val="00006BC1"/>
    <w:rsid w:val="00007250"/>
    <w:rsid w:val="0001147D"/>
    <w:rsid w:val="0001198D"/>
    <w:rsid w:val="000132EB"/>
    <w:rsid w:val="0001474D"/>
    <w:rsid w:val="00014931"/>
    <w:rsid w:val="000165BC"/>
    <w:rsid w:val="00016C8D"/>
    <w:rsid w:val="000176B6"/>
    <w:rsid w:val="0001794F"/>
    <w:rsid w:val="00017EA9"/>
    <w:rsid w:val="000203F0"/>
    <w:rsid w:val="00020501"/>
    <w:rsid w:val="00020D6D"/>
    <w:rsid w:val="00021C44"/>
    <w:rsid w:val="000226B6"/>
    <w:rsid w:val="0002379A"/>
    <w:rsid w:val="000245D3"/>
    <w:rsid w:val="00025042"/>
    <w:rsid w:val="00025988"/>
    <w:rsid w:val="000260FE"/>
    <w:rsid w:val="00027501"/>
    <w:rsid w:val="0002784D"/>
    <w:rsid w:val="00027A76"/>
    <w:rsid w:val="00027B9A"/>
    <w:rsid w:val="00030636"/>
    <w:rsid w:val="00031FCA"/>
    <w:rsid w:val="0003289C"/>
    <w:rsid w:val="00032E32"/>
    <w:rsid w:val="00034401"/>
    <w:rsid w:val="0003509B"/>
    <w:rsid w:val="0003552F"/>
    <w:rsid w:val="000362A7"/>
    <w:rsid w:val="0003647D"/>
    <w:rsid w:val="000372FA"/>
    <w:rsid w:val="00037449"/>
    <w:rsid w:val="0003767B"/>
    <w:rsid w:val="00037BBD"/>
    <w:rsid w:val="00037C15"/>
    <w:rsid w:val="0004086E"/>
    <w:rsid w:val="00041450"/>
    <w:rsid w:val="00042F1B"/>
    <w:rsid w:val="0004321C"/>
    <w:rsid w:val="000459B0"/>
    <w:rsid w:val="00045E2E"/>
    <w:rsid w:val="00046FB5"/>
    <w:rsid w:val="000503C8"/>
    <w:rsid w:val="00051689"/>
    <w:rsid w:val="00053640"/>
    <w:rsid w:val="000538E9"/>
    <w:rsid w:val="00053B72"/>
    <w:rsid w:val="00054E35"/>
    <w:rsid w:val="000552F1"/>
    <w:rsid w:val="00055C00"/>
    <w:rsid w:val="00056BF9"/>
    <w:rsid w:val="00056F9E"/>
    <w:rsid w:val="0005771E"/>
    <w:rsid w:val="00057A55"/>
    <w:rsid w:val="00057D67"/>
    <w:rsid w:val="00057E55"/>
    <w:rsid w:val="0006116B"/>
    <w:rsid w:val="0006154F"/>
    <w:rsid w:val="000625C7"/>
    <w:rsid w:val="00063CDA"/>
    <w:rsid w:val="000645A4"/>
    <w:rsid w:val="00065751"/>
    <w:rsid w:val="000669A5"/>
    <w:rsid w:val="00067C35"/>
    <w:rsid w:val="0007153E"/>
    <w:rsid w:val="00071718"/>
    <w:rsid w:val="00071F18"/>
    <w:rsid w:val="0007203B"/>
    <w:rsid w:val="00072B65"/>
    <w:rsid w:val="00072E9A"/>
    <w:rsid w:val="00074A6D"/>
    <w:rsid w:val="000753C2"/>
    <w:rsid w:val="00075918"/>
    <w:rsid w:val="00076854"/>
    <w:rsid w:val="00076D6C"/>
    <w:rsid w:val="00076F03"/>
    <w:rsid w:val="00077289"/>
    <w:rsid w:val="000777DB"/>
    <w:rsid w:val="000778CD"/>
    <w:rsid w:val="00077C08"/>
    <w:rsid w:val="000806A4"/>
    <w:rsid w:val="000806C0"/>
    <w:rsid w:val="00080F80"/>
    <w:rsid w:val="00081036"/>
    <w:rsid w:val="00081C5A"/>
    <w:rsid w:val="0008237D"/>
    <w:rsid w:val="0008247B"/>
    <w:rsid w:val="00082504"/>
    <w:rsid w:val="00082976"/>
    <w:rsid w:val="00082AE0"/>
    <w:rsid w:val="00082C57"/>
    <w:rsid w:val="00082D7E"/>
    <w:rsid w:val="00082E20"/>
    <w:rsid w:val="00083BA1"/>
    <w:rsid w:val="00083C41"/>
    <w:rsid w:val="000842E5"/>
    <w:rsid w:val="0008553D"/>
    <w:rsid w:val="00085F7A"/>
    <w:rsid w:val="00086B42"/>
    <w:rsid w:val="00087A5D"/>
    <w:rsid w:val="00087F1D"/>
    <w:rsid w:val="0009148E"/>
    <w:rsid w:val="000914CA"/>
    <w:rsid w:val="000915FA"/>
    <w:rsid w:val="00091B08"/>
    <w:rsid w:val="00091CD5"/>
    <w:rsid w:val="00091EBF"/>
    <w:rsid w:val="00092605"/>
    <w:rsid w:val="00092B38"/>
    <w:rsid w:val="00092EC8"/>
    <w:rsid w:val="000933A1"/>
    <w:rsid w:val="00093CBD"/>
    <w:rsid w:val="00093D20"/>
    <w:rsid w:val="0009411D"/>
    <w:rsid w:val="000942D5"/>
    <w:rsid w:val="00094633"/>
    <w:rsid w:val="000946AB"/>
    <w:rsid w:val="00095B5A"/>
    <w:rsid w:val="00096BC5"/>
    <w:rsid w:val="0009754D"/>
    <w:rsid w:val="0009781F"/>
    <w:rsid w:val="000A07C0"/>
    <w:rsid w:val="000A1E72"/>
    <w:rsid w:val="000A218A"/>
    <w:rsid w:val="000A2AF9"/>
    <w:rsid w:val="000A2CBB"/>
    <w:rsid w:val="000A2FF5"/>
    <w:rsid w:val="000A3CE7"/>
    <w:rsid w:val="000A43C1"/>
    <w:rsid w:val="000A4DB5"/>
    <w:rsid w:val="000A55DE"/>
    <w:rsid w:val="000A5CC7"/>
    <w:rsid w:val="000A6BF8"/>
    <w:rsid w:val="000A73C1"/>
    <w:rsid w:val="000A7723"/>
    <w:rsid w:val="000B046B"/>
    <w:rsid w:val="000B0676"/>
    <w:rsid w:val="000B20D8"/>
    <w:rsid w:val="000B2CC4"/>
    <w:rsid w:val="000B2DE7"/>
    <w:rsid w:val="000B3322"/>
    <w:rsid w:val="000B349E"/>
    <w:rsid w:val="000B3905"/>
    <w:rsid w:val="000C0B99"/>
    <w:rsid w:val="000C279F"/>
    <w:rsid w:val="000C297A"/>
    <w:rsid w:val="000C32BC"/>
    <w:rsid w:val="000C34C7"/>
    <w:rsid w:val="000C43E6"/>
    <w:rsid w:val="000C48A0"/>
    <w:rsid w:val="000C5168"/>
    <w:rsid w:val="000C5814"/>
    <w:rsid w:val="000C5FFD"/>
    <w:rsid w:val="000C6B6F"/>
    <w:rsid w:val="000C706E"/>
    <w:rsid w:val="000C7BB9"/>
    <w:rsid w:val="000C7EA2"/>
    <w:rsid w:val="000D06B1"/>
    <w:rsid w:val="000D12AF"/>
    <w:rsid w:val="000D1349"/>
    <w:rsid w:val="000D13A7"/>
    <w:rsid w:val="000D2B3D"/>
    <w:rsid w:val="000D2F53"/>
    <w:rsid w:val="000D3BB7"/>
    <w:rsid w:val="000D46E2"/>
    <w:rsid w:val="000D4775"/>
    <w:rsid w:val="000D4D3F"/>
    <w:rsid w:val="000D4E43"/>
    <w:rsid w:val="000D5FCF"/>
    <w:rsid w:val="000D7412"/>
    <w:rsid w:val="000D7E6C"/>
    <w:rsid w:val="000E03D0"/>
    <w:rsid w:val="000E0BE2"/>
    <w:rsid w:val="000E0EBA"/>
    <w:rsid w:val="000E0F35"/>
    <w:rsid w:val="000E1B22"/>
    <w:rsid w:val="000E1BCE"/>
    <w:rsid w:val="000E1BF2"/>
    <w:rsid w:val="000E277B"/>
    <w:rsid w:val="000E2B8F"/>
    <w:rsid w:val="000E4AE2"/>
    <w:rsid w:val="000E572D"/>
    <w:rsid w:val="000E5A89"/>
    <w:rsid w:val="000E5F78"/>
    <w:rsid w:val="000E6CF4"/>
    <w:rsid w:val="000E76D8"/>
    <w:rsid w:val="000E7C30"/>
    <w:rsid w:val="000F064E"/>
    <w:rsid w:val="000F10F5"/>
    <w:rsid w:val="000F1301"/>
    <w:rsid w:val="000F1ECD"/>
    <w:rsid w:val="000F206F"/>
    <w:rsid w:val="000F2B1A"/>
    <w:rsid w:val="000F33A5"/>
    <w:rsid w:val="000F3866"/>
    <w:rsid w:val="000F3876"/>
    <w:rsid w:val="000F391D"/>
    <w:rsid w:val="000F4222"/>
    <w:rsid w:val="000F4489"/>
    <w:rsid w:val="000F5236"/>
    <w:rsid w:val="000F7866"/>
    <w:rsid w:val="000F794A"/>
    <w:rsid w:val="00100865"/>
    <w:rsid w:val="00103CDF"/>
    <w:rsid w:val="00103FAB"/>
    <w:rsid w:val="00105422"/>
    <w:rsid w:val="0010559B"/>
    <w:rsid w:val="00106E25"/>
    <w:rsid w:val="00106EF5"/>
    <w:rsid w:val="00107B56"/>
    <w:rsid w:val="00107C1E"/>
    <w:rsid w:val="0011020C"/>
    <w:rsid w:val="00110CF9"/>
    <w:rsid w:val="0011113F"/>
    <w:rsid w:val="00111242"/>
    <w:rsid w:val="0011277D"/>
    <w:rsid w:val="00112D2E"/>
    <w:rsid w:val="0011312B"/>
    <w:rsid w:val="001136B8"/>
    <w:rsid w:val="00113988"/>
    <w:rsid w:val="00113C5C"/>
    <w:rsid w:val="001152A5"/>
    <w:rsid w:val="00115D4D"/>
    <w:rsid w:val="00116D72"/>
    <w:rsid w:val="00116F10"/>
    <w:rsid w:val="001203B6"/>
    <w:rsid w:val="00120B55"/>
    <w:rsid w:val="00121995"/>
    <w:rsid w:val="00121AE8"/>
    <w:rsid w:val="00122278"/>
    <w:rsid w:val="001224F1"/>
    <w:rsid w:val="00122507"/>
    <w:rsid w:val="001226F0"/>
    <w:rsid w:val="00123015"/>
    <w:rsid w:val="0012386F"/>
    <w:rsid w:val="0012392B"/>
    <w:rsid w:val="00123CC4"/>
    <w:rsid w:val="00124436"/>
    <w:rsid w:val="001244CA"/>
    <w:rsid w:val="00124A1E"/>
    <w:rsid w:val="00125311"/>
    <w:rsid w:val="0012584F"/>
    <w:rsid w:val="0013023D"/>
    <w:rsid w:val="00131913"/>
    <w:rsid w:val="00131B2F"/>
    <w:rsid w:val="00132C6B"/>
    <w:rsid w:val="00133BD3"/>
    <w:rsid w:val="00137585"/>
    <w:rsid w:val="001409B4"/>
    <w:rsid w:val="001414B7"/>
    <w:rsid w:val="0014204B"/>
    <w:rsid w:val="00143054"/>
    <w:rsid w:val="00143252"/>
    <w:rsid w:val="0014430B"/>
    <w:rsid w:val="00145E53"/>
    <w:rsid w:val="0014720D"/>
    <w:rsid w:val="00150D3C"/>
    <w:rsid w:val="00150DCC"/>
    <w:rsid w:val="00151044"/>
    <w:rsid w:val="001511D3"/>
    <w:rsid w:val="001520D5"/>
    <w:rsid w:val="001551D6"/>
    <w:rsid w:val="00156852"/>
    <w:rsid w:val="00156B16"/>
    <w:rsid w:val="0015701A"/>
    <w:rsid w:val="001610A0"/>
    <w:rsid w:val="001610DF"/>
    <w:rsid w:val="001618A0"/>
    <w:rsid w:val="001620F1"/>
    <w:rsid w:val="00163026"/>
    <w:rsid w:val="001634E8"/>
    <w:rsid w:val="00163C70"/>
    <w:rsid w:val="001647BB"/>
    <w:rsid w:val="0016722E"/>
    <w:rsid w:val="001701F1"/>
    <w:rsid w:val="0017035E"/>
    <w:rsid w:val="0017052F"/>
    <w:rsid w:val="00170DAD"/>
    <w:rsid w:val="00173171"/>
    <w:rsid w:val="00173195"/>
    <w:rsid w:val="00176753"/>
    <w:rsid w:val="00176C4F"/>
    <w:rsid w:val="00176CE0"/>
    <w:rsid w:val="001775E3"/>
    <w:rsid w:val="00177772"/>
    <w:rsid w:val="00177D8A"/>
    <w:rsid w:val="00177F7B"/>
    <w:rsid w:val="001808CA"/>
    <w:rsid w:val="00180B36"/>
    <w:rsid w:val="00182249"/>
    <w:rsid w:val="001822B1"/>
    <w:rsid w:val="001822E3"/>
    <w:rsid w:val="001831C8"/>
    <w:rsid w:val="00184DC8"/>
    <w:rsid w:val="001870A9"/>
    <w:rsid w:val="00190190"/>
    <w:rsid w:val="001903FC"/>
    <w:rsid w:val="00190BCD"/>
    <w:rsid w:val="00192E3A"/>
    <w:rsid w:val="00193151"/>
    <w:rsid w:val="00194459"/>
    <w:rsid w:val="00195CC8"/>
    <w:rsid w:val="001A0055"/>
    <w:rsid w:val="001A0F07"/>
    <w:rsid w:val="001A13BF"/>
    <w:rsid w:val="001A1F3E"/>
    <w:rsid w:val="001A239E"/>
    <w:rsid w:val="001A4649"/>
    <w:rsid w:val="001A4C43"/>
    <w:rsid w:val="001A4EAD"/>
    <w:rsid w:val="001A6D0E"/>
    <w:rsid w:val="001A6D57"/>
    <w:rsid w:val="001A706C"/>
    <w:rsid w:val="001B055D"/>
    <w:rsid w:val="001B0FBE"/>
    <w:rsid w:val="001B1B7E"/>
    <w:rsid w:val="001B25BF"/>
    <w:rsid w:val="001B288D"/>
    <w:rsid w:val="001B294D"/>
    <w:rsid w:val="001B2F25"/>
    <w:rsid w:val="001B3BEE"/>
    <w:rsid w:val="001B45D3"/>
    <w:rsid w:val="001B5EF9"/>
    <w:rsid w:val="001B62B8"/>
    <w:rsid w:val="001B684B"/>
    <w:rsid w:val="001B7448"/>
    <w:rsid w:val="001B7764"/>
    <w:rsid w:val="001B7821"/>
    <w:rsid w:val="001B79CA"/>
    <w:rsid w:val="001B7D5F"/>
    <w:rsid w:val="001C08DE"/>
    <w:rsid w:val="001C09B5"/>
    <w:rsid w:val="001C164B"/>
    <w:rsid w:val="001C18E2"/>
    <w:rsid w:val="001C2710"/>
    <w:rsid w:val="001C2ADD"/>
    <w:rsid w:val="001C2EB2"/>
    <w:rsid w:val="001C3DE6"/>
    <w:rsid w:val="001C43E9"/>
    <w:rsid w:val="001C5949"/>
    <w:rsid w:val="001C6C09"/>
    <w:rsid w:val="001C7C4A"/>
    <w:rsid w:val="001D0463"/>
    <w:rsid w:val="001D10C0"/>
    <w:rsid w:val="001D29A6"/>
    <w:rsid w:val="001D2C9E"/>
    <w:rsid w:val="001D2CC7"/>
    <w:rsid w:val="001D39B0"/>
    <w:rsid w:val="001D4313"/>
    <w:rsid w:val="001D431B"/>
    <w:rsid w:val="001D4500"/>
    <w:rsid w:val="001D49DB"/>
    <w:rsid w:val="001D61C3"/>
    <w:rsid w:val="001E01B3"/>
    <w:rsid w:val="001E06B1"/>
    <w:rsid w:val="001E0868"/>
    <w:rsid w:val="001E11C5"/>
    <w:rsid w:val="001E1250"/>
    <w:rsid w:val="001E2C6D"/>
    <w:rsid w:val="001E33AB"/>
    <w:rsid w:val="001E3E93"/>
    <w:rsid w:val="001E4132"/>
    <w:rsid w:val="001E6CCF"/>
    <w:rsid w:val="001E73C1"/>
    <w:rsid w:val="001E785B"/>
    <w:rsid w:val="001E7A70"/>
    <w:rsid w:val="001E7DF1"/>
    <w:rsid w:val="001F08B4"/>
    <w:rsid w:val="001F1AB3"/>
    <w:rsid w:val="001F1D44"/>
    <w:rsid w:val="001F1DEB"/>
    <w:rsid w:val="001F1FDB"/>
    <w:rsid w:val="001F2C62"/>
    <w:rsid w:val="001F37C8"/>
    <w:rsid w:val="001F4901"/>
    <w:rsid w:val="001F57CA"/>
    <w:rsid w:val="001F7074"/>
    <w:rsid w:val="001F743C"/>
    <w:rsid w:val="002012C7"/>
    <w:rsid w:val="002022B4"/>
    <w:rsid w:val="00202F9F"/>
    <w:rsid w:val="0020310E"/>
    <w:rsid w:val="00203594"/>
    <w:rsid w:val="00203D21"/>
    <w:rsid w:val="00203FD9"/>
    <w:rsid w:val="0020456D"/>
    <w:rsid w:val="00204902"/>
    <w:rsid w:val="00206918"/>
    <w:rsid w:val="00206B83"/>
    <w:rsid w:val="00207CDC"/>
    <w:rsid w:val="00207E34"/>
    <w:rsid w:val="00211923"/>
    <w:rsid w:val="00211EE8"/>
    <w:rsid w:val="00213112"/>
    <w:rsid w:val="00213F2B"/>
    <w:rsid w:val="002158DB"/>
    <w:rsid w:val="00215D4F"/>
    <w:rsid w:val="002161F5"/>
    <w:rsid w:val="0021699D"/>
    <w:rsid w:val="0021767C"/>
    <w:rsid w:val="00220299"/>
    <w:rsid w:val="00220C5F"/>
    <w:rsid w:val="00220EAF"/>
    <w:rsid w:val="00221009"/>
    <w:rsid w:val="002213F1"/>
    <w:rsid w:val="002218C2"/>
    <w:rsid w:val="00221B8B"/>
    <w:rsid w:val="00222B03"/>
    <w:rsid w:val="00222BF4"/>
    <w:rsid w:val="002230B8"/>
    <w:rsid w:val="0022405D"/>
    <w:rsid w:val="00224226"/>
    <w:rsid w:val="00225053"/>
    <w:rsid w:val="002250CB"/>
    <w:rsid w:val="00225E59"/>
    <w:rsid w:val="00227D77"/>
    <w:rsid w:val="00230015"/>
    <w:rsid w:val="00230686"/>
    <w:rsid w:val="00232F6C"/>
    <w:rsid w:val="00233FF2"/>
    <w:rsid w:val="00234095"/>
    <w:rsid w:val="002340CD"/>
    <w:rsid w:val="00234930"/>
    <w:rsid w:val="00235741"/>
    <w:rsid w:val="00235801"/>
    <w:rsid w:val="00235E43"/>
    <w:rsid w:val="00235EC8"/>
    <w:rsid w:val="00236BAE"/>
    <w:rsid w:val="00236DCC"/>
    <w:rsid w:val="00237301"/>
    <w:rsid w:val="00240827"/>
    <w:rsid w:val="00240DDB"/>
    <w:rsid w:val="002411D2"/>
    <w:rsid w:val="002421D2"/>
    <w:rsid w:val="00242291"/>
    <w:rsid w:val="00242393"/>
    <w:rsid w:val="00242AC3"/>
    <w:rsid w:val="002430DB"/>
    <w:rsid w:val="00243410"/>
    <w:rsid w:val="00244F4C"/>
    <w:rsid w:val="00244FAF"/>
    <w:rsid w:val="00245B78"/>
    <w:rsid w:val="00246014"/>
    <w:rsid w:val="002462FC"/>
    <w:rsid w:val="0024736A"/>
    <w:rsid w:val="0025088D"/>
    <w:rsid w:val="002508FE"/>
    <w:rsid w:val="00250F79"/>
    <w:rsid w:val="00251D99"/>
    <w:rsid w:val="00252061"/>
    <w:rsid w:val="00252572"/>
    <w:rsid w:val="002538BF"/>
    <w:rsid w:val="00253ECE"/>
    <w:rsid w:val="002543E9"/>
    <w:rsid w:val="00254633"/>
    <w:rsid w:val="00254876"/>
    <w:rsid w:val="00254A9A"/>
    <w:rsid w:val="00255D0D"/>
    <w:rsid w:val="00256A3A"/>
    <w:rsid w:val="00256C8C"/>
    <w:rsid w:val="002600DE"/>
    <w:rsid w:val="0026181E"/>
    <w:rsid w:val="00261BEA"/>
    <w:rsid w:val="00261EDC"/>
    <w:rsid w:val="0026259B"/>
    <w:rsid w:val="00263819"/>
    <w:rsid w:val="00263CC4"/>
    <w:rsid w:val="00263D67"/>
    <w:rsid w:val="002644CD"/>
    <w:rsid w:val="00266E18"/>
    <w:rsid w:val="00266E63"/>
    <w:rsid w:val="00267E44"/>
    <w:rsid w:val="0027023C"/>
    <w:rsid w:val="00270DF5"/>
    <w:rsid w:val="0027151A"/>
    <w:rsid w:val="0027208D"/>
    <w:rsid w:val="00273778"/>
    <w:rsid w:val="00274D00"/>
    <w:rsid w:val="00274E37"/>
    <w:rsid w:val="002769F8"/>
    <w:rsid w:val="00280512"/>
    <w:rsid w:val="00280CFC"/>
    <w:rsid w:val="00281B17"/>
    <w:rsid w:val="002838C4"/>
    <w:rsid w:val="00284DE5"/>
    <w:rsid w:val="002853FE"/>
    <w:rsid w:val="002860F0"/>
    <w:rsid w:val="0028706C"/>
    <w:rsid w:val="00287738"/>
    <w:rsid w:val="0029050C"/>
    <w:rsid w:val="00290AC5"/>
    <w:rsid w:val="00290BAF"/>
    <w:rsid w:val="00292E4D"/>
    <w:rsid w:val="002939E9"/>
    <w:rsid w:val="00294068"/>
    <w:rsid w:val="0029418C"/>
    <w:rsid w:val="00294C54"/>
    <w:rsid w:val="002956B9"/>
    <w:rsid w:val="002959BA"/>
    <w:rsid w:val="002A0B3D"/>
    <w:rsid w:val="002A111F"/>
    <w:rsid w:val="002A1585"/>
    <w:rsid w:val="002A1C53"/>
    <w:rsid w:val="002A1D47"/>
    <w:rsid w:val="002A1DCD"/>
    <w:rsid w:val="002A1F1F"/>
    <w:rsid w:val="002A2AB7"/>
    <w:rsid w:val="002A49C9"/>
    <w:rsid w:val="002A50C9"/>
    <w:rsid w:val="002A5945"/>
    <w:rsid w:val="002A5CF1"/>
    <w:rsid w:val="002A5DDC"/>
    <w:rsid w:val="002A6264"/>
    <w:rsid w:val="002A62B2"/>
    <w:rsid w:val="002A64EA"/>
    <w:rsid w:val="002A69FB"/>
    <w:rsid w:val="002A7DD6"/>
    <w:rsid w:val="002B14ED"/>
    <w:rsid w:val="002B1B49"/>
    <w:rsid w:val="002B2320"/>
    <w:rsid w:val="002B3ABA"/>
    <w:rsid w:val="002B3CC1"/>
    <w:rsid w:val="002B5760"/>
    <w:rsid w:val="002B6CD4"/>
    <w:rsid w:val="002C077F"/>
    <w:rsid w:val="002C08C8"/>
    <w:rsid w:val="002C0AE7"/>
    <w:rsid w:val="002C0CB6"/>
    <w:rsid w:val="002C11B0"/>
    <w:rsid w:val="002C1571"/>
    <w:rsid w:val="002C23E3"/>
    <w:rsid w:val="002C42C7"/>
    <w:rsid w:val="002C4417"/>
    <w:rsid w:val="002C4457"/>
    <w:rsid w:val="002C48C7"/>
    <w:rsid w:val="002C4DD3"/>
    <w:rsid w:val="002C4E80"/>
    <w:rsid w:val="002C5121"/>
    <w:rsid w:val="002C5EA2"/>
    <w:rsid w:val="002C6E20"/>
    <w:rsid w:val="002C6EAD"/>
    <w:rsid w:val="002C790D"/>
    <w:rsid w:val="002D0270"/>
    <w:rsid w:val="002D1869"/>
    <w:rsid w:val="002D1FFA"/>
    <w:rsid w:val="002D2142"/>
    <w:rsid w:val="002D272A"/>
    <w:rsid w:val="002D3E9F"/>
    <w:rsid w:val="002D416F"/>
    <w:rsid w:val="002D493B"/>
    <w:rsid w:val="002D4A9E"/>
    <w:rsid w:val="002D5356"/>
    <w:rsid w:val="002D6292"/>
    <w:rsid w:val="002D6B97"/>
    <w:rsid w:val="002D6EA5"/>
    <w:rsid w:val="002D7608"/>
    <w:rsid w:val="002D7FD9"/>
    <w:rsid w:val="002E0267"/>
    <w:rsid w:val="002E10DC"/>
    <w:rsid w:val="002E14D9"/>
    <w:rsid w:val="002E1792"/>
    <w:rsid w:val="002E1822"/>
    <w:rsid w:val="002E2E1F"/>
    <w:rsid w:val="002E2F69"/>
    <w:rsid w:val="002E44A3"/>
    <w:rsid w:val="002E4DF8"/>
    <w:rsid w:val="002E6277"/>
    <w:rsid w:val="002E6921"/>
    <w:rsid w:val="002E70B6"/>
    <w:rsid w:val="002E7352"/>
    <w:rsid w:val="002F3437"/>
    <w:rsid w:val="002F3F03"/>
    <w:rsid w:val="002F4A46"/>
    <w:rsid w:val="002F4C5C"/>
    <w:rsid w:val="002F570F"/>
    <w:rsid w:val="002F5A67"/>
    <w:rsid w:val="002F6CF9"/>
    <w:rsid w:val="002F7551"/>
    <w:rsid w:val="002F7861"/>
    <w:rsid w:val="002F7C24"/>
    <w:rsid w:val="00300584"/>
    <w:rsid w:val="00300697"/>
    <w:rsid w:val="00300960"/>
    <w:rsid w:val="003009AB"/>
    <w:rsid w:val="00300A29"/>
    <w:rsid w:val="00300F52"/>
    <w:rsid w:val="003012BA"/>
    <w:rsid w:val="00302E5B"/>
    <w:rsid w:val="00304EF9"/>
    <w:rsid w:val="00304F95"/>
    <w:rsid w:val="00305F90"/>
    <w:rsid w:val="00306578"/>
    <w:rsid w:val="003066DC"/>
    <w:rsid w:val="00307B39"/>
    <w:rsid w:val="00307DF9"/>
    <w:rsid w:val="003106D8"/>
    <w:rsid w:val="003110C7"/>
    <w:rsid w:val="00311206"/>
    <w:rsid w:val="003113B7"/>
    <w:rsid w:val="003117AF"/>
    <w:rsid w:val="0031302D"/>
    <w:rsid w:val="003134C6"/>
    <w:rsid w:val="0031515D"/>
    <w:rsid w:val="00315BF2"/>
    <w:rsid w:val="003165B1"/>
    <w:rsid w:val="00320766"/>
    <w:rsid w:val="00320D53"/>
    <w:rsid w:val="00321DA0"/>
    <w:rsid w:val="00322A2A"/>
    <w:rsid w:val="00323B9D"/>
    <w:rsid w:val="003241DD"/>
    <w:rsid w:val="00324562"/>
    <w:rsid w:val="00324BA8"/>
    <w:rsid w:val="0032528A"/>
    <w:rsid w:val="00326883"/>
    <w:rsid w:val="00326F49"/>
    <w:rsid w:val="00326FA3"/>
    <w:rsid w:val="003277B1"/>
    <w:rsid w:val="00330A08"/>
    <w:rsid w:val="003316A4"/>
    <w:rsid w:val="00331CE5"/>
    <w:rsid w:val="0033208C"/>
    <w:rsid w:val="00332344"/>
    <w:rsid w:val="00333109"/>
    <w:rsid w:val="00333575"/>
    <w:rsid w:val="00333706"/>
    <w:rsid w:val="00334A5E"/>
    <w:rsid w:val="00334BDB"/>
    <w:rsid w:val="00336639"/>
    <w:rsid w:val="0033674D"/>
    <w:rsid w:val="003367C5"/>
    <w:rsid w:val="00336BD6"/>
    <w:rsid w:val="003375E1"/>
    <w:rsid w:val="003406AB"/>
    <w:rsid w:val="003415E9"/>
    <w:rsid w:val="003418B8"/>
    <w:rsid w:val="00341B7E"/>
    <w:rsid w:val="00342302"/>
    <w:rsid w:val="00342760"/>
    <w:rsid w:val="00342E9C"/>
    <w:rsid w:val="00342FA9"/>
    <w:rsid w:val="003432DB"/>
    <w:rsid w:val="00343451"/>
    <w:rsid w:val="00345845"/>
    <w:rsid w:val="00345E7C"/>
    <w:rsid w:val="00346A9F"/>
    <w:rsid w:val="00346E30"/>
    <w:rsid w:val="00347843"/>
    <w:rsid w:val="00347A20"/>
    <w:rsid w:val="0035096B"/>
    <w:rsid w:val="003513D0"/>
    <w:rsid w:val="00351D04"/>
    <w:rsid w:val="003520F0"/>
    <w:rsid w:val="00354A4C"/>
    <w:rsid w:val="00356A7C"/>
    <w:rsid w:val="00360ED3"/>
    <w:rsid w:val="0036122F"/>
    <w:rsid w:val="00361876"/>
    <w:rsid w:val="00362137"/>
    <w:rsid w:val="0036268C"/>
    <w:rsid w:val="003627F6"/>
    <w:rsid w:val="003629F9"/>
    <w:rsid w:val="0036436B"/>
    <w:rsid w:val="00364BFF"/>
    <w:rsid w:val="003653EA"/>
    <w:rsid w:val="00365D1A"/>
    <w:rsid w:val="003670B2"/>
    <w:rsid w:val="00367541"/>
    <w:rsid w:val="003675B2"/>
    <w:rsid w:val="003701D5"/>
    <w:rsid w:val="0037171D"/>
    <w:rsid w:val="00371C3B"/>
    <w:rsid w:val="00371F45"/>
    <w:rsid w:val="00372A50"/>
    <w:rsid w:val="00372F78"/>
    <w:rsid w:val="003736C4"/>
    <w:rsid w:val="003750AC"/>
    <w:rsid w:val="0037516B"/>
    <w:rsid w:val="003757A8"/>
    <w:rsid w:val="003761FA"/>
    <w:rsid w:val="003765CC"/>
    <w:rsid w:val="00376AB5"/>
    <w:rsid w:val="00377249"/>
    <w:rsid w:val="003773FA"/>
    <w:rsid w:val="00377966"/>
    <w:rsid w:val="003809BD"/>
    <w:rsid w:val="00380E9C"/>
    <w:rsid w:val="00381186"/>
    <w:rsid w:val="003813C1"/>
    <w:rsid w:val="00382631"/>
    <w:rsid w:val="00382AEB"/>
    <w:rsid w:val="00385E7A"/>
    <w:rsid w:val="0038613B"/>
    <w:rsid w:val="00386227"/>
    <w:rsid w:val="00386E4E"/>
    <w:rsid w:val="0038731F"/>
    <w:rsid w:val="0038745F"/>
    <w:rsid w:val="00390994"/>
    <w:rsid w:val="0039109D"/>
    <w:rsid w:val="00391169"/>
    <w:rsid w:val="003916BC"/>
    <w:rsid w:val="00391F99"/>
    <w:rsid w:val="003929C9"/>
    <w:rsid w:val="00392BA2"/>
    <w:rsid w:val="00394604"/>
    <w:rsid w:val="00394E9A"/>
    <w:rsid w:val="003950B6"/>
    <w:rsid w:val="00395F00"/>
    <w:rsid w:val="003962B9"/>
    <w:rsid w:val="00396326"/>
    <w:rsid w:val="0039691E"/>
    <w:rsid w:val="00396FD4"/>
    <w:rsid w:val="00397BF7"/>
    <w:rsid w:val="003A032A"/>
    <w:rsid w:val="003A118F"/>
    <w:rsid w:val="003A16A6"/>
    <w:rsid w:val="003A1FA2"/>
    <w:rsid w:val="003A28F3"/>
    <w:rsid w:val="003A2C1A"/>
    <w:rsid w:val="003A37EC"/>
    <w:rsid w:val="003A38D3"/>
    <w:rsid w:val="003A3AE0"/>
    <w:rsid w:val="003A4A55"/>
    <w:rsid w:val="003A522F"/>
    <w:rsid w:val="003A570D"/>
    <w:rsid w:val="003A682B"/>
    <w:rsid w:val="003A6B66"/>
    <w:rsid w:val="003A7313"/>
    <w:rsid w:val="003A737B"/>
    <w:rsid w:val="003A74A0"/>
    <w:rsid w:val="003A79FF"/>
    <w:rsid w:val="003B058B"/>
    <w:rsid w:val="003B0D4C"/>
    <w:rsid w:val="003B0F16"/>
    <w:rsid w:val="003B13B9"/>
    <w:rsid w:val="003B2556"/>
    <w:rsid w:val="003B296E"/>
    <w:rsid w:val="003B3489"/>
    <w:rsid w:val="003B4796"/>
    <w:rsid w:val="003B4AF6"/>
    <w:rsid w:val="003B5284"/>
    <w:rsid w:val="003B612B"/>
    <w:rsid w:val="003B7437"/>
    <w:rsid w:val="003B7BCB"/>
    <w:rsid w:val="003B7C1E"/>
    <w:rsid w:val="003B7D6E"/>
    <w:rsid w:val="003C031B"/>
    <w:rsid w:val="003C331A"/>
    <w:rsid w:val="003C4DF3"/>
    <w:rsid w:val="003C657D"/>
    <w:rsid w:val="003C6AB5"/>
    <w:rsid w:val="003C72DC"/>
    <w:rsid w:val="003D01D2"/>
    <w:rsid w:val="003D04A9"/>
    <w:rsid w:val="003D107C"/>
    <w:rsid w:val="003D2506"/>
    <w:rsid w:val="003D29B4"/>
    <w:rsid w:val="003D37D4"/>
    <w:rsid w:val="003D37FB"/>
    <w:rsid w:val="003D3AAF"/>
    <w:rsid w:val="003D4D0C"/>
    <w:rsid w:val="003D4DF3"/>
    <w:rsid w:val="003D5EF8"/>
    <w:rsid w:val="003D5F25"/>
    <w:rsid w:val="003D5F62"/>
    <w:rsid w:val="003D7240"/>
    <w:rsid w:val="003D7B5C"/>
    <w:rsid w:val="003E18CE"/>
    <w:rsid w:val="003E2EE2"/>
    <w:rsid w:val="003E3A49"/>
    <w:rsid w:val="003E541F"/>
    <w:rsid w:val="003E572B"/>
    <w:rsid w:val="003E594A"/>
    <w:rsid w:val="003E5ACF"/>
    <w:rsid w:val="003E61BB"/>
    <w:rsid w:val="003E6283"/>
    <w:rsid w:val="003E650B"/>
    <w:rsid w:val="003E6BBB"/>
    <w:rsid w:val="003E6F07"/>
    <w:rsid w:val="003E70A3"/>
    <w:rsid w:val="003F00E6"/>
    <w:rsid w:val="003F1446"/>
    <w:rsid w:val="003F5DDF"/>
    <w:rsid w:val="003F6929"/>
    <w:rsid w:val="003F6C0F"/>
    <w:rsid w:val="003F741A"/>
    <w:rsid w:val="003F7AF6"/>
    <w:rsid w:val="00400626"/>
    <w:rsid w:val="00400876"/>
    <w:rsid w:val="00400F99"/>
    <w:rsid w:val="0040223E"/>
    <w:rsid w:val="004022AB"/>
    <w:rsid w:val="00402428"/>
    <w:rsid w:val="00402A25"/>
    <w:rsid w:val="00402F8D"/>
    <w:rsid w:val="00403C81"/>
    <w:rsid w:val="0040775E"/>
    <w:rsid w:val="004078DF"/>
    <w:rsid w:val="00410230"/>
    <w:rsid w:val="00410CE1"/>
    <w:rsid w:val="0041259F"/>
    <w:rsid w:val="004127FC"/>
    <w:rsid w:val="00412D47"/>
    <w:rsid w:val="004149B1"/>
    <w:rsid w:val="00415C6C"/>
    <w:rsid w:val="00416BB6"/>
    <w:rsid w:val="00416E87"/>
    <w:rsid w:val="00416E91"/>
    <w:rsid w:val="00417B33"/>
    <w:rsid w:val="00420C1C"/>
    <w:rsid w:val="00422523"/>
    <w:rsid w:val="004229F2"/>
    <w:rsid w:val="00422B01"/>
    <w:rsid w:val="00423767"/>
    <w:rsid w:val="00425399"/>
    <w:rsid w:val="004260DD"/>
    <w:rsid w:val="00427556"/>
    <w:rsid w:val="004300E5"/>
    <w:rsid w:val="004309C7"/>
    <w:rsid w:val="0043142C"/>
    <w:rsid w:val="00432DCA"/>
    <w:rsid w:val="00433006"/>
    <w:rsid w:val="00433325"/>
    <w:rsid w:val="00433C70"/>
    <w:rsid w:val="004341FE"/>
    <w:rsid w:val="0043510B"/>
    <w:rsid w:val="00435119"/>
    <w:rsid w:val="004352CF"/>
    <w:rsid w:val="00440E43"/>
    <w:rsid w:val="00441244"/>
    <w:rsid w:val="0044135C"/>
    <w:rsid w:val="004424DC"/>
    <w:rsid w:val="00442759"/>
    <w:rsid w:val="0044330B"/>
    <w:rsid w:val="00443387"/>
    <w:rsid w:val="00443A2E"/>
    <w:rsid w:val="00445A57"/>
    <w:rsid w:val="00445D81"/>
    <w:rsid w:val="004470C2"/>
    <w:rsid w:val="00447182"/>
    <w:rsid w:val="00447303"/>
    <w:rsid w:val="0044761D"/>
    <w:rsid w:val="00450371"/>
    <w:rsid w:val="00450D57"/>
    <w:rsid w:val="004526CB"/>
    <w:rsid w:val="00453A6E"/>
    <w:rsid w:val="004554E3"/>
    <w:rsid w:val="00455AB5"/>
    <w:rsid w:val="00455AEA"/>
    <w:rsid w:val="00456F29"/>
    <w:rsid w:val="00456FDE"/>
    <w:rsid w:val="00457A73"/>
    <w:rsid w:val="00457C59"/>
    <w:rsid w:val="00460490"/>
    <w:rsid w:val="004609AE"/>
    <w:rsid w:val="00461134"/>
    <w:rsid w:val="004616D9"/>
    <w:rsid w:val="00462834"/>
    <w:rsid w:val="0046288D"/>
    <w:rsid w:val="0046583D"/>
    <w:rsid w:val="004661A2"/>
    <w:rsid w:val="00466327"/>
    <w:rsid w:val="0046734C"/>
    <w:rsid w:val="00471078"/>
    <w:rsid w:val="00472B68"/>
    <w:rsid w:val="0047384E"/>
    <w:rsid w:val="00474970"/>
    <w:rsid w:val="00475E0C"/>
    <w:rsid w:val="004766A5"/>
    <w:rsid w:val="00476BE1"/>
    <w:rsid w:val="00477707"/>
    <w:rsid w:val="00477D71"/>
    <w:rsid w:val="00480AB2"/>
    <w:rsid w:val="004827EE"/>
    <w:rsid w:val="00483546"/>
    <w:rsid w:val="00484ACC"/>
    <w:rsid w:val="0048578F"/>
    <w:rsid w:val="004904AD"/>
    <w:rsid w:val="00492039"/>
    <w:rsid w:val="00492D01"/>
    <w:rsid w:val="0049369B"/>
    <w:rsid w:val="00493AA0"/>
    <w:rsid w:val="00493DDD"/>
    <w:rsid w:val="004944E2"/>
    <w:rsid w:val="0049488A"/>
    <w:rsid w:val="00494D29"/>
    <w:rsid w:val="004958AC"/>
    <w:rsid w:val="00497926"/>
    <w:rsid w:val="00497C7A"/>
    <w:rsid w:val="004A08AD"/>
    <w:rsid w:val="004A0C82"/>
    <w:rsid w:val="004A1503"/>
    <w:rsid w:val="004A183F"/>
    <w:rsid w:val="004A1996"/>
    <w:rsid w:val="004A1CBF"/>
    <w:rsid w:val="004A2083"/>
    <w:rsid w:val="004A276D"/>
    <w:rsid w:val="004A420C"/>
    <w:rsid w:val="004A4452"/>
    <w:rsid w:val="004A47A9"/>
    <w:rsid w:val="004A4C48"/>
    <w:rsid w:val="004A6A45"/>
    <w:rsid w:val="004A6ADD"/>
    <w:rsid w:val="004A711B"/>
    <w:rsid w:val="004A76A0"/>
    <w:rsid w:val="004A7C33"/>
    <w:rsid w:val="004B04F0"/>
    <w:rsid w:val="004B0567"/>
    <w:rsid w:val="004B0EB1"/>
    <w:rsid w:val="004B1055"/>
    <w:rsid w:val="004B1260"/>
    <w:rsid w:val="004B1451"/>
    <w:rsid w:val="004B1C90"/>
    <w:rsid w:val="004B274E"/>
    <w:rsid w:val="004B3140"/>
    <w:rsid w:val="004B317E"/>
    <w:rsid w:val="004B3C4C"/>
    <w:rsid w:val="004B3D1C"/>
    <w:rsid w:val="004B5887"/>
    <w:rsid w:val="004B7C0F"/>
    <w:rsid w:val="004B7F15"/>
    <w:rsid w:val="004B7F2A"/>
    <w:rsid w:val="004B7F8A"/>
    <w:rsid w:val="004C07F9"/>
    <w:rsid w:val="004C0B00"/>
    <w:rsid w:val="004C17A1"/>
    <w:rsid w:val="004C1956"/>
    <w:rsid w:val="004C1F29"/>
    <w:rsid w:val="004C246A"/>
    <w:rsid w:val="004C2BCA"/>
    <w:rsid w:val="004C352D"/>
    <w:rsid w:val="004C3AF5"/>
    <w:rsid w:val="004C3E81"/>
    <w:rsid w:val="004C4B6C"/>
    <w:rsid w:val="004C598F"/>
    <w:rsid w:val="004C5B59"/>
    <w:rsid w:val="004C5F6D"/>
    <w:rsid w:val="004C6633"/>
    <w:rsid w:val="004C71AE"/>
    <w:rsid w:val="004C7293"/>
    <w:rsid w:val="004C783A"/>
    <w:rsid w:val="004C7D3C"/>
    <w:rsid w:val="004D0699"/>
    <w:rsid w:val="004D0D59"/>
    <w:rsid w:val="004D2211"/>
    <w:rsid w:val="004D2D57"/>
    <w:rsid w:val="004D2E4B"/>
    <w:rsid w:val="004D30A0"/>
    <w:rsid w:val="004D3CC1"/>
    <w:rsid w:val="004D456F"/>
    <w:rsid w:val="004D574C"/>
    <w:rsid w:val="004D6A89"/>
    <w:rsid w:val="004D6D6C"/>
    <w:rsid w:val="004D703E"/>
    <w:rsid w:val="004D7216"/>
    <w:rsid w:val="004D7C5C"/>
    <w:rsid w:val="004D7D52"/>
    <w:rsid w:val="004E0CFF"/>
    <w:rsid w:val="004E25AC"/>
    <w:rsid w:val="004E29E8"/>
    <w:rsid w:val="004E4EF4"/>
    <w:rsid w:val="004E4F0B"/>
    <w:rsid w:val="004E5781"/>
    <w:rsid w:val="004E73D0"/>
    <w:rsid w:val="004E78C4"/>
    <w:rsid w:val="004F163C"/>
    <w:rsid w:val="004F1A6E"/>
    <w:rsid w:val="004F1AB2"/>
    <w:rsid w:val="004F2E37"/>
    <w:rsid w:val="004F3153"/>
    <w:rsid w:val="004F3551"/>
    <w:rsid w:val="004F3EA9"/>
    <w:rsid w:val="004F463D"/>
    <w:rsid w:val="004F54A7"/>
    <w:rsid w:val="004F565A"/>
    <w:rsid w:val="004F62B2"/>
    <w:rsid w:val="004F6388"/>
    <w:rsid w:val="004F657E"/>
    <w:rsid w:val="004F66D6"/>
    <w:rsid w:val="004F70E7"/>
    <w:rsid w:val="004F716F"/>
    <w:rsid w:val="00500AC3"/>
    <w:rsid w:val="00500BE7"/>
    <w:rsid w:val="00501044"/>
    <w:rsid w:val="0050192C"/>
    <w:rsid w:val="00501ABF"/>
    <w:rsid w:val="00502DFB"/>
    <w:rsid w:val="0050463A"/>
    <w:rsid w:val="00504E16"/>
    <w:rsid w:val="00505304"/>
    <w:rsid w:val="005069B4"/>
    <w:rsid w:val="005078D9"/>
    <w:rsid w:val="005107A4"/>
    <w:rsid w:val="005107AF"/>
    <w:rsid w:val="00510BE8"/>
    <w:rsid w:val="0051184E"/>
    <w:rsid w:val="00513E42"/>
    <w:rsid w:val="00514016"/>
    <w:rsid w:val="005150FB"/>
    <w:rsid w:val="00515917"/>
    <w:rsid w:val="00515C00"/>
    <w:rsid w:val="00516033"/>
    <w:rsid w:val="0051725C"/>
    <w:rsid w:val="0051727F"/>
    <w:rsid w:val="00520C6A"/>
    <w:rsid w:val="00521190"/>
    <w:rsid w:val="005215BC"/>
    <w:rsid w:val="005234F0"/>
    <w:rsid w:val="005241F3"/>
    <w:rsid w:val="005257DF"/>
    <w:rsid w:val="00526562"/>
    <w:rsid w:val="005272C8"/>
    <w:rsid w:val="00527993"/>
    <w:rsid w:val="00530197"/>
    <w:rsid w:val="005301E0"/>
    <w:rsid w:val="00530C22"/>
    <w:rsid w:val="00530DAE"/>
    <w:rsid w:val="0053112C"/>
    <w:rsid w:val="005326CF"/>
    <w:rsid w:val="005330B8"/>
    <w:rsid w:val="005342B6"/>
    <w:rsid w:val="0053590A"/>
    <w:rsid w:val="005362A2"/>
    <w:rsid w:val="00540575"/>
    <w:rsid w:val="00540A2A"/>
    <w:rsid w:val="0054162E"/>
    <w:rsid w:val="00542458"/>
    <w:rsid w:val="00542482"/>
    <w:rsid w:val="005427F7"/>
    <w:rsid w:val="00543145"/>
    <w:rsid w:val="00543E6F"/>
    <w:rsid w:val="00545A0F"/>
    <w:rsid w:val="00546C6F"/>
    <w:rsid w:val="00547B54"/>
    <w:rsid w:val="00547CBF"/>
    <w:rsid w:val="00550704"/>
    <w:rsid w:val="0055079B"/>
    <w:rsid w:val="00550F10"/>
    <w:rsid w:val="005524E3"/>
    <w:rsid w:val="0055300A"/>
    <w:rsid w:val="00553239"/>
    <w:rsid w:val="00554AF1"/>
    <w:rsid w:val="00555967"/>
    <w:rsid w:val="00555D3D"/>
    <w:rsid w:val="005571FC"/>
    <w:rsid w:val="00557724"/>
    <w:rsid w:val="00557EBD"/>
    <w:rsid w:val="00561BBE"/>
    <w:rsid w:val="0056200B"/>
    <w:rsid w:val="00562799"/>
    <w:rsid w:val="00562BCE"/>
    <w:rsid w:val="00563A68"/>
    <w:rsid w:val="00564267"/>
    <w:rsid w:val="005649B1"/>
    <w:rsid w:val="0056675F"/>
    <w:rsid w:val="00566B65"/>
    <w:rsid w:val="00566C00"/>
    <w:rsid w:val="005715C8"/>
    <w:rsid w:val="00571BAC"/>
    <w:rsid w:val="00572B7B"/>
    <w:rsid w:val="005734E3"/>
    <w:rsid w:val="005745AB"/>
    <w:rsid w:val="00574DA8"/>
    <w:rsid w:val="00575659"/>
    <w:rsid w:val="00575E7D"/>
    <w:rsid w:val="005768A8"/>
    <w:rsid w:val="00576902"/>
    <w:rsid w:val="00577BFD"/>
    <w:rsid w:val="00580E68"/>
    <w:rsid w:val="00581D15"/>
    <w:rsid w:val="00582323"/>
    <w:rsid w:val="005823E2"/>
    <w:rsid w:val="00583C0B"/>
    <w:rsid w:val="005840DE"/>
    <w:rsid w:val="00584524"/>
    <w:rsid w:val="00585678"/>
    <w:rsid w:val="00586D62"/>
    <w:rsid w:val="00586F95"/>
    <w:rsid w:val="005875E8"/>
    <w:rsid w:val="0059022E"/>
    <w:rsid w:val="00590376"/>
    <w:rsid w:val="00590C52"/>
    <w:rsid w:val="00591C86"/>
    <w:rsid w:val="00592342"/>
    <w:rsid w:val="00592CA6"/>
    <w:rsid w:val="005939BB"/>
    <w:rsid w:val="00594126"/>
    <w:rsid w:val="00594F79"/>
    <w:rsid w:val="005955E6"/>
    <w:rsid w:val="00595807"/>
    <w:rsid w:val="00595934"/>
    <w:rsid w:val="00596561"/>
    <w:rsid w:val="005965CC"/>
    <w:rsid w:val="00596B56"/>
    <w:rsid w:val="00596B96"/>
    <w:rsid w:val="00596BFE"/>
    <w:rsid w:val="005A4180"/>
    <w:rsid w:val="005A47E8"/>
    <w:rsid w:val="005A49A9"/>
    <w:rsid w:val="005A5687"/>
    <w:rsid w:val="005A5E4E"/>
    <w:rsid w:val="005A6265"/>
    <w:rsid w:val="005A64B8"/>
    <w:rsid w:val="005A66F6"/>
    <w:rsid w:val="005A6BF6"/>
    <w:rsid w:val="005A6F43"/>
    <w:rsid w:val="005A7422"/>
    <w:rsid w:val="005A7E85"/>
    <w:rsid w:val="005B0593"/>
    <w:rsid w:val="005B0EA5"/>
    <w:rsid w:val="005B2440"/>
    <w:rsid w:val="005B3505"/>
    <w:rsid w:val="005B3C05"/>
    <w:rsid w:val="005B3D92"/>
    <w:rsid w:val="005B48EC"/>
    <w:rsid w:val="005B4D3A"/>
    <w:rsid w:val="005B5090"/>
    <w:rsid w:val="005B50DF"/>
    <w:rsid w:val="005B5395"/>
    <w:rsid w:val="005B5A9E"/>
    <w:rsid w:val="005B5C0C"/>
    <w:rsid w:val="005B5C4E"/>
    <w:rsid w:val="005B63BD"/>
    <w:rsid w:val="005B7EC2"/>
    <w:rsid w:val="005C0EDA"/>
    <w:rsid w:val="005C1EC6"/>
    <w:rsid w:val="005C2165"/>
    <w:rsid w:val="005C2C7A"/>
    <w:rsid w:val="005C323D"/>
    <w:rsid w:val="005C32AD"/>
    <w:rsid w:val="005C3D9D"/>
    <w:rsid w:val="005C4C79"/>
    <w:rsid w:val="005C4E96"/>
    <w:rsid w:val="005C6D7B"/>
    <w:rsid w:val="005C6FC8"/>
    <w:rsid w:val="005C7ABC"/>
    <w:rsid w:val="005D0A9F"/>
    <w:rsid w:val="005D1552"/>
    <w:rsid w:val="005D1947"/>
    <w:rsid w:val="005D1DBE"/>
    <w:rsid w:val="005D2619"/>
    <w:rsid w:val="005D2C4F"/>
    <w:rsid w:val="005D31ED"/>
    <w:rsid w:val="005D64F2"/>
    <w:rsid w:val="005D65BE"/>
    <w:rsid w:val="005E01A2"/>
    <w:rsid w:val="005E056B"/>
    <w:rsid w:val="005E0BB5"/>
    <w:rsid w:val="005E0F69"/>
    <w:rsid w:val="005E1174"/>
    <w:rsid w:val="005E18C6"/>
    <w:rsid w:val="005E2006"/>
    <w:rsid w:val="005E2ED7"/>
    <w:rsid w:val="005E2EDC"/>
    <w:rsid w:val="005E3FB2"/>
    <w:rsid w:val="005E4C7E"/>
    <w:rsid w:val="005E5199"/>
    <w:rsid w:val="005E58DC"/>
    <w:rsid w:val="005E590D"/>
    <w:rsid w:val="005E5CF3"/>
    <w:rsid w:val="005E671A"/>
    <w:rsid w:val="005E69DD"/>
    <w:rsid w:val="005E707A"/>
    <w:rsid w:val="005E73DC"/>
    <w:rsid w:val="005E7D58"/>
    <w:rsid w:val="005F02B8"/>
    <w:rsid w:val="005F0563"/>
    <w:rsid w:val="005F089C"/>
    <w:rsid w:val="005F0B45"/>
    <w:rsid w:val="005F1136"/>
    <w:rsid w:val="005F117E"/>
    <w:rsid w:val="005F132E"/>
    <w:rsid w:val="005F193E"/>
    <w:rsid w:val="005F267C"/>
    <w:rsid w:val="005F2D76"/>
    <w:rsid w:val="005F4AA6"/>
    <w:rsid w:val="005F5AF6"/>
    <w:rsid w:val="005F5E20"/>
    <w:rsid w:val="005F66BC"/>
    <w:rsid w:val="005F6A17"/>
    <w:rsid w:val="005F7095"/>
    <w:rsid w:val="005F7298"/>
    <w:rsid w:val="00601FBA"/>
    <w:rsid w:val="00602185"/>
    <w:rsid w:val="00602358"/>
    <w:rsid w:val="006024F7"/>
    <w:rsid w:val="0060254E"/>
    <w:rsid w:val="00602903"/>
    <w:rsid w:val="0060293A"/>
    <w:rsid w:val="00602AB5"/>
    <w:rsid w:val="0060321E"/>
    <w:rsid w:val="00603BDB"/>
    <w:rsid w:val="00603C5B"/>
    <w:rsid w:val="00604403"/>
    <w:rsid w:val="00605160"/>
    <w:rsid w:val="00605AFA"/>
    <w:rsid w:val="00605D8F"/>
    <w:rsid w:val="006064CF"/>
    <w:rsid w:val="0060696A"/>
    <w:rsid w:val="00607429"/>
    <w:rsid w:val="00607A61"/>
    <w:rsid w:val="00607D43"/>
    <w:rsid w:val="006101BD"/>
    <w:rsid w:val="0061263C"/>
    <w:rsid w:val="0061267F"/>
    <w:rsid w:val="006128BA"/>
    <w:rsid w:val="00612A6C"/>
    <w:rsid w:val="00613310"/>
    <w:rsid w:val="00613353"/>
    <w:rsid w:val="00615A9E"/>
    <w:rsid w:val="00616B49"/>
    <w:rsid w:val="00616FF6"/>
    <w:rsid w:val="006177A6"/>
    <w:rsid w:val="006179F0"/>
    <w:rsid w:val="006209B7"/>
    <w:rsid w:val="00620CA7"/>
    <w:rsid w:val="00620F1A"/>
    <w:rsid w:val="006215A2"/>
    <w:rsid w:val="00621D1E"/>
    <w:rsid w:val="006221DC"/>
    <w:rsid w:val="00622680"/>
    <w:rsid w:val="0062324C"/>
    <w:rsid w:val="00624AF1"/>
    <w:rsid w:val="00624B30"/>
    <w:rsid w:val="006250DC"/>
    <w:rsid w:val="00626A3F"/>
    <w:rsid w:val="00627120"/>
    <w:rsid w:val="00627BFA"/>
    <w:rsid w:val="00630FE7"/>
    <w:rsid w:val="0063220A"/>
    <w:rsid w:val="00632426"/>
    <w:rsid w:val="00632E76"/>
    <w:rsid w:val="00633B0F"/>
    <w:rsid w:val="00633D5E"/>
    <w:rsid w:val="006357B3"/>
    <w:rsid w:val="00635E46"/>
    <w:rsid w:val="00636287"/>
    <w:rsid w:val="00636578"/>
    <w:rsid w:val="00636D66"/>
    <w:rsid w:val="00636FA7"/>
    <w:rsid w:val="0063707D"/>
    <w:rsid w:val="00637609"/>
    <w:rsid w:val="00637E27"/>
    <w:rsid w:val="00640DC2"/>
    <w:rsid w:val="00641FBC"/>
    <w:rsid w:val="0064329A"/>
    <w:rsid w:val="006442E0"/>
    <w:rsid w:val="006443AB"/>
    <w:rsid w:val="00644A20"/>
    <w:rsid w:val="00644DB7"/>
    <w:rsid w:val="00645424"/>
    <w:rsid w:val="006454C4"/>
    <w:rsid w:val="00645B5F"/>
    <w:rsid w:val="00646FAC"/>
    <w:rsid w:val="0065061C"/>
    <w:rsid w:val="00651F42"/>
    <w:rsid w:val="006558BB"/>
    <w:rsid w:val="00655A0F"/>
    <w:rsid w:val="0065622F"/>
    <w:rsid w:val="0065671A"/>
    <w:rsid w:val="006570F5"/>
    <w:rsid w:val="006607BC"/>
    <w:rsid w:val="00660BF5"/>
    <w:rsid w:val="00661813"/>
    <w:rsid w:val="00662AFB"/>
    <w:rsid w:val="00662D74"/>
    <w:rsid w:val="00664326"/>
    <w:rsid w:val="006646DA"/>
    <w:rsid w:val="00664B94"/>
    <w:rsid w:val="00666D72"/>
    <w:rsid w:val="00667815"/>
    <w:rsid w:val="0067039F"/>
    <w:rsid w:val="006703D1"/>
    <w:rsid w:val="0067060B"/>
    <w:rsid w:val="006729BC"/>
    <w:rsid w:val="00672A1F"/>
    <w:rsid w:val="006755AE"/>
    <w:rsid w:val="00675D12"/>
    <w:rsid w:val="00675FB3"/>
    <w:rsid w:val="00676583"/>
    <w:rsid w:val="00677A77"/>
    <w:rsid w:val="00680145"/>
    <w:rsid w:val="0068089E"/>
    <w:rsid w:val="0068206F"/>
    <w:rsid w:val="0068219B"/>
    <w:rsid w:val="00682ADF"/>
    <w:rsid w:val="0068321D"/>
    <w:rsid w:val="00683E21"/>
    <w:rsid w:val="00683E69"/>
    <w:rsid w:val="00684436"/>
    <w:rsid w:val="0068639B"/>
    <w:rsid w:val="00686D36"/>
    <w:rsid w:val="00687F77"/>
    <w:rsid w:val="00687FD8"/>
    <w:rsid w:val="0069179A"/>
    <w:rsid w:val="006954C8"/>
    <w:rsid w:val="00695841"/>
    <w:rsid w:val="00696E9C"/>
    <w:rsid w:val="00697381"/>
    <w:rsid w:val="006A0121"/>
    <w:rsid w:val="006A0351"/>
    <w:rsid w:val="006A15D8"/>
    <w:rsid w:val="006A1E47"/>
    <w:rsid w:val="006A22F4"/>
    <w:rsid w:val="006A3AB0"/>
    <w:rsid w:val="006A4075"/>
    <w:rsid w:val="006A53F2"/>
    <w:rsid w:val="006A57EC"/>
    <w:rsid w:val="006A5E51"/>
    <w:rsid w:val="006A678C"/>
    <w:rsid w:val="006A717C"/>
    <w:rsid w:val="006A71E7"/>
    <w:rsid w:val="006A76A0"/>
    <w:rsid w:val="006B04D8"/>
    <w:rsid w:val="006B04FC"/>
    <w:rsid w:val="006B0EC1"/>
    <w:rsid w:val="006B28FA"/>
    <w:rsid w:val="006B2D00"/>
    <w:rsid w:val="006B3401"/>
    <w:rsid w:val="006B40D5"/>
    <w:rsid w:val="006B4159"/>
    <w:rsid w:val="006B42AF"/>
    <w:rsid w:val="006B45D4"/>
    <w:rsid w:val="006B5125"/>
    <w:rsid w:val="006B52E6"/>
    <w:rsid w:val="006B59B4"/>
    <w:rsid w:val="006B5B90"/>
    <w:rsid w:val="006B776E"/>
    <w:rsid w:val="006B78E6"/>
    <w:rsid w:val="006B7AD3"/>
    <w:rsid w:val="006C18A4"/>
    <w:rsid w:val="006C1D66"/>
    <w:rsid w:val="006C1DE6"/>
    <w:rsid w:val="006C1DFB"/>
    <w:rsid w:val="006C1F31"/>
    <w:rsid w:val="006C277E"/>
    <w:rsid w:val="006C29BC"/>
    <w:rsid w:val="006C2AC8"/>
    <w:rsid w:val="006C3931"/>
    <w:rsid w:val="006C436D"/>
    <w:rsid w:val="006C46E4"/>
    <w:rsid w:val="006C4DC4"/>
    <w:rsid w:val="006C5571"/>
    <w:rsid w:val="006C589F"/>
    <w:rsid w:val="006C5A8A"/>
    <w:rsid w:val="006C66D8"/>
    <w:rsid w:val="006C6856"/>
    <w:rsid w:val="006C6FE4"/>
    <w:rsid w:val="006C7D92"/>
    <w:rsid w:val="006D125B"/>
    <w:rsid w:val="006D147D"/>
    <w:rsid w:val="006D2733"/>
    <w:rsid w:val="006D27C9"/>
    <w:rsid w:val="006D3477"/>
    <w:rsid w:val="006D3598"/>
    <w:rsid w:val="006D37ED"/>
    <w:rsid w:val="006D46A4"/>
    <w:rsid w:val="006D657C"/>
    <w:rsid w:val="006D67DF"/>
    <w:rsid w:val="006D6DBE"/>
    <w:rsid w:val="006D76CB"/>
    <w:rsid w:val="006D7DF0"/>
    <w:rsid w:val="006E3ADC"/>
    <w:rsid w:val="006E53CE"/>
    <w:rsid w:val="006E6CDE"/>
    <w:rsid w:val="006E7679"/>
    <w:rsid w:val="006E7F9F"/>
    <w:rsid w:val="006F084B"/>
    <w:rsid w:val="006F0E33"/>
    <w:rsid w:val="006F0F1E"/>
    <w:rsid w:val="006F11D4"/>
    <w:rsid w:val="006F1895"/>
    <w:rsid w:val="006F1CE2"/>
    <w:rsid w:val="006F2B87"/>
    <w:rsid w:val="006F4027"/>
    <w:rsid w:val="006F4DB6"/>
    <w:rsid w:val="006F5285"/>
    <w:rsid w:val="006F58FF"/>
    <w:rsid w:val="006F5968"/>
    <w:rsid w:val="00700070"/>
    <w:rsid w:val="007030EB"/>
    <w:rsid w:val="00703F90"/>
    <w:rsid w:val="00704E0D"/>
    <w:rsid w:val="007050D3"/>
    <w:rsid w:val="00705CBA"/>
    <w:rsid w:val="00706442"/>
    <w:rsid w:val="00706FD1"/>
    <w:rsid w:val="0070784A"/>
    <w:rsid w:val="0071022B"/>
    <w:rsid w:val="00710ECC"/>
    <w:rsid w:val="00710F53"/>
    <w:rsid w:val="00712E55"/>
    <w:rsid w:val="00714D63"/>
    <w:rsid w:val="007155FF"/>
    <w:rsid w:val="00715AFD"/>
    <w:rsid w:val="0071745D"/>
    <w:rsid w:val="00717E92"/>
    <w:rsid w:val="007204E3"/>
    <w:rsid w:val="00721752"/>
    <w:rsid w:val="00721DC4"/>
    <w:rsid w:val="007224C2"/>
    <w:rsid w:val="00722520"/>
    <w:rsid w:val="007232A1"/>
    <w:rsid w:val="00724D56"/>
    <w:rsid w:val="00725BA7"/>
    <w:rsid w:val="0072689E"/>
    <w:rsid w:val="007268C8"/>
    <w:rsid w:val="007275A2"/>
    <w:rsid w:val="00727C1C"/>
    <w:rsid w:val="00730E0C"/>
    <w:rsid w:val="00731262"/>
    <w:rsid w:val="00731706"/>
    <w:rsid w:val="00731D5C"/>
    <w:rsid w:val="00732932"/>
    <w:rsid w:val="007333AA"/>
    <w:rsid w:val="0073420A"/>
    <w:rsid w:val="007354D8"/>
    <w:rsid w:val="0073559B"/>
    <w:rsid w:val="007358E3"/>
    <w:rsid w:val="00736334"/>
    <w:rsid w:val="00736482"/>
    <w:rsid w:val="00736AB7"/>
    <w:rsid w:val="00741546"/>
    <w:rsid w:val="007415B8"/>
    <w:rsid w:val="00741CDD"/>
    <w:rsid w:val="007440C1"/>
    <w:rsid w:val="00744DF2"/>
    <w:rsid w:val="00746385"/>
    <w:rsid w:val="00746387"/>
    <w:rsid w:val="007464E5"/>
    <w:rsid w:val="007472D2"/>
    <w:rsid w:val="00750C98"/>
    <w:rsid w:val="00750DE8"/>
    <w:rsid w:val="00750E02"/>
    <w:rsid w:val="0075214E"/>
    <w:rsid w:val="0075280F"/>
    <w:rsid w:val="00752D08"/>
    <w:rsid w:val="00754164"/>
    <w:rsid w:val="0075501E"/>
    <w:rsid w:val="007550F5"/>
    <w:rsid w:val="0075558E"/>
    <w:rsid w:val="00756B79"/>
    <w:rsid w:val="00757615"/>
    <w:rsid w:val="00760A7E"/>
    <w:rsid w:val="00760E50"/>
    <w:rsid w:val="007624C1"/>
    <w:rsid w:val="0076371A"/>
    <w:rsid w:val="0076394C"/>
    <w:rsid w:val="00763F45"/>
    <w:rsid w:val="0076654A"/>
    <w:rsid w:val="007668A6"/>
    <w:rsid w:val="00767447"/>
    <w:rsid w:val="007678C0"/>
    <w:rsid w:val="007723C3"/>
    <w:rsid w:val="007736D2"/>
    <w:rsid w:val="007745E2"/>
    <w:rsid w:val="00774F22"/>
    <w:rsid w:val="0077520E"/>
    <w:rsid w:val="007762B5"/>
    <w:rsid w:val="0077646D"/>
    <w:rsid w:val="007769AD"/>
    <w:rsid w:val="00777276"/>
    <w:rsid w:val="007779E7"/>
    <w:rsid w:val="007825A0"/>
    <w:rsid w:val="0078281A"/>
    <w:rsid w:val="00782B9E"/>
    <w:rsid w:val="00783229"/>
    <w:rsid w:val="00783273"/>
    <w:rsid w:val="00783523"/>
    <w:rsid w:val="00784009"/>
    <w:rsid w:val="00784412"/>
    <w:rsid w:val="00785174"/>
    <w:rsid w:val="00785BC7"/>
    <w:rsid w:val="00786443"/>
    <w:rsid w:val="00786BC1"/>
    <w:rsid w:val="0079005A"/>
    <w:rsid w:val="00791559"/>
    <w:rsid w:val="00793F22"/>
    <w:rsid w:val="00794474"/>
    <w:rsid w:val="00794A6F"/>
    <w:rsid w:val="00794FE3"/>
    <w:rsid w:val="00795ABF"/>
    <w:rsid w:val="00795B6E"/>
    <w:rsid w:val="00797473"/>
    <w:rsid w:val="00797489"/>
    <w:rsid w:val="00797B46"/>
    <w:rsid w:val="007A00F8"/>
    <w:rsid w:val="007A09FE"/>
    <w:rsid w:val="007A1DA3"/>
    <w:rsid w:val="007A2F90"/>
    <w:rsid w:val="007A3A0D"/>
    <w:rsid w:val="007A3C96"/>
    <w:rsid w:val="007A494D"/>
    <w:rsid w:val="007A4DA9"/>
    <w:rsid w:val="007A5C59"/>
    <w:rsid w:val="007A6014"/>
    <w:rsid w:val="007A64DA"/>
    <w:rsid w:val="007A7556"/>
    <w:rsid w:val="007A75B1"/>
    <w:rsid w:val="007A77BC"/>
    <w:rsid w:val="007B0E9A"/>
    <w:rsid w:val="007B10B1"/>
    <w:rsid w:val="007B11D7"/>
    <w:rsid w:val="007B3AD2"/>
    <w:rsid w:val="007B3E44"/>
    <w:rsid w:val="007B4623"/>
    <w:rsid w:val="007B4FB2"/>
    <w:rsid w:val="007B57B5"/>
    <w:rsid w:val="007B7488"/>
    <w:rsid w:val="007C1306"/>
    <w:rsid w:val="007C1320"/>
    <w:rsid w:val="007C2C39"/>
    <w:rsid w:val="007C42AC"/>
    <w:rsid w:val="007C5CD8"/>
    <w:rsid w:val="007C5DCA"/>
    <w:rsid w:val="007C7D0F"/>
    <w:rsid w:val="007D03CE"/>
    <w:rsid w:val="007D0E61"/>
    <w:rsid w:val="007D13DE"/>
    <w:rsid w:val="007D219F"/>
    <w:rsid w:val="007D2E28"/>
    <w:rsid w:val="007D2E30"/>
    <w:rsid w:val="007D61EB"/>
    <w:rsid w:val="007D66D7"/>
    <w:rsid w:val="007D776B"/>
    <w:rsid w:val="007E0BDD"/>
    <w:rsid w:val="007E12B3"/>
    <w:rsid w:val="007E12C2"/>
    <w:rsid w:val="007E1C82"/>
    <w:rsid w:val="007E33D1"/>
    <w:rsid w:val="007E3F9D"/>
    <w:rsid w:val="007E42D9"/>
    <w:rsid w:val="007E4D56"/>
    <w:rsid w:val="007E57E0"/>
    <w:rsid w:val="007E622A"/>
    <w:rsid w:val="007E6871"/>
    <w:rsid w:val="007E6EAB"/>
    <w:rsid w:val="007E76A3"/>
    <w:rsid w:val="007E7E04"/>
    <w:rsid w:val="007F0C3E"/>
    <w:rsid w:val="007F0C82"/>
    <w:rsid w:val="007F1CA4"/>
    <w:rsid w:val="007F2AC8"/>
    <w:rsid w:val="007F3901"/>
    <w:rsid w:val="007F412C"/>
    <w:rsid w:val="007F4CAF"/>
    <w:rsid w:val="007F4EC4"/>
    <w:rsid w:val="007F50C5"/>
    <w:rsid w:val="007F5306"/>
    <w:rsid w:val="007F5435"/>
    <w:rsid w:val="007F6BDB"/>
    <w:rsid w:val="007F6FDF"/>
    <w:rsid w:val="00800624"/>
    <w:rsid w:val="00801B8B"/>
    <w:rsid w:val="00801CB6"/>
    <w:rsid w:val="00803F78"/>
    <w:rsid w:val="008049FE"/>
    <w:rsid w:val="0080589B"/>
    <w:rsid w:val="008078D9"/>
    <w:rsid w:val="00810E23"/>
    <w:rsid w:val="008112E4"/>
    <w:rsid w:val="00811CE3"/>
    <w:rsid w:val="008121A0"/>
    <w:rsid w:val="008121D2"/>
    <w:rsid w:val="008125C0"/>
    <w:rsid w:val="00812AF9"/>
    <w:rsid w:val="00812B93"/>
    <w:rsid w:val="00812C9F"/>
    <w:rsid w:val="00813223"/>
    <w:rsid w:val="00813446"/>
    <w:rsid w:val="00813601"/>
    <w:rsid w:val="008140C7"/>
    <w:rsid w:val="00814AC7"/>
    <w:rsid w:val="00815160"/>
    <w:rsid w:val="008156CD"/>
    <w:rsid w:val="00816182"/>
    <w:rsid w:val="00816579"/>
    <w:rsid w:val="00816643"/>
    <w:rsid w:val="00817171"/>
    <w:rsid w:val="008207B9"/>
    <w:rsid w:val="008221E6"/>
    <w:rsid w:val="00823F4C"/>
    <w:rsid w:val="008248A9"/>
    <w:rsid w:val="008250BD"/>
    <w:rsid w:val="0082555C"/>
    <w:rsid w:val="008259D6"/>
    <w:rsid w:val="00825F2F"/>
    <w:rsid w:val="00831F1A"/>
    <w:rsid w:val="0083299D"/>
    <w:rsid w:val="00832F8C"/>
    <w:rsid w:val="00833998"/>
    <w:rsid w:val="0083463A"/>
    <w:rsid w:val="00834C9A"/>
    <w:rsid w:val="0083537E"/>
    <w:rsid w:val="00835614"/>
    <w:rsid w:val="008358A7"/>
    <w:rsid w:val="00835ABE"/>
    <w:rsid w:val="00835F15"/>
    <w:rsid w:val="00837C42"/>
    <w:rsid w:val="00840CB2"/>
    <w:rsid w:val="00840F2E"/>
    <w:rsid w:val="00840F3D"/>
    <w:rsid w:val="00841D69"/>
    <w:rsid w:val="00841FAE"/>
    <w:rsid w:val="008421CA"/>
    <w:rsid w:val="00842518"/>
    <w:rsid w:val="008426A2"/>
    <w:rsid w:val="008430AB"/>
    <w:rsid w:val="008437A4"/>
    <w:rsid w:val="00844924"/>
    <w:rsid w:val="00845538"/>
    <w:rsid w:val="0084717E"/>
    <w:rsid w:val="00847883"/>
    <w:rsid w:val="00850438"/>
    <w:rsid w:val="00850D45"/>
    <w:rsid w:val="008511AC"/>
    <w:rsid w:val="008516E5"/>
    <w:rsid w:val="00851A73"/>
    <w:rsid w:val="0085326E"/>
    <w:rsid w:val="00853A11"/>
    <w:rsid w:val="00854B58"/>
    <w:rsid w:val="00854FC7"/>
    <w:rsid w:val="00855604"/>
    <w:rsid w:val="00855926"/>
    <w:rsid w:val="00855C26"/>
    <w:rsid w:val="00855F59"/>
    <w:rsid w:val="00856485"/>
    <w:rsid w:val="00856870"/>
    <w:rsid w:val="0085704A"/>
    <w:rsid w:val="00860F01"/>
    <w:rsid w:val="00861138"/>
    <w:rsid w:val="00861EE9"/>
    <w:rsid w:val="00862347"/>
    <w:rsid w:val="00862747"/>
    <w:rsid w:val="00862AD3"/>
    <w:rsid w:val="00864010"/>
    <w:rsid w:val="00864468"/>
    <w:rsid w:val="00865012"/>
    <w:rsid w:val="008651D1"/>
    <w:rsid w:val="0086551D"/>
    <w:rsid w:val="008658AD"/>
    <w:rsid w:val="008658DD"/>
    <w:rsid w:val="00866018"/>
    <w:rsid w:val="0086743E"/>
    <w:rsid w:val="00867F49"/>
    <w:rsid w:val="0087050B"/>
    <w:rsid w:val="008715DB"/>
    <w:rsid w:val="00871D47"/>
    <w:rsid w:val="00871F08"/>
    <w:rsid w:val="00871F94"/>
    <w:rsid w:val="008723A0"/>
    <w:rsid w:val="00872553"/>
    <w:rsid w:val="00872D78"/>
    <w:rsid w:val="008730CA"/>
    <w:rsid w:val="008733B6"/>
    <w:rsid w:val="008737C8"/>
    <w:rsid w:val="008739FF"/>
    <w:rsid w:val="00873AE0"/>
    <w:rsid w:val="00874CF3"/>
    <w:rsid w:val="00875EEC"/>
    <w:rsid w:val="008761A3"/>
    <w:rsid w:val="0087658A"/>
    <w:rsid w:val="00876C67"/>
    <w:rsid w:val="00876CCB"/>
    <w:rsid w:val="008771BC"/>
    <w:rsid w:val="008775AA"/>
    <w:rsid w:val="00877BCD"/>
    <w:rsid w:val="008808A9"/>
    <w:rsid w:val="0088376C"/>
    <w:rsid w:val="00883E92"/>
    <w:rsid w:val="00884005"/>
    <w:rsid w:val="008842E6"/>
    <w:rsid w:val="0088635D"/>
    <w:rsid w:val="00887367"/>
    <w:rsid w:val="00887C79"/>
    <w:rsid w:val="0089022F"/>
    <w:rsid w:val="00890392"/>
    <w:rsid w:val="00891989"/>
    <w:rsid w:val="00892040"/>
    <w:rsid w:val="00892B56"/>
    <w:rsid w:val="00892D63"/>
    <w:rsid w:val="00893B0B"/>
    <w:rsid w:val="00893BD6"/>
    <w:rsid w:val="00894116"/>
    <w:rsid w:val="0089768E"/>
    <w:rsid w:val="00897804"/>
    <w:rsid w:val="00897914"/>
    <w:rsid w:val="00897BE0"/>
    <w:rsid w:val="00897F63"/>
    <w:rsid w:val="008A10E9"/>
    <w:rsid w:val="008A1281"/>
    <w:rsid w:val="008A1680"/>
    <w:rsid w:val="008A1DA3"/>
    <w:rsid w:val="008A2686"/>
    <w:rsid w:val="008A3263"/>
    <w:rsid w:val="008A37DB"/>
    <w:rsid w:val="008A3958"/>
    <w:rsid w:val="008A4223"/>
    <w:rsid w:val="008A5D94"/>
    <w:rsid w:val="008A6989"/>
    <w:rsid w:val="008A6BFF"/>
    <w:rsid w:val="008A74FF"/>
    <w:rsid w:val="008A7CB7"/>
    <w:rsid w:val="008B0FAB"/>
    <w:rsid w:val="008B1380"/>
    <w:rsid w:val="008B1408"/>
    <w:rsid w:val="008B153A"/>
    <w:rsid w:val="008B15FB"/>
    <w:rsid w:val="008B23EF"/>
    <w:rsid w:val="008B28B7"/>
    <w:rsid w:val="008B31E0"/>
    <w:rsid w:val="008B33A5"/>
    <w:rsid w:val="008B3B49"/>
    <w:rsid w:val="008B555B"/>
    <w:rsid w:val="008B5D7E"/>
    <w:rsid w:val="008B681B"/>
    <w:rsid w:val="008B7FD8"/>
    <w:rsid w:val="008C1766"/>
    <w:rsid w:val="008C1D5E"/>
    <w:rsid w:val="008C2204"/>
    <w:rsid w:val="008C3C64"/>
    <w:rsid w:val="008C4050"/>
    <w:rsid w:val="008C4737"/>
    <w:rsid w:val="008C47EC"/>
    <w:rsid w:val="008C48E7"/>
    <w:rsid w:val="008C4D7B"/>
    <w:rsid w:val="008C53A1"/>
    <w:rsid w:val="008C57DB"/>
    <w:rsid w:val="008C5836"/>
    <w:rsid w:val="008C7110"/>
    <w:rsid w:val="008C74E1"/>
    <w:rsid w:val="008C75EA"/>
    <w:rsid w:val="008D12D4"/>
    <w:rsid w:val="008D15F0"/>
    <w:rsid w:val="008D16B0"/>
    <w:rsid w:val="008D1A03"/>
    <w:rsid w:val="008D219E"/>
    <w:rsid w:val="008D3F43"/>
    <w:rsid w:val="008D4883"/>
    <w:rsid w:val="008D5F75"/>
    <w:rsid w:val="008D6ABC"/>
    <w:rsid w:val="008D720F"/>
    <w:rsid w:val="008E0ABA"/>
    <w:rsid w:val="008E2589"/>
    <w:rsid w:val="008E293C"/>
    <w:rsid w:val="008E381D"/>
    <w:rsid w:val="008E3A0F"/>
    <w:rsid w:val="008E4494"/>
    <w:rsid w:val="008E57E6"/>
    <w:rsid w:val="008E72EB"/>
    <w:rsid w:val="008E7CC9"/>
    <w:rsid w:val="008F00C5"/>
    <w:rsid w:val="008F36D9"/>
    <w:rsid w:val="008F4274"/>
    <w:rsid w:val="008F4761"/>
    <w:rsid w:val="008F5214"/>
    <w:rsid w:val="008F5684"/>
    <w:rsid w:val="008F651C"/>
    <w:rsid w:val="008F6D18"/>
    <w:rsid w:val="008F6D1F"/>
    <w:rsid w:val="008F7003"/>
    <w:rsid w:val="008F7722"/>
    <w:rsid w:val="00900B21"/>
    <w:rsid w:val="00900C97"/>
    <w:rsid w:val="00900D19"/>
    <w:rsid w:val="00900F57"/>
    <w:rsid w:val="0090150F"/>
    <w:rsid w:val="00901D6F"/>
    <w:rsid w:val="00901F48"/>
    <w:rsid w:val="00901FDA"/>
    <w:rsid w:val="00902F95"/>
    <w:rsid w:val="00903A72"/>
    <w:rsid w:val="0090586F"/>
    <w:rsid w:val="00905A13"/>
    <w:rsid w:val="00906C1A"/>
    <w:rsid w:val="0091119D"/>
    <w:rsid w:val="0091151B"/>
    <w:rsid w:val="00912EE1"/>
    <w:rsid w:val="00913FF8"/>
    <w:rsid w:val="009151FE"/>
    <w:rsid w:val="00915D53"/>
    <w:rsid w:val="009166B2"/>
    <w:rsid w:val="009174EA"/>
    <w:rsid w:val="009176BB"/>
    <w:rsid w:val="009204A9"/>
    <w:rsid w:val="00920D03"/>
    <w:rsid w:val="00920E4A"/>
    <w:rsid w:val="00921FAA"/>
    <w:rsid w:val="00922C7D"/>
    <w:rsid w:val="009234D1"/>
    <w:rsid w:val="0092354A"/>
    <w:rsid w:val="0092434B"/>
    <w:rsid w:val="009249F8"/>
    <w:rsid w:val="0092610C"/>
    <w:rsid w:val="009263B3"/>
    <w:rsid w:val="0092719E"/>
    <w:rsid w:val="00930106"/>
    <w:rsid w:val="009308DB"/>
    <w:rsid w:val="00930BEF"/>
    <w:rsid w:val="00931940"/>
    <w:rsid w:val="00931EBA"/>
    <w:rsid w:val="0093200A"/>
    <w:rsid w:val="00932233"/>
    <w:rsid w:val="009322D0"/>
    <w:rsid w:val="0093273B"/>
    <w:rsid w:val="00933489"/>
    <w:rsid w:val="0093376F"/>
    <w:rsid w:val="00934786"/>
    <w:rsid w:val="00934BCC"/>
    <w:rsid w:val="0093562C"/>
    <w:rsid w:val="00935927"/>
    <w:rsid w:val="00935FB1"/>
    <w:rsid w:val="00936505"/>
    <w:rsid w:val="0093689D"/>
    <w:rsid w:val="0093698E"/>
    <w:rsid w:val="00941055"/>
    <w:rsid w:val="0094124D"/>
    <w:rsid w:val="0094182F"/>
    <w:rsid w:val="0094270F"/>
    <w:rsid w:val="00942ED6"/>
    <w:rsid w:val="00943B2B"/>
    <w:rsid w:val="00944CAA"/>
    <w:rsid w:val="0094545F"/>
    <w:rsid w:val="00945671"/>
    <w:rsid w:val="00945F63"/>
    <w:rsid w:val="00946456"/>
    <w:rsid w:val="00946525"/>
    <w:rsid w:val="00947EFA"/>
    <w:rsid w:val="00950E42"/>
    <w:rsid w:val="00950F46"/>
    <w:rsid w:val="00951736"/>
    <w:rsid w:val="00951F9D"/>
    <w:rsid w:val="00952FD7"/>
    <w:rsid w:val="00953432"/>
    <w:rsid w:val="009535A1"/>
    <w:rsid w:val="00954C69"/>
    <w:rsid w:val="00954E5D"/>
    <w:rsid w:val="009550A4"/>
    <w:rsid w:val="00955D14"/>
    <w:rsid w:val="0095637F"/>
    <w:rsid w:val="00956C6E"/>
    <w:rsid w:val="00957286"/>
    <w:rsid w:val="009579B5"/>
    <w:rsid w:val="00960042"/>
    <w:rsid w:val="00960EC3"/>
    <w:rsid w:val="00961E17"/>
    <w:rsid w:val="00963204"/>
    <w:rsid w:val="009647DF"/>
    <w:rsid w:val="009649B2"/>
    <w:rsid w:val="00964D37"/>
    <w:rsid w:val="009654C1"/>
    <w:rsid w:val="00965672"/>
    <w:rsid w:val="0096643E"/>
    <w:rsid w:val="00966A40"/>
    <w:rsid w:val="00967575"/>
    <w:rsid w:val="00970818"/>
    <w:rsid w:val="009740B9"/>
    <w:rsid w:val="00974C35"/>
    <w:rsid w:val="00977CFC"/>
    <w:rsid w:val="009800DA"/>
    <w:rsid w:val="00980708"/>
    <w:rsid w:val="00981081"/>
    <w:rsid w:val="0098154A"/>
    <w:rsid w:val="00984723"/>
    <w:rsid w:val="00985021"/>
    <w:rsid w:val="00986E2D"/>
    <w:rsid w:val="00986F45"/>
    <w:rsid w:val="00987190"/>
    <w:rsid w:val="00987242"/>
    <w:rsid w:val="00987A31"/>
    <w:rsid w:val="00990435"/>
    <w:rsid w:val="00990A4A"/>
    <w:rsid w:val="0099296B"/>
    <w:rsid w:val="0099303B"/>
    <w:rsid w:val="00994EF8"/>
    <w:rsid w:val="009A0F1D"/>
    <w:rsid w:val="009A15E9"/>
    <w:rsid w:val="009A1C02"/>
    <w:rsid w:val="009A2A5D"/>
    <w:rsid w:val="009A3901"/>
    <w:rsid w:val="009A6A8A"/>
    <w:rsid w:val="009A6B72"/>
    <w:rsid w:val="009A707C"/>
    <w:rsid w:val="009A71A2"/>
    <w:rsid w:val="009B114F"/>
    <w:rsid w:val="009B249D"/>
    <w:rsid w:val="009B26C3"/>
    <w:rsid w:val="009B2781"/>
    <w:rsid w:val="009B2919"/>
    <w:rsid w:val="009B2F6B"/>
    <w:rsid w:val="009B301C"/>
    <w:rsid w:val="009B30DA"/>
    <w:rsid w:val="009B3C5A"/>
    <w:rsid w:val="009B4735"/>
    <w:rsid w:val="009B6E15"/>
    <w:rsid w:val="009B7D5F"/>
    <w:rsid w:val="009C029F"/>
    <w:rsid w:val="009C1773"/>
    <w:rsid w:val="009C2440"/>
    <w:rsid w:val="009C2744"/>
    <w:rsid w:val="009C2827"/>
    <w:rsid w:val="009C28FD"/>
    <w:rsid w:val="009C51D5"/>
    <w:rsid w:val="009C531C"/>
    <w:rsid w:val="009C5CD4"/>
    <w:rsid w:val="009C5D13"/>
    <w:rsid w:val="009C61F6"/>
    <w:rsid w:val="009C77B4"/>
    <w:rsid w:val="009D0450"/>
    <w:rsid w:val="009D0D56"/>
    <w:rsid w:val="009D2F51"/>
    <w:rsid w:val="009D3867"/>
    <w:rsid w:val="009D432F"/>
    <w:rsid w:val="009D56DC"/>
    <w:rsid w:val="009D5DCC"/>
    <w:rsid w:val="009D6AAE"/>
    <w:rsid w:val="009D7652"/>
    <w:rsid w:val="009E0CF1"/>
    <w:rsid w:val="009E1081"/>
    <w:rsid w:val="009E1F56"/>
    <w:rsid w:val="009E1FB6"/>
    <w:rsid w:val="009E20F1"/>
    <w:rsid w:val="009E3D71"/>
    <w:rsid w:val="009E4EE5"/>
    <w:rsid w:val="009E5B61"/>
    <w:rsid w:val="009E5BA9"/>
    <w:rsid w:val="009E6B63"/>
    <w:rsid w:val="009E781A"/>
    <w:rsid w:val="009F0864"/>
    <w:rsid w:val="009F124C"/>
    <w:rsid w:val="009F1860"/>
    <w:rsid w:val="009F2953"/>
    <w:rsid w:val="009F2B3A"/>
    <w:rsid w:val="009F405A"/>
    <w:rsid w:val="009F52CB"/>
    <w:rsid w:val="009F5B9C"/>
    <w:rsid w:val="009F6A44"/>
    <w:rsid w:val="009F721C"/>
    <w:rsid w:val="009F7E54"/>
    <w:rsid w:val="00A001D7"/>
    <w:rsid w:val="00A00236"/>
    <w:rsid w:val="00A01CB0"/>
    <w:rsid w:val="00A03B4E"/>
    <w:rsid w:val="00A03C5F"/>
    <w:rsid w:val="00A03C62"/>
    <w:rsid w:val="00A041B9"/>
    <w:rsid w:val="00A043CC"/>
    <w:rsid w:val="00A04E77"/>
    <w:rsid w:val="00A053A9"/>
    <w:rsid w:val="00A05534"/>
    <w:rsid w:val="00A05C82"/>
    <w:rsid w:val="00A05E2E"/>
    <w:rsid w:val="00A07A22"/>
    <w:rsid w:val="00A07C7E"/>
    <w:rsid w:val="00A07E79"/>
    <w:rsid w:val="00A07FCD"/>
    <w:rsid w:val="00A104E8"/>
    <w:rsid w:val="00A10673"/>
    <w:rsid w:val="00A1197C"/>
    <w:rsid w:val="00A12DF8"/>
    <w:rsid w:val="00A13874"/>
    <w:rsid w:val="00A13E08"/>
    <w:rsid w:val="00A155FC"/>
    <w:rsid w:val="00A158FE"/>
    <w:rsid w:val="00A15B7A"/>
    <w:rsid w:val="00A16043"/>
    <w:rsid w:val="00A160D7"/>
    <w:rsid w:val="00A173A8"/>
    <w:rsid w:val="00A201FC"/>
    <w:rsid w:val="00A207DC"/>
    <w:rsid w:val="00A21174"/>
    <w:rsid w:val="00A2186A"/>
    <w:rsid w:val="00A21B51"/>
    <w:rsid w:val="00A22370"/>
    <w:rsid w:val="00A22AF6"/>
    <w:rsid w:val="00A22B57"/>
    <w:rsid w:val="00A23500"/>
    <w:rsid w:val="00A25891"/>
    <w:rsid w:val="00A2658B"/>
    <w:rsid w:val="00A267C0"/>
    <w:rsid w:val="00A2696D"/>
    <w:rsid w:val="00A27F77"/>
    <w:rsid w:val="00A319AD"/>
    <w:rsid w:val="00A319DB"/>
    <w:rsid w:val="00A33718"/>
    <w:rsid w:val="00A347D3"/>
    <w:rsid w:val="00A347F6"/>
    <w:rsid w:val="00A34FFF"/>
    <w:rsid w:val="00A35012"/>
    <w:rsid w:val="00A36006"/>
    <w:rsid w:val="00A3619F"/>
    <w:rsid w:val="00A36E1F"/>
    <w:rsid w:val="00A378EE"/>
    <w:rsid w:val="00A37BE1"/>
    <w:rsid w:val="00A40183"/>
    <w:rsid w:val="00A40209"/>
    <w:rsid w:val="00A40657"/>
    <w:rsid w:val="00A40C0E"/>
    <w:rsid w:val="00A41306"/>
    <w:rsid w:val="00A42916"/>
    <w:rsid w:val="00A42C07"/>
    <w:rsid w:val="00A42D07"/>
    <w:rsid w:val="00A432F9"/>
    <w:rsid w:val="00A434E9"/>
    <w:rsid w:val="00A446C7"/>
    <w:rsid w:val="00A45A0D"/>
    <w:rsid w:val="00A46866"/>
    <w:rsid w:val="00A46C71"/>
    <w:rsid w:val="00A509D0"/>
    <w:rsid w:val="00A50D04"/>
    <w:rsid w:val="00A50D4F"/>
    <w:rsid w:val="00A5106F"/>
    <w:rsid w:val="00A5181E"/>
    <w:rsid w:val="00A52E19"/>
    <w:rsid w:val="00A5370C"/>
    <w:rsid w:val="00A54834"/>
    <w:rsid w:val="00A54D39"/>
    <w:rsid w:val="00A56943"/>
    <w:rsid w:val="00A574B5"/>
    <w:rsid w:val="00A575BA"/>
    <w:rsid w:val="00A57D19"/>
    <w:rsid w:val="00A57D42"/>
    <w:rsid w:val="00A627B1"/>
    <w:rsid w:val="00A63272"/>
    <w:rsid w:val="00A63849"/>
    <w:rsid w:val="00A63A1F"/>
    <w:rsid w:val="00A63D67"/>
    <w:rsid w:val="00A64109"/>
    <w:rsid w:val="00A64266"/>
    <w:rsid w:val="00A65331"/>
    <w:rsid w:val="00A65AC6"/>
    <w:rsid w:val="00A6669B"/>
    <w:rsid w:val="00A67228"/>
    <w:rsid w:val="00A678C1"/>
    <w:rsid w:val="00A7021E"/>
    <w:rsid w:val="00A70546"/>
    <w:rsid w:val="00A710B2"/>
    <w:rsid w:val="00A7126F"/>
    <w:rsid w:val="00A71EF8"/>
    <w:rsid w:val="00A72665"/>
    <w:rsid w:val="00A72F36"/>
    <w:rsid w:val="00A735A5"/>
    <w:rsid w:val="00A752F9"/>
    <w:rsid w:val="00A7598A"/>
    <w:rsid w:val="00A767CA"/>
    <w:rsid w:val="00A76845"/>
    <w:rsid w:val="00A7787E"/>
    <w:rsid w:val="00A8004B"/>
    <w:rsid w:val="00A80781"/>
    <w:rsid w:val="00A80C67"/>
    <w:rsid w:val="00A814AE"/>
    <w:rsid w:val="00A81C92"/>
    <w:rsid w:val="00A82299"/>
    <w:rsid w:val="00A827A3"/>
    <w:rsid w:val="00A832BF"/>
    <w:rsid w:val="00A833DD"/>
    <w:rsid w:val="00A83470"/>
    <w:rsid w:val="00A84C8E"/>
    <w:rsid w:val="00A84FA8"/>
    <w:rsid w:val="00A85965"/>
    <w:rsid w:val="00A86A8A"/>
    <w:rsid w:val="00A8762A"/>
    <w:rsid w:val="00A8765E"/>
    <w:rsid w:val="00A87F0F"/>
    <w:rsid w:val="00A907C6"/>
    <w:rsid w:val="00A90E80"/>
    <w:rsid w:val="00A9111D"/>
    <w:rsid w:val="00A93C23"/>
    <w:rsid w:val="00A93F23"/>
    <w:rsid w:val="00A94268"/>
    <w:rsid w:val="00A951D0"/>
    <w:rsid w:val="00A9614F"/>
    <w:rsid w:val="00A96340"/>
    <w:rsid w:val="00A96A77"/>
    <w:rsid w:val="00A97434"/>
    <w:rsid w:val="00A977C6"/>
    <w:rsid w:val="00A97D62"/>
    <w:rsid w:val="00AA0143"/>
    <w:rsid w:val="00AA04EF"/>
    <w:rsid w:val="00AA065F"/>
    <w:rsid w:val="00AA0947"/>
    <w:rsid w:val="00AA11BE"/>
    <w:rsid w:val="00AA32C2"/>
    <w:rsid w:val="00AA3C33"/>
    <w:rsid w:val="00AA3CDD"/>
    <w:rsid w:val="00AA5960"/>
    <w:rsid w:val="00AA59E4"/>
    <w:rsid w:val="00AA6C2A"/>
    <w:rsid w:val="00AB0DB8"/>
    <w:rsid w:val="00AB24BF"/>
    <w:rsid w:val="00AB3481"/>
    <w:rsid w:val="00AB3C82"/>
    <w:rsid w:val="00AB3E4B"/>
    <w:rsid w:val="00AB3F81"/>
    <w:rsid w:val="00AB4F74"/>
    <w:rsid w:val="00AB5220"/>
    <w:rsid w:val="00AB5E96"/>
    <w:rsid w:val="00AB60C6"/>
    <w:rsid w:val="00AB73B8"/>
    <w:rsid w:val="00AB73FB"/>
    <w:rsid w:val="00AB78C0"/>
    <w:rsid w:val="00AC0E3F"/>
    <w:rsid w:val="00AC1AEB"/>
    <w:rsid w:val="00AC2EE2"/>
    <w:rsid w:val="00AC4703"/>
    <w:rsid w:val="00AC4B97"/>
    <w:rsid w:val="00AD0BC6"/>
    <w:rsid w:val="00AD0BD6"/>
    <w:rsid w:val="00AD1D34"/>
    <w:rsid w:val="00AD2029"/>
    <w:rsid w:val="00AD206D"/>
    <w:rsid w:val="00AD2854"/>
    <w:rsid w:val="00AD2FF8"/>
    <w:rsid w:val="00AD3210"/>
    <w:rsid w:val="00AD4A03"/>
    <w:rsid w:val="00AD4EB5"/>
    <w:rsid w:val="00AD531A"/>
    <w:rsid w:val="00AD5539"/>
    <w:rsid w:val="00AD60F1"/>
    <w:rsid w:val="00AD612E"/>
    <w:rsid w:val="00AE1287"/>
    <w:rsid w:val="00AE13A4"/>
    <w:rsid w:val="00AE1831"/>
    <w:rsid w:val="00AE2402"/>
    <w:rsid w:val="00AE2D6A"/>
    <w:rsid w:val="00AE5C05"/>
    <w:rsid w:val="00AE6519"/>
    <w:rsid w:val="00AE6B51"/>
    <w:rsid w:val="00AE6BA8"/>
    <w:rsid w:val="00AE6C42"/>
    <w:rsid w:val="00AE6F73"/>
    <w:rsid w:val="00AE7779"/>
    <w:rsid w:val="00AF0884"/>
    <w:rsid w:val="00AF0A96"/>
    <w:rsid w:val="00AF1061"/>
    <w:rsid w:val="00AF2112"/>
    <w:rsid w:val="00AF2F97"/>
    <w:rsid w:val="00AF321A"/>
    <w:rsid w:val="00AF387C"/>
    <w:rsid w:val="00AF3B5E"/>
    <w:rsid w:val="00AF3D14"/>
    <w:rsid w:val="00AF4724"/>
    <w:rsid w:val="00AF47FB"/>
    <w:rsid w:val="00AF5F34"/>
    <w:rsid w:val="00AF669A"/>
    <w:rsid w:val="00AF67F1"/>
    <w:rsid w:val="00AF793C"/>
    <w:rsid w:val="00AF7DDF"/>
    <w:rsid w:val="00B0113B"/>
    <w:rsid w:val="00B0294D"/>
    <w:rsid w:val="00B0542F"/>
    <w:rsid w:val="00B0555B"/>
    <w:rsid w:val="00B05582"/>
    <w:rsid w:val="00B05A97"/>
    <w:rsid w:val="00B061D5"/>
    <w:rsid w:val="00B108CC"/>
    <w:rsid w:val="00B10A33"/>
    <w:rsid w:val="00B1130E"/>
    <w:rsid w:val="00B11C32"/>
    <w:rsid w:val="00B12AD0"/>
    <w:rsid w:val="00B1341C"/>
    <w:rsid w:val="00B13FBD"/>
    <w:rsid w:val="00B1466F"/>
    <w:rsid w:val="00B14E77"/>
    <w:rsid w:val="00B153AA"/>
    <w:rsid w:val="00B164B3"/>
    <w:rsid w:val="00B16A53"/>
    <w:rsid w:val="00B16BE0"/>
    <w:rsid w:val="00B17675"/>
    <w:rsid w:val="00B17A4E"/>
    <w:rsid w:val="00B20B33"/>
    <w:rsid w:val="00B21204"/>
    <w:rsid w:val="00B23225"/>
    <w:rsid w:val="00B23B92"/>
    <w:rsid w:val="00B25242"/>
    <w:rsid w:val="00B257FA"/>
    <w:rsid w:val="00B26E61"/>
    <w:rsid w:val="00B27683"/>
    <w:rsid w:val="00B3004A"/>
    <w:rsid w:val="00B304C6"/>
    <w:rsid w:val="00B30790"/>
    <w:rsid w:val="00B3324C"/>
    <w:rsid w:val="00B333F2"/>
    <w:rsid w:val="00B33C54"/>
    <w:rsid w:val="00B3457A"/>
    <w:rsid w:val="00B346A7"/>
    <w:rsid w:val="00B34876"/>
    <w:rsid w:val="00B36E9B"/>
    <w:rsid w:val="00B374E5"/>
    <w:rsid w:val="00B37681"/>
    <w:rsid w:val="00B37912"/>
    <w:rsid w:val="00B40355"/>
    <w:rsid w:val="00B41267"/>
    <w:rsid w:val="00B430AB"/>
    <w:rsid w:val="00B43371"/>
    <w:rsid w:val="00B434C1"/>
    <w:rsid w:val="00B43EAD"/>
    <w:rsid w:val="00B44226"/>
    <w:rsid w:val="00B444FF"/>
    <w:rsid w:val="00B45051"/>
    <w:rsid w:val="00B4535C"/>
    <w:rsid w:val="00B4665C"/>
    <w:rsid w:val="00B46C19"/>
    <w:rsid w:val="00B46C52"/>
    <w:rsid w:val="00B50FFF"/>
    <w:rsid w:val="00B5110C"/>
    <w:rsid w:val="00B513F6"/>
    <w:rsid w:val="00B5233A"/>
    <w:rsid w:val="00B5273D"/>
    <w:rsid w:val="00B53184"/>
    <w:rsid w:val="00B53996"/>
    <w:rsid w:val="00B55D24"/>
    <w:rsid w:val="00B5673F"/>
    <w:rsid w:val="00B5734E"/>
    <w:rsid w:val="00B577C7"/>
    <w:rsid w:val="00B6062E"/>
    <w:rsid w:val="00B61181"/>
    <w:rsid w:val="00B620AB"/>
    <w:rsid w:val="00B6245C"/>
    <w:rsid w:val="00B62930"/>
    <w:rsid w:val="00B62CC7"/>
    <w:rsid w:val="00B63E23"/>
    <w:rsid w:val="00B63F34"/>
    <w:rsid w:val="00B64E19"/>
    <w:rsid w:val="00B65382"/>
    <w:rsid w:val="00B66239"/>
    <w:rsid w:val="00B664FF"/>
    <w:rsid w:val="00B66B0B"/>
    <w:rsid w:val="00B708CE"/>
    <w:rsid w:val="00B70E2C"/>
    <w:rsid w:val="00B72CBA"/>
    <w:rsid w:val="00B7300E"/>
    <w:rsid w:val="00B74445"/>
    <w:rsid w:val="00B74475"/>
    <w:rsid w:val="00B7644C"/>
    <w:rsid w:val="00B765A5"/>
    <w:rsid w:val="00B7684B"/>
    <w:rsid w:val="00B768A7"/>
    <w:rsid w:val="00B76944"/>
    <w:rsid w:val="00B80368"/>
    <w:rsid w:val="00B81060"/>
    <w:rsid w:val="00B81715"/>
    <w:rsid w:val="00B822C7"/>
    <w:rsid w:val="00B826B2"/>
    <w:rsid w:val="00B837DA"/>
    <w:rsid w:val="00B83B6A"/>
    <w:rsid w:val="00B84897"/>
    <w:rsid w:val="00B855F0"/>
    <w:rsid w:val="00B85723"/>
    <w:rsid w:val="00B86A29"/>
    <w:rsid w:val="00B87182"/>
    <w:rsid w:val="00B907BC"/>
    <w:rsid w:val="00B90CB4"/>
    <w:rsid w:val="00B92231"/>
    <w:rsid w:val="00B9231F"/>
    <w:rsid w:val="00B929D0"/>
    <w:rsid w:val="00B94EE3"/>
    <w:rsid w:val="00B9503A"/>
    <w:rsid w:val="00B95CBF"/>
    <w:rsid w:val="00B972B0"/>
    <w:rsid w:val="00B9769F"/>
    <w:rsid w:val="00B9788C"/>
    <w:rsid w:val="00BA11B4"/>
    <w:rsid w:val="00BA1B64"/>
    <w:rsid w:val="00BA2221"/>
    <w:rsid w:val="00BA3AD3"/>
    <w:rsid w:val="00BA5570"/>
    <w:rsid w:val="00BB0E4A"/>
    <w:rsid w:val="00BB1E09"/>
    <w:rsid w:val="00BB2133"/>
    <w:rsid w:val="00BB21B4"/>
    <w:rsid w:val="00BB2E75"/>
    <w:rsid w:val="00BB406D"/>
    <w:rsid w:val="00BB4B99"/>
    <w:rsid w:val="00BB680A"/>
    <w:rsid w:val="00BB722C"/>
    <w:rsid w:val="00BC05AA"/>
    <w:rsid w:val="00BC06BA"/>
    <w:rsid w:val="00BC0A22"/>
    <w:rsid w:val="00BC2729"/>
    <w:rsid w:val="00BC3EC8"/>
    <w:rsid w:val="00BC50CC"/>
    <w:rsid w:val="00BC5401"/>
    <w:rsid w:val="00BC5A84"/>
    <w:rsid w:val="00BC6305"/>
    <w:rsid w:val="00BC7163"/>
    <w:rsid w:val="00BC74FF"/>
    <w:rsid w:val="00BC7595"/>
    <w:rsid w:val="00BD09C0"/>
    <w:rsid w:val="00BD1E43"/>
    <w:rsid w:val="00BD3B5D"/>
    <w:rsid w:val="00BD3E92"/>
    <w:rsid w:val="00BD456A"/>
    <w:rsid w:val="00BD458A"/>
    <w:rsid w:val="00BD5096"/>
    <w:rsid w:val="00BD54D8"/>
    <w:rsid w:val="00BD6186"/>
    <w:rsid w:val="00BE0689"/>
    <w:rsid w:val="00BE12A1"/>
    <w:rsid w:val="00BE2B51"/>
    <w:rsid w:val="00BE37B8"/>
    <w:rsid w:val="00BE3857"/>
    <w:rsid w:val="00BE515B"/>
    <w:rsid w:val="00BE5DE6"/>
    <w:rsid w:val="00BE6246"/>
    <w:rsid w:val="00BE6B8A"/>
    <w:rsid w:val="00BE6DE0"/>
    <w:rsid w:val="00BE7AA7"/>
    <w:rsid w:val="00BF0162"/>
    <w:rsid w:val="00BF053F"/>
    <w:rsid w:val="00BF07F6"/>
    <w:rsid w:val="00BF17DB"/>
    <w:rsid w:val="00BF18F4"/>
    <w:rsid w:val="00BF1B05"/>
    <w:rsid w:val="00BF1E10"/>
    <w:rsid w:val="00BF2324"/>
    <w:rsid w:val="00BF2A13"/>
    <w:rsid w:val="00BF36E8"/>
    <w:rsid w:val="00BF4F64"/>
    <w:rsid w:val="00BF5DCD"/>
    <w:rsid w:val="00BF6006"/>
    <w:rsid w:val="00BF73F7"/>
    <w:rsid w:val="00C00353"/>
    <w:rsid w:val="00C00499"/>
    <w:rsid w:val="00C005B2"/>
    <w:rsid w:val="00C01CDA"/>
    <w:rsid w:val="00C022F2"/>
    <w:rsid w:val="00C02C3E"/>
    <w:rsid w:val="00C02D6E"/>
    <w:rsid w:val="00C02E30"/>
    <w:rsid w:val="00C02FF4"/>
    <w:rsid w:val="00C032E4"/>
    <w:rsid w:val="00C03D95"/>
    <w:rsid w:val="00C04009"/>
    <w:rsid w:val="00C0510B"/>
    <w:rsid w:val="00C06260"/>
    <w:rsid w:val="00C064E3"/>
    <w:rsid w:val="00C064FC"/>
    <w:rsid w:val="00C07296"/>
    <w:rsid w:val="00C07936"/>
    <w:rsid w:val="00C100AA"/>
    <w:rsid w:val="00C1066E"/>
    <w:rsid w:val="00C10C6C"/>
    <w:rsid w:val="00C12A88"/>
    <w:rsid w:val="00C12B2F"/>
    <w:rsid w:val="00C12E34"/>
    <w:rsid w:val="00C135E0"/>
    <w:rsid w:val="00C14CE2"/>
    <w:rsid w:val="00C14D04"/>
    <w:rsid w:val="00C14D55"/>
    <w:rsid w:val="00C1546C"/>
    <w:rsid w:val="00C15789"/>
    <w:rsid w:val="00C169C5"/>
    <w:rsid w:val="00C2092D"/>
    <w:rsid w:val="00C20D75"/>
    <w:rsid w:val="00C22757"/>
    <w:rsid w:val="00C22F82"/>
    <w:rsid w:val="00C23137"/>
    <w:rsid w:val="00C2370B"/>
    <w:rsid w:val="00C23A77"/>
    <w:rsid w:val="00C242CB"/>
    <w:rsid w:val="00C244FF"/>
    <w:rsid w:val="00C24774"/>
    <w:rsid w:val="00C249A5"/>
    <w:rsid w:val="00C24E5A"/>
    <w:rsid w:val="00C25303"/>
    <w:rsid w:val="00C268AB"/>
    <w:rsid w:val="00C27095"/>
    <w:rsid w:val="00C27462"/>
    <w:rsid w:val="00C27D69"/>
    <w:rsid w:val="00C303F8"/>
    <w:rsid w:val="00C305D9"/>
    <w:rsid w:val="00C31B5C"/>
    <w:rsid w:val="00C31B6E"/>
    <w:rsid w:val="00C31D03"/>
    <w:rsid w:val="00C3231E"/>
    <w:rsid w:val="00C33497"/>
    <w:rsid w:val="00C347B4"/>
    <w:rsid w:val="00C348BD"/>
    <w:rsid w:val="00C354F7"/>
    <w:rsid w:val="00C35973"/>
    <w:rsid w:val="00C35B6F"/>
    <w:rsid w:val="00C35FB4"/>
    <w:rsid w:val="00C366BF"/>
    <w:rsid w:val="00C36E61"/>
    <w:rsid w:val="00C373EE"/>
    <w:rsid w:val="00C4090C"/>
    <w:rsid w:val="00C412A8"/>
    <w:rsid w:val="00C419A1"/>
    <w:rsid w:val="00C42F86"/>
    <w:rsid w:val="00C43984"/>
    <w:rsid w:val="00C439C8"/>
    <w:rsid w:val="00C445C0"/>
    <w:rsid w:val="00C44794"/>
    <w:rsid w:val="00C45BD4"/>
    <w:rsid w:val="00C45D14"/>
    <w:rsid w:val="00C4796C"/>
    <w:rsid w:val="00C479F7"/>
    <w:rsid w:val="00C5025F"/>
    <w:rsid w:val="00C5026A"/>
    <w:rsid w:val="00C5043B"/>
    <w:rsid w:val="00C513B1"/>
    <w:rsid w:val="00C52244"/>
    <w:rsid w:val="00C52A85"/>
    <w:rsid w:val="00C5303F"/>
    <w:rsid w:val="00C536E0"/>
    <w:rsid w:val="00C541C9"/>
    <w:rsid w:val="00C544CC"/>
    <w:rsid w:val="00C54ABD"/>
    <w:rsid w:val="00C55756"/>
    <w:rsid w:val="00C5582E"/>
    <w:rsid w:val="00C55C04"/>
    <w:rsid w:val="00C561E8"/>
    <w:rsid w:val="00C57F32"/>
    <w:rsid w:val="00C62B0E"/>
    <w:rsid w:val="00C642F7"/>
    <w:rsid w:val="00C6515E"/>
    <w:rsid w:val="00C657D6"/>
    <w:rsid w:val="00C6586F"/>
    <w:rsid w:val="00C65CA4"/>
    <w:rsid w:val="00C67CD1"/>
    <w:rsid w:val="00C706C1"/>
    <w:rsid w:val="00C70AE5"/>
    <w:rsid w:val="00C70ED7"/>
    <w:rsid w:val="00C713A7"/>
    <w:rsid w:val="00C71E7C"/>
    <w:rsid w:val="00C72653"/>
    <w:rsid w:val="00C734D9"/>
    <w:rsid w:val="00C73843"/>
    <w:rsid w:val="00C74309"/>
    <w:rsid w:val="00C76416"/>
    <w:rsid w:val="00C779A9"/>
    <w:rsid w:val="00C77C87"/>
    <w:rsid w:val="00C80AC6"/>
    <w:rsid w:val="00C81246"/>
    <w:rsid w:val="00C8247D"/>
    <w:rsid w:val="00C82912"/>
    <w:rsid w:val="00C82B42"/>
    <w:rsid w:val="00C82E4F"/>
    <w:rsid w:val="00C844AE"/>
    <w:rsid w:val="00C87143"/>
    <w:rsid w:val="00C905EB"/>
    <w:rsid w:val="00C9062E"/>
    <w:rsid w:val="00C91745"/>
    <w:rsid w:val="00C9247E"/>
    <w:rsid w:val="00C93022"/>
    <w:rsid w:val="00C93323"/>
    <w:rsid w:val="00C93388"/>
    <w:rsid w:val="00C935E9"/>
    <w:rsid w:val="00C94A3C"/>
    <w:rsid w:val="00C95D03"/>
    <w:rsid w:val="00C96BEE"/>
    <w:rsid w:val="00CA1199"/>
    <w:rsid w:val="00CA1A57"/>
    <w:rsid w:val="00CA24F5"/>
    <w:rsid w:val="00CA2C9E"/>
    <w:rsid w:val="00CA2FE0"/>
    <w:rsid w:val="00CA3470"/>
    <w:rsid w:val="00CA3477"/>
    <w:rsid w:val="00CA3D49"/>
    <w:rsid w:val="00CA435F"/>
    <w:rsid w:val="00CA69F3"/>
    <w:rsid w:val="00CA6D44"/>
    <w:rsid w:val="00CA6E5E"/>
    <w:rsid w:val="00CA7DA0"/>
    <w:rsid w:val="00CA7E6E"/>
    <w:rsid w:val="00CB03E9"/>
    <w:rsid w:val="00CB11DC"/>
    <w:rsid w:val="00CB1501"/>
    <w:rsid w:val="00CB1B3A"/>
    <w:rsid w:val="00CB35FB"/>
    <w:rsid w:val="00CB3A67"/>
    <w:rsid w:val="00CB3F39"/>
    <w:rsid w:val="00CB4B22"/>
    <w:rsid w:val="00CB4DB0"/>
    <w:rsid w:val="00CB6EC9"/>
    <w:rsid w:val="00CB738D"/>
    <w:rsid w:val="00CB7818"/>
    <w:rsid w:val="00CC1B20"/>
    <w:rsid w:val="00CC2AAF"/>
    <w:rsid w:val="00CC3623"/>
    <w:rsid w:val="00CC398A"/>
    <w:rsid w:val="00CC4014"/>
    <w:rsid w:val="00CC41A6"/>
    <w:rsid w:val="00CC44CE"/>
    <w:rsid w:val="00CC57F5"/>
    <w:rsid w:val="00CC652D"/>
    <w:rsid w:val="00CC6670"/>
    <w:rsid w:val="00CD0267"/>
    <w:rsid w:val="00CD4E10"/>
    <w:rsid w:val="00CD5280"/>
    <w:rsid w:val="00CD5DD7"/>
    <w:rsid w:val="00CE0339"/>
    <w:rsid w:val="00CE0421"/>
    <w:rsid w:val="00CE139E"/>
    <w:rsid w:val="00CE1EB7"/>
    <w:rsid w:val="00CE1F2E"/>
    <w:rsid w:val="00CE38FD"/>
    <w:rsid w:val="00CE4C0F"/>
    <w:rsid w:val="00CE58D3"/>
    <w:rsid w:val="00CE5B51"/>
    <w:rsid w:val="00CF0181"/>
    <w:rsid w:val="00CF019B"/>
    <w:rsid w:val="00CF0A0E"/>
    <w:rsid w:val="00CF0F13"/>
    <w:rsid w:val="00CF1078"/>
    <w:rsid w:val="00CF1E1F"/>
    <w:rsid w:val="00CF2075"/>
    <w:rsid w:val="00CF25B2"/>
    <w:rsid w:val="00CF2E43"/>
    <w:rsid w:val="00CF3AEF"/>
    <w:rsid w:val="00CF3B07"/>
    <w:rsid w:val="00CF4381"/>
    <w:rsid w:val="00CF470A"/>
    <w:rsid w:val="00CF4740"/>
    <w:rsid w:val="00CF4DCD"/>
    <w:rsid w:val="00CF5862"/>
    <w:rsid w:val="00CF5AFC"/>
    <w:rsid w:val="00CF69C0"/>
    <w:rsid w:val="00D005C8"/>
    <w:rsid w:val="00D02163"/>
    <w:rsid w:val="00D03B4E"/>
    <w:rsid w:val="00D03D01"/>
    <w:rsid w:val="00D04506"/>
    <w:rsid w:val="00D05073"/>
    <w:rsid w:val="00D05376"/>
    <w:rsid w:val="00D06193"/>
    <w:rsid w:val="00D07087"/>
    <w:rsid w:val="00D074A1"/>
    <w:rsid w:val="00D07A9F"/>
    <w:rsid w:val="00D07C5C"/>
    <w:rsid w:val="00D10D25"/>
    <w:rsid w:val="00D110BD"/>
    <w:rsid w:val="00D1132D"/>
    <w:rsid w:val="00D114B0"/>
    <w:rsid w:val="00D115D2"/>
    <w:rsid w:val="00D125D5"/>
    <w:rsid w:val="00D12972"/>
    <w:rsid w:val="00D12EF2"/>
    <w:rsid w:val="00D1312A"/>
    <w:rsid w:val="00D135AA"/>
    <w:rsid w:val="00D13851"/>
    <w:rsid w:val="00D13DB7"/>
    <w:rsid w:val="00D142FB"/>
    <w:rsid w:val="00D15BE2"/>
    <w:rsid w:val="00D15CB4"/>
    <w:rsid w:val="00D16B67"/>
    <w:rsid w:val="00D174BB"/>
    <w:rsid w:val="00D17996"/>
    <w:rsid w:val="00D2009A"/>
    <w:rsid w:val="00D20866"/>
    <w:rsid w:val="00D20D4E"/>
    <w:rsid w:val="00D23226"/>
    <w:rsid w:val="00D23718"/>
    <w:rsid w:val="00D23A3B"/>
    <w:rsid w:val="00D23B1F"/>
    <w:rsid w:val="00D23C43"/>
    <w:rsid w:val="00D24092"/>
    <w:rsid w:val="00D24BE4"/>
    <w:rsid w:val="00D24C5B"/>
    <w:rsid w:val="00D2516C"/>
    <w:rsid w:val="00D25D3E"/>
    <w:rsid w:val="00D2603A"/>
    <w:rsid w:val="00D2670E"/>
    <w:rsid w:val="00D26919"/>
    <w:rsid w:val="00D273EE"/>
    <w:rsid w:val="00D3082A"/>
    <w:rsid w:val="00D3121F"/>
    <w:rsid w:val="00D317A7"/>
    <w:rsid w:val="00D3195B"/>
    <w:rsid w:val="00D322A1"/>
    <w:rsid w:val="00D32C4E"/>
    <w:rsid w:val="00D330BF"/>
    <w:rsid w:val="00D33784"/>
    <w:rsid w:val="00D34A27"/>
    <w:rsid w:val="00D34CAA"/>
    <w:rsid w:val="00D354CA"/>
    <w:rsid w:val="00D366CA"/>
    <w:rsid w:val="00D36A12"/>
    <w:rsid w:val="00D379B4"/>
    <w:rsid w:val="00D40FD0"/>
    <w:rsid w:val="00D411D8"/>
    <w:rsid w:val="00D4169D"/>
    <w:rsid w:val="00D442F4"/>
    <w:rsid w:val="00D446ED"/>
    <w:rsid w:val="00D4536C"/>
    <w:rsid w:val="00D474A8"/>
    <w:rsid w:val="00D47855"/>
    <w:rsid w:val="00D47EDF"/>
    <w:rsid w:val="00D51209"/>
    <w:rsid w:val="00D523C0"/>
    <w:rsid w:val="00D52E02"/>
    <w:rsid w:val="00D5359B"/>
    <w:rsid w:val="00D53C10"/>
    <w:rsid w:val="00D54974"/>
    <w:rsid w:val="00D54C9F"/>
    <w:rsid w:val="00D55598"/>
    <w:rsid w:val="00D55A94"/>
    <w:rsid w:val="00D56269"/>
    <w:rsid w:val="00D566AC"/>
    <w:rsid w:val="00D56807"/>
    <w:rsid w:val="00D56943"/>
    <w:rsid w:val="00D570DC"/>
    <w:rsid w:val="00D6067D"/>
    <w:rsid w:val="00D60832"/>
    <w:rsid w:val="00D60955"/>
    <w:rsid w:val="00D60C73"/>
    <w:rsid w:val="00D614D2"/>
    <w:rsid w:val="00D6177F"/>
    <w:rsid w:val="00D627B2"/>
    <w:rsid w:val="00D63474"/>
    <w:rsid w:val="00D63533"/>
    <w:rsid w:val="00D63FB3"/>
    <w:rsid w:val="00D64473"/>
    <w:rsid w:val="00D64917"/>
    <w:rsid w:val="00D653EC"/>
    <w:rsid w:val="00D659D0"/>
    <w:rsid w:val="00D65CF2"/>
    <w:rsid w:val="00D664E1"/>
    <w:rsid w:val="00D666FE"/>
    <w:rsid w:val="00D67BB3"/>
    <w:rsid w:val="00D71916"/>
    <w:rsid w:val="00D726CE"/>
    <w:rsid w:val="00D72776"/>
    <w:rsid w:val="00D73035"/>
    <w:rsid w:val="00D73054"/>
    <w:rsid w:val="00D73193"/>
    <w:rsid w:val="00D74325"/>
    <w:rsid w:val="00D7471A"/>
    <w:rsid w:val="00D74DCF"/>
    <w:rsid w:val="00D74FEC"/>
    <w:rsid w:val="00D7523E"/>
    <w:rsid w:val="00D75334"/>
    <w:rsid w:val="00D75D46"/>
    <w:rsid w:val="00D7636A"/>
    <w:rsid w:val="00D76AD6"/>
    <w:rsid w:val="00D76E8F"/>
    <w:rsid w:val="00D81DC4"/>
    <w:rsid w:val="00D82C93"/>
    <w:rsid w:val="00D83BD7"/>
    <w:rsid w:val="00D84F34"/>
    <w:rsid w:val="00D84F4D"/>
    <w:rsid w:val="00D859C4"/>
    <w:rsid w:val="00D85AFD"/>
    <w:rsid w:val="00D8684E"/>
    <w:rsid w:val="00D878EC"/>
    <w:rsid w:val="00D87AE6"/>
    <w:rsid w:val="00D9073B"/>
    <w:rsid w:val="00D91291"/>
    <w:rsid w:val="00D925A4"/>
    <w:rsid w:val="00D92F9E"/>
    <w:rsid w:val="00D93A1E"/>
    <w:rsid w:val="00D93C88"/>
    <w:rsid w:val="00D93CFD"/>
    <w:rsid w:val="00D9445C"/>
    <w:rsid w:val="00D96535"/>
    <w:rsid w:val="00D96A30"/>
    <w:rsid w:val="00D96DD6"/>
    <w:rsid w:val="00DA11EE"/>
    <w:rsid w:val="00DA1B85"/>
    <w:rsid w:val="00DA3E6F"/>
    <w:rsid w:val="00DA3FBD"/>
    <w:rsid w:val="00DA6AEE"/>
    <w:rsid w:val="00DA7A1B"/>
    <w:rsid w:val="00DB0467"/>
    <w:rsid w:val="00DB0CD9"/>
    <w:rsid w:val="00DB1675"/>
    <w:rsid w:val="00DB19F8"/>
    <w:rsid w:val="00DB1E25"/>
    <w:rsid w:val="00DB25EA"/>
    <w:rsid w:val="00DB2711"/>
    <w:rsid w:val="00DB366C"/>
    <w:rsid w:val="00DB37A4"/>
    <w:rsid w:val="00DB449D"/>
    <w:rsid w:val="00DB49B6"/>
    <w:rsid w:val="00DB5478"/>
    <w:rsid w:val="00DB59DA"/>
    <w:rsid w:val="00DB5E17"/>
    <w:rsid w:val="00DB639C"/>
    <w:rsid w:val="00DB6406"/>
    <w:rsid w:val="00DB7903"/>
    <w:rsid w:val="00DC0957"/>
    <w:rsid w:val="00DC1D66"/>
    <w:rsid w:val="00DC2ECA"/>
    <w:rsid w:val="00DC33B1"/>
    <w:rsid w:val="00DC33CC"/>
    <w:rsid w:val="00DC3FB5"/>
    <w:rsid w:val="00DC450B"/>
    <w:rsid w:val="00DC466D"/>
    <w:rsid w:val="00DC577E"/>
    <w:rsid w:val="00DC6B0C"/>
    <w:rsid w:val="00DC6D3F"/>
    <w:rsid w:val="00DC7468"/>
    <w:rsid w:val="00DC7AB2"/>
    <w:rsid w:val="00DD0ECA"/>
    <w:rsid w:val="00DD28DB"/>
    <w:rsid w:val="00DD2965"/>
    <w:rsid w:val="00DD369B"/>
    <w:rsid w:val="00DD3ADF"/>
    <w:rsid w:val="00DD4ECB"/>
    <w:rsid w:val="00DD50E4"/>
    <w:rsid w:val="00DD55F9"/>
    <w:rsid w:val="00DD7C39"/>
    <w:rsid w:val="00DD7F7B"/>
    <w:rsid w:val="00DE0CFD"/>
    <w:rsid w:val="00DE1871"/>
    <w:rsid w:val="00DE1DFA"/>
    <w:rsid w:val="00DE1F03"/>
    <w:rsid w:val="00DE213E"/>
    <w:rsid w:val="00DE2224"/>
    <w:rsid w:val="00DE264C"/>
    <w:rsid w:val="00DE2A8D"/>
    <w:rsid w:val="00DE4330"/>
    <w:rsid w:val="00DE4C4B"/>
    <w:rsid w:val="00DE4CC9"/>
    <w:rsid w:val="00DE592B"/>
    <w:rsid w:val="00DE5C21"/>
    <w:rsid w:val="00DE7F1F"/>
    <w:rsid w:val="00DF0924"/>
    <w:rsid w:val="00DF0E3A"/>
    <w:rsid w:val="00DF0F58"/>
    <w:rsid w:val="00DF0F85"/>
    <w:rsid w:val="00DF2488"/>
    <w:rsid w:val="00DF2730"/>
    <w:rsid w:val="00DF494B"/>
    <w:rsid w:val="00DF4D0B"/>
    <w:rsid w:val="00DF4D46"/>
    <w:rsid w:val="00DF5350"/>
    <w:rsid w:val="00DF6835"/>
    <w:rsid w:val="00DF74A6"/>
    <w:rsid w:val="00DF7541"/>
    <w:rsid w:val="00DF7556"/>
    <w:rsid w:val="00DF7678"/>
    <w:rsid w:val="00E00328"/>
    <w:rsid w:val="00E019BF"/>
    <w:rsid w:val="00E0204B"/>
    <w:rsid w:val="00E0235C"/>
    <w:rsid w:val="00E02EDF"/>
    <w:rsid w:val="00E03141"/>
    <w:rsid w:val="00E03D27"/>
    <w:rsid w:val="00E04419"/>
    <w:rsid w:val="00E05B6F"/>
    <w:rsid w:val="00E05F69"/>
    <w:rsid w:val="00E103AE"/>
    <w:rsid w:val="00E113B4"/>
    <w:rsid w:val="00E11F5A"/>
    <w:rsid w:val="00E13499"/>
    <w:rsid w:val="00E146C0"/>
    <w:rsid w:val="00E1563D"/>
    <w:rsid w:val="00E1580C"/>
    <w:rsid w:val="00E174FB"/>
    <w:rsid w:val="00E17707"/>
    <w:rsid w:val="00E20C28"/>
    <w:rsid w:val="00E21543"/>
    <w:rsid w:val="00E226C0"/>
    <w:rsid w:val="00E2287B"/>
    <w:rsid w:val="00E23691"/>
    <w:rsid w:val="00E236C1"/>
    <w:rsid w:val="00E242AE"/>
    <w:rsid w:val="00E24C61"/>
    <w:rsid w:val="00E24CF4"/>
    <w:rsid w:val="00E2589F"/>
    <w:rsid w:val="00E25953"/>
    <w:rsid w:val="00E263AF"/>
    <w:rsid w:val="00E264E8"/>
    <w:rsid w:val="00E268A7"/>
    <w:rsid w:val="00E32A1C"/>
    <w:rsid w:val="00E32BEB"/>
    <w:rsid w:val="00E33274"/>
    <w:rsid w:val="00E341AC"/>
    <w:rsid w:val="00E344BE"/>
    <w:rsid w:val="00E346AC"/>
    <w:rsid w:val="00E34A74"/>
    <w:rsid w:val="00E359AB"/>
    <w:rsid w:val="00E35DCD"/>
    <w:rsid w:val="00E37512"/>
    <w:rsid w:val="00E40B14"/>
    <w:rsid w:val="00E415F4"/>
    <w:rsid w:val="00E41C85"/>
    <w:rsid w:val="00E41F60"/>
    <w:rsid w:val="00E431F7"/>
    <w:rsid w:val="00E43EED"/>
    <w:rsid w:val="00E43F4D"/>
    <w:rsid w:val="00E447BB"/>
    <w:rsid w:val="00E448D9"/>
    <w:rsid w:val="00E44DFE"/>
    <w:rsid w:val="00E46B18"/>
    <w:rsid w:val="00E46C6C"/>
    <w:rsid w:val="00E46D24"/>
    <w:rsid w:val="00E46EDC"/>
    <w:rsid w:val="00E51098"/>
    <w:rsid w:val="00E51A03"/>
    <w:rsid w:val="00E51EB2"/>
    <w:rsid w:val="00E52794"/>
    <w:rsid w:val="00E52C5B"/>
    <w:rsid w:val="00E52DA0"/>
    <w:rsid w:val="00E53D94"/>
    <w:rsid w:val="00E54C27"/>
    <w:rsid w:val="00E5766A"/>
    <w:rsid w:val="00E614D0"/>
    <w:rsid w:val="00E61E26"/>
    <w:rsid w:val="00E628B7"/>
    <w:rsid w:val="00E637B1"/>
    <w:rsid w:val="00E64193"/>
    <w:rsid w:val="00E6474D"/>
    <w:rsid w:val="00E65C87"/>
    <w:rsid w:val="00E6686D"/>
    <w:rsid w:val="00E669E4"/>
    <w:rsid w:val="00E675F1"/>
    <w:rsid w:val="00E67657"/>
    <w:rsid w:val="00E70141"/>
    <w:rsid w:val="00E70BD4"/>
    <w:rsid w:val="00E7104A"/>
    <w:rsid w:val="00E716A8"/>
    <w:rsid w:val="00E723FC"/>
    <w:rsid w:val="00E723FD"/>
    <w:rsid w:val="00E72E16"/>
    <w:rsid w:val="00E7456A"/>
    <w:rsid w:val="00E74DBD"/>
    <w:rsid w:val="00E75250"/>
    <w:rsid w:val="00E754FF"/>
    <w:rsid w:val="00E756BE"/>
    <w:rsid w:val="00E75C55"/>
    <w:rsid w:val="00E75EF1"/>
    <w:rsid w:val="00E76102"/>
    <w:rsid w:val="00E76635"/>
    <w:rsid w:val="00E76ECC"/>
    <w:rsid w:val="00E772F4"/>
    <w:rsid w:val="00E80354"/>
    <w:rsid w:val="00E80474"/>
    <w:rsid w:val="00E808C3"/>
    <w:rsid w:val="00E81147"/>
    <w:rsid w:val="00E81D5F"/>
    <w:rsid w:val="00E81D79"/>
    <w:rsid w:val="00E82146"/>
    <w:rsid w:val="00E82B66"/>
    <w:rsid w:val="00E83177"/>
    <w:rsid w:val="00E832B4"/>
    <w:rsid w:val="00E83382"/>
    <w:rsid w:val="00E83FEC"/>
    <w:rsid w:val="00E84867"/>
    <w:rsid w:val="00E84AC9"/>
    <w:rsid w:val="00E84F95"/>
    <w:rsid w:val="00E85353"/>
    <w:rsid w:val="00E855D6"/>
    <w:rsid w:val="00E86F2A"/>
    <w:rsid w:val="00E8775B"/>
    <w:rsid w:val="00E87B72"/>
    <w:rsid w:val="00E87CF8"/>
    <w:rsid w:val="00E913B4"/>
    <w:rsid w:val="00E914AB"/>
    <w:rsid w:val="00E919EA"/>
    <w:rsid w:val="00E934C3"/>
    <w:rsid w:val="00E93923"/>
    <w:rsid w:val="00E9403D"/>
    <w:rsid w:val="00E940A7"/>
    <w:rsid w:val="00E940FB"/>
    <w:rsid w:val="00E94B28"/>
    <w:rsid w:val="00E94BD0"/>
    <w:rsid w:val="00E94FE2"/>
    <w:rsid w:val="00E95C31"/>
    <w:rsid w:val="00E96073"/>
    <w:rsid w:val="00E9615A"/>
    <w:rsid w:val="00E966C9"/>
    <w:rsid w:val="00E969EB"/>
    <w:rsid w:val="00E96F7D"/>
    <w:rsid w:val="00EA0623"/>
    <w:rsid w:val="00EA0F38"/>
    <w:rsid w:val="00EA16AE"/>
    <w:rsid w:val="00EA1816"/>
    <w:rsid w:val="00EA262F"/>
    <w:rsid w:val="00EA2BD6"/>
    <w:rsid w:val="00EA3BB6"/>
    <w:rsid w:val="00EA4906"/>
    <w:rsid w:val="00EA573B"/>
    <w:rsid w:val="00EA58E5"/>
    <w:rsid w:val="00EA5F43"/>
    <w:rsid w:val="00EA6242"/>
    <w:rsid w:val="00EA6638"/>
    <w:rsid w:val="00EA7982"/>
    <w:rsid w:val="00EA7BBC"/>
    <w:rsid w:val="00EB1B9F"/>
    <w:rsid w:val="00EB26D4"/>
    <w:rsid w:val="00EB32A3"/>
    <w:rsid w:val="00EB35C9"/>
    <w:rsid w:val="00EB5DF2"/>
    <w:rsid w:val="00EB6180"/>
    <w:rsid w:val="00EB6DC7"/>
    <w:rsid w:val="00EB6FBC"/>
    <w:rsid w:val="00EB70AE"/>
    <w:rsid w:val="00EB7824"/>
    <w:rsid w:val="00EC18AF"/>
    <w:rsid w:val="00EC1C04"/>
    <w:rsid w:val="00EC227E"/>
    <w:rsid w:val="00EC22CE"/>
    <w:rsid w:val="00EC285D"/>
    <w:rsid w:val="00EC3552"/>
    <w:rsid w:val="00EC405F"/>
    <w:rsid w:val="00EC4BF3"/>
    <w:rsid w:val="00EC5264"/>
    <w:rsid w:val="00EC58A1"/>
    <w:rsid w:val="00EC6C14"/>
    <w:rsid w:val="00ED1193"/>
    <w:rsid w:val="00ED1E21"/>
    <w:rsid w:val="00ED2D84"/>
    <w:rsid w:val="00ED3684"/>
    <w:rsid w:val="00ED4AA7"/>
    <w:rsid w:val="00ED5672"/>
    <w:rsid w:val="00ED7062"/>
    <w:rsid w:val="00ED7291"/>
    <w:rsid w:val="00ED7F47"/>
    <w:rsid w:val="00EE06E0"/>
    <w:rsid w:val="00EE1923"/>
    <w:rsid w:val="00EE1F6C"/>
    <w:rsid w:val="00EE2A99"/>
    <w:rsid w:val="00EE30BB"/>
    <w:rsid w:val="00EE319B"/>
    <w:rsid w:val="00EE3270"/>
    <w:rsid w:val="00EE43FC"/>
    <w:rsid w:val="00EE441D"/>
    <w:rsid w:val="00EE500F"/>
    <w:rsid w:val="00EE505E"/>
    <w:rsid w:val="00EF14CB"/>
    <w:rsid w:val="00EF1948"/>
    <w:rsid w:val="00EF2B17"/>
    <w:rsid w:val="00EF3E47"/>
    <w:rsid w:val="00EF4019"/>
    <w:rsid w:val="00EF480D"/>
    <w:rsid w:val="00EF4CA0"/>
    <w:rsid w:val="00EF6205"/>
    <w:rsid w:val="00EF734D"/>
    <w:rsid w:val="00EF7665"/>
    <w:rsid w:val="00EF76D7"/>
    <w:rsid w:val="00F0071A"/>
    <w:rsid w:val="00F007E1"/>
    <w:rsid w:val="00F011B0"/>
    <w:rsid w:val="00F02835"/>
    <w:rsid w:val="00F03505"/>
    <w:rsid w:val="00F037D5"/>
    <w:rsid w:val="00F04FC9"/>
    <w:rsid w:val="00F06321"/>
    <w:rsid w:val="00F07633"/>
    <w:rsid w:val="00F07DCB"/>
    <w:rsid w:val="00F1034A"/>
    <w:rsid w:val="00F10908"/>
    <w:rsid w:val="00F10DD2"/>
    <w:rsid w:val="00F11849"/>
    <w:rsid w:val="00F1210E"/>
    <w:rsid w:val="00F12748"/>
    <w:rsid w:val="00F12EA2"/>
    <w:rsid w:val="00F14232"/>
    <w:rsid w:val="00F142AA"/>
    <w:rsid w:val="00F142D9"/>
    <w:rsid w:val="00F143DB"/>
    <w:rsid w:val="00F148AD"/>
    <w:rsid w:val="00F14FC7"/>
    <w:rsid w:val="00F15CDB"/>
    <w:rsid w:val="00F1627B"/>
    <w:rsid w:val="00F164C4"/>
    <w:rsid w:val="00F168CC"/>
    <w:rsid w:val="00F16EE4"/>
    <w:rsid w:val="00F17CF5"/>
    <w:rsid w:val="00F201BE"/>
    <w:rsid w:val="00F211BD"/>
    <w:rsid w:val="00F215BF"/>
    <w:rsid w:val="00F215D3"/>
    <w:rsid w:val="00F21B15"/>
    <w:rsid w:val="00F21B7D"/>
    <w:rsid w:val="00F2365D"/>
    <w:rsid w:val="00F23A19"/>
    <w:rsid w:val="00F23A7C"/>
    <w:rsid w:val="00F25DBA"/>
    <w:rsid w:val="00F25F0A"/>
    <w:rsid w:val="00F2654E"/>
    <w:rsid w:val="00F265A0"/>
    <w:rsid w:val="00F2688D"/>
    <w:rsid w:val="00F26F8A"/>
    <w:rsid w:val="00F3054B"/>
    <w:rsid w:val="00F317A4"/>
    <w:rsid w:val="00F32DCD"/>
    <w:rsid w:val="00F330B4"/>
    <w:rsid w:val="00F34208"/>
    <w:rsid w:val="00F3462D"/>
    <w:rsid w:val="00F34734"/>
    <w:rsid w:val="00F35516"/>
    <w:rsid w:val="00F355E4"/>
    <w:rsid w:val="00F35ABA"/>
    <w:rsid w:val="00F36AFE"/>
    <w:rsid w:val="00F37159"/>
    <w:rsid w:val="00F37573"/>
    <w:rsid w:val="00F4056B"/>
    <w:rsid w:val="00F4076E"/>
    <w:rsid w:val="00F412F0"/>
    <w:rsid w:val="00F41B39"/>
    <w:rsid w:val="00F41DA3"/>
    <w:rsid w:val="00F424DC"/>
    <w:rsid w:val="00F42EE5"/>
    <w:rsid w:val="00F43278"/>
    <w:rsid w:val="00F4344C"/>
    <w:rsid w:val="00F43945"/>
    <w:rsid w:val="00F440B7"/>
    <w:rsid w:val="00F45677"/>
    <w:rsid w:val="00F45A6D"/>
    <w:rsid w:val="00F4645F"/>
    <w:rsid w:val="00F468A7"/>
    <w:rsid w:val="00F47945"/>
    <w:rsid w:val="00F5036B"/>
    <w:rsid w:val="00F50965"/>
    <w:rsid w:val="00F51B4C"/>
    <w:rsid w:val="00F521E0"/>
    <w:rsid w:val="00F52B39"/>
    <w:rsid w:val="00F52D74"/>
    <w:rsid w:val="00F53334"/>
    <w:rsid w:val="00F53382"/>
    <w:rsid w:val="00F5348C"/>
    <w:rsid w:val="00F54447"/>
    <w:rsid w:val="00F56039"/>
    <w:rsid w:val="00F562FC"/>
    <w:rsid w:val="00F56338"/>
    <w:rsid w:val="00F56F6A"/>
    <w:rsid w:val="00F57BFD"/>
    <w:rsid w:val="00F57DB4"/>
    <w:rsid w:val="00F60A31"/>
    <w:rsid w:val="00F61019"/>
    <w:rsid w:val="00F6157B"/>
    <w:rsid w:val="00F6189B"/>
    <w:rsid w:val="00F61F5C"/>
    <w:rsid w:val="00F61FE6"/>
    <w:rsid w:val="00F6279F"/>
    <w:rsid w:val="00F62E53"/>
    <w:rsid w:val="00F6302C"/>
    <w:rsid w:val="00F637CC"/>
    <w:rsid w:val="00F65007"/>
    <w:rsid w:val="00F66AD2"/>
    <w:rsid w:val="00F66BAC"/>
    <w:rsid w:val="00F70474"/>
    <w:rsid w:val="00F707F0"/>
    <w:rsid w:val="00F71432"/>
    <w:rsid w:val="00F71989"/>
    <w:rsid w:val="00F72FFF"/>
    <w:rsid w:val="00F7344C"/>
    <w:rsid w:val="00F736A9"/>
    <w:rsid w:val="00F73BB3"/>
    <w:rsid w:val="00F73C1F"/>
    <w:rsid w:val="00F73C87"/>
    <w:rsid w:val="00F747B7"/>
    <w:rsid w:val="00F75134"/>
    <w:rsid w:val="00F75322"/>
    <w:rsid w:val="00F75F82"/>
    <w:rsid w:val="00F7611C"/>
    <w:rsid w:val="00F76707"/>
    <w:rsid w:val="00F76B6E"/>
    <w:rsid w:val="00F7723B"/>
    <w:rsid w:val="00F774E2"/>
    <w:rsid w:val="00F810E8"/>
    <w:rsid w:val="00F818EC"/>
    <w:rsid w:val="00F81A04"/>
    <w:rsid w:val="00F81EAF"/>
    <w:rsid w:val="00F83DD0"/>
    <w:rsid w:val="00F83EBA"/>
    <w:rsid w:val="00F848D3"/>
    <w:rsid w:val="00F84C4C"/>
    <w:rsid w:val="00F8582E"/>
    <w:rsid w:val="00F86845"/>
    <w:rsid w:val="00F87B51"/>
    <w:rsid w:val="00F87ED1"/>
    <w:rsid w:val="00F90524"/>
    <w:rsid w:val="00F923F7"/>
    <w:rsid w:val="00F925C9"/>
    <w:rsid w:val="00F929B8"/>
    <w:rsid w:val="00F92D22"/>
    <w:rsid w:val="00F9369F"/>
    <w:rsid w:val="00F93B52"/>
    <w:rsid w:val="00F93ED6"/>
    <w:rsid w:val="00F94BF6"/>
    <w:rsid w:val="00F94D0F"/>
    <w:rsid w:val="00F95240"/>
    <w:rsid w:val="00F95A49"/>
    <w:rsid w:val="00FA1844"/>
    <w:rsid w:val="00FA19D0"/>
    <w:rsid w:val="00FA1CA2"/>
    <w:rsid w:val="00FA2012"/>
    <w:rsid w:val="00FA2802"/>
    <w:rsid w:val="00FA2B5F"/>
    <w:rsid w:val="00FA36A7"/>
    <w:rsid w:val="00FA38EF"/>
    <w:rsid w:val="00FA42AA"/>
    <w:rsid w:val="00FA66FA"/>
    <w:rsid w:val="00FA678E"/>
    <w:rsid w:val="00FB0391"/>
    <w:rsid w:val="00FB1333"/>
    <w:rsid w:val="00FB156D"/>
    <w:rsid w:val="00FB1E8C"/>
    <w:rsid w:val="00FB40B6"/>
    <w:rsid w:val="00FB5522"/>
    <w:rsid w:val="00FB6C2B"/>
    <w:rsid w:val="00FB7650"/>
    <w:rsid w:val="00FB79B4"/>
    <w:rsid w:val="00FC013E"/>
    <w:rsid w:val="00FC0247"/>
    <w:rsid w:val="00FC11E2"/>
    <w:rsid w:val="00FC25F8"/>
    <w:rsid w:val="00FC46F4"/>
    <w:rsid w:val="00FC59C3"/>
    <w:rsid w:val="00FC5F8A"/>
    <w:rsid w:val="00FD0302"/>
    <w:rsid w:val="00FD0A86"/>
    <w:rsid w:val="00FD192F"/>
    <w:rsid w:val="00FD3183"/>
    <w:rsid w:val="00FD3258"/>
    <w:rsid w:val="00FD3939"/>
    <w:rsid w:val="00FD3D4D"/>
    <w:rsid w:val="00FD4627"/>
    <w:rsid w:val="00FD4B01"/>
    <w:rsid w:val="00FD50DF"/>
    <w:rsid w:val="00FD513B"/>
    <w:rsid w:val="00FD59B5"/>
    <w:rsid w:val="00FD5AE5"/>
    <w:rsid w:val="00FD6AAE"/>
    <w:rsid w:val="00FD6F92"/>
    <w:rsid w:val="00FD7869"/>
    <w:rsid w:val="00FE04F1"/>
    <w:rsid w:val="00FE06D0"/>
    <w:rsid w:val="00FE0B14"/>
    <w:rsid w:val="00FE13D3"/>
    <w:rsid w:val="00FE24FE"/>
    <w:rsid w:val="00FE2D07"/>
    <w:rsid w:val="00FE2DDB"/>
    <w:rsid w:val="00FE3B6C"/>
    <w:rsid w:val="00FE3BF0"/>
    <w:rsid w:val="00FE3EB8"/>
    <w:rsid w:val="00FE4150"/>
    <w:rsid w:val="00FE4903"/>
    <w:rsid w:val="00FE5D21"/>
    <w:rsid w:val="00FE60C1"/>
    <w:rsid w:val="00FE6209"/>
    <w:rsid w:val="00FE6708"/>
    <w:rsid w:val="00FE6779"/>
    <w:rsid w:val="00FE704D"/>
    <w:rsid w:val="00FE7709"/>
    <w:rsid w:val="00FE7E7F"/>
    <w:rsid w:val="00FF0505"/>
    <w:rsid w:val="00FF0565"/>
    <w:rsid w:val="00FF0712"/>
    <w:rsid w:val="00FF1094"/>
    <w:rsid w:val="00FF1CC6"/>
    <w:rsid w:val="00FF2A07"/>
    <w:rsid w:val="00FF2D15"/>
    <w:rsid w:val="00FF3000"/>
    <w:rsid w:val="00FF4C08"/>
    <w:rsid w:val="00FF5CB2"/>
    <w:rsid w:val="00FF6053"/>
    <w:rsid w:val="00FF6723"/>
    <w:rsid w:val="017D1BBF"/>
    <w:rsid w:val="018A7C8C"/>
    <w:rsid w:val="020A9DE2"/>
    <w:rsid w:val="02D41C9B"/>
    <w:rsid w:val="0321486D"/>
    <w:rsid w:val="03B36D5F"/>
    <w:rsid w:val="03C03896"/>
    <w:rsid w:val="05AF0FB2"/>
    <w:rsid w:val="05B7C62B"/>
    <w:rsid w:val="05C1E35E"/>
    <w:rsid w:val="0714A182"/>
    <w:rsid w:val="0804684D"/>
    <w:rsid w:val="087CB29B"/>
    <w:rsid w:val="089F3BC8"/>
    <w:rsid w:val="08E7D599"/>
    <w:rsid w:val="09277AAE"/>
    <w:rsid w:val="092F4187"/>
    <w:rsid w:val="09CD456E"/>
    <w:rsid w:val="09D291F4"/>
    <w:rsid w:val="0A90CA4B"/>
    <w:rsid w:val="0BA508BB"/>
    <w:rsid w:val="0BB38CFE"/>
    <w:rsid w:val="0BBF5BB4"/>
    <w:rsid w:val="0BE75C29"/>
    <w:rsid w:val="0C0398F9"/>
    <w:rsid w:val="0C5E571E"/>
    <w:rsid w:val="0D68F9F8"/>
    <w:rsid w:val="0D8FD627"/>
    <w:rsid w:val="0E65A595"/>
    <w:rsid w:val="0EA78230"/>
    <w:rsid w:val="0EB76C46"/>
    <w:rsid w:val="0FB4A6F8"/>
    <w:rsid w:val="103F7C79"/>
    <w:rsid w:val="10747C02"/>
    <w:rsid w:val="10CDCA12"/>
    <w:rsid w:val="10D455D7"/>
    <w:rsid w:val="113B7517"/>
    <w:rsid w:val="136FA4F6"/>
    <w:rsid w:val="13B1CD6C"/>
    <w:rsid w:val="141CCCC9"/>
    <w:rsid w:val="1420A020"/>
    <w:rsid w:val="147AF4C8"/>
    <w:rsid w:val="14A74ED2"/>
    <w:rsid w:val="14B23402"/>
    <w:rsid w:val="14BFB453"/>
    <w:rsid w:val="15CAD4A0"/>
    <w:rsid w:val="164722AE"/>
    <w:rsid w:val="16A74D1F"/>
    <w:rsid w:val="16AA7239"/>
    <w:rsid w:val="17405793"/>
    <w:rsid w:val="17A7063F"/>
    <w:rsid w:val="17F83B0E"/>
    <w:rsid w:val="18C2BFB1"/>
    <w:rsid w:val="18D50F1A"/>
    <w:rsid w:val="19B4EFF6"/>
    <w:rsid w:val="1A2CA5D3"/>
    <w:rsid w:val="1ACD0015"/>
    <w:rsid w:val="1AF64904"/>
    <w:rsid w:val="1B2A9B99"/>
    <w:rsid w:val="1B48DA53"/>
    <w:rsid w:val="1BEAEC88"/>
    <w:rsid w:val="1BF7BF3F"/>
    <w:rsid w:val="1C897CFD"/>
    <w:rsid w:val="1D103463"/>
    <w:rsid w:val="1D42DDA7"/>
    <w:rsid w:val="1E0AE8BD"/>
    <w:rsid w:val="1FBC41C3"/>
    <w:rsid w:val="1FF0548A"/>
    <w:rsid w:val="2088B5E6"/>
    <w:rsid w:val="21230A97"/>
    <w:rsid w:val="213952EA"/>
    <w:rsid w:val="2183DCE9"/>
    <w:rsid w:val="218D5D0B"/>
    <w:rsid w:val="21A394EA"/>
    <w:rsid w:val="22646405"/>
    <w:rsid w:val="23B2EF6C"/>
    <w:rsid w:val="23F3CFE1"/>
    <w:rsid w:val="24E31634"/>
    <w:rsid w:val="2548428C"/>
    <w:rsid w:val="26862CA2"/>
    <w:rsid w:val="26970BFA"/>
    <w:rsid w:val="26C2B6B8"/>
    <w:rsid w:val="26D787FC"/>
    <w:rsid w:val="278DAA0E"/>
    <w:rsid w:val="27F972A5"/>
    <w:rsid w:val="286A32FA"/>
    <w:rsid w:val="28B15EE0"/>
    <w:rsid w:val="2929E243"/>
    <w:rsid w:val="2956DC98"/>
    <w:rsid w:val="29714088"/>
    <w:rsid w:val="29A8B45E"/>
    <w:rsid w:val="29F6015C"/>
    <w:rsid w:val="29FB856F"/>
    <w:rsid w:val="2B817ECE"/>
    <w:rsid w:val="2BE71873"/>
    <w:rsid w:val="2C4C3AF0"/>
    <w:rsid w:val="2CC66C8C"/>
    <w:rsid w:val="2D18D4AF"/>
    <w:rsid w:val="2D2057C3"/>
    <w:rsid w:val="2D375511"/>
    <w:rsid w:val="2DCC6397"/>
    <w:rsid w:val="2F2AAC14"/>
    <w:rsid w:val="2F3F2596"/>
    <w:rsid w:val="30EE848E"/>
    <w:rsid w:val="30F2B3A8"/>
    <w:rsid w:val="31232C95"/>
    <w:rsid w:val="3271C028"/>
    <w:rsid w:val="32FC41DA"/>
    <w:rsid w:val="331EC7B3"/>
    <w:rsid w:val="333B3D73"/>
    <w:rsid w:val="33532756"/>
    <w:rsid w:val="3392D71D"/>
    <w:rsid w:val="344CACBF"/>
    <w:rsid w:val="34B9A808"/>
    <w:rsid w:val="3587F55D"/>
    <w:rsid w:val="35971B5F"/>
    <w:rsid w:val="3647E2A3"/>
    <w:rsid w:val="3691E055"/>
    <w:rsid w:val="36C104E9"/>
    <w:rsid w:val="370FFDD6"/>
    <w:rsid w:val="375DA7F9"/>
    <w:rsid w:val="377C1DC1"/>
    <w:rsid w:val="3813DB34"/>
    <w:rsid w:val="386D3B25"/>
    <w:rsid w:val="39510F8E"/>
    <w:rsid w:val="3952F61D"/>
    <w:rsid w:val="3954330F"/>
    <w:rsid w:val="3989BF2C"/>
    <w:rsid w:val="39CDAF64"/>
    <w:rsid w:val="3A4D4BD5"/>
    <w:rsid w:val="3AAB6042"/>
    <w:rsid w:val="3ADE9DEE"/>
    <w:rsid w:val="3B6F4136"/>
    <w:rsid w:val="3BCA9A48"/>
    <w:rsid w:val="3C342D76"/>
    <w:rsid w:val="3C5A48A4"/>
    <w:rsid w:val="3CE145E6"/>
    <w:rsid w:val="3CE9009B"/>
    <w:rsid w:val="3D2B6039"/>
    <w:rsid w:val="3D4C56DA"/>
    <w:rsid w:val="3D61E578"/>
    <w:rsid w:val="3DA773DF"/>
    <w:rsid w:val="3E745018"/>
    <w:rsid w:val="3F1C9FB2"/>
    <w:rsid w:val="3F75CC57"/>
    <w:rsid w:val="3FC0E46E"/>
    <w:rsid w:val="401B7AF6"/>
    <w:rsid w:val="402B8340"/>
    <w:rsid w:val="4074A453"/>
    <w:rsid w:val="4094F3AE"/>
    <w:rsid w:val="41D35163"/>
    <w:rsid w:val="426BA269"/>
    <w:rsid w:val="42BDB6E2"/>
    <w:rsid w:val="4352B8B9"/>
    <w:rsid w:val="44199BBE"/>
    <w:rsid w:val="44D5F2F0"/>
    <w:rsid w:val="452D0F0C"/>
    <w:rsid w:val="453B7A09"/>
    <w:rsid w:val="4543301A"/>
    <w:rsid w:val="4548E380"/>
    <w:rsid w:val="458F7ED1"/>
    <w:rsid w:val="45E96221"/>
    <w:rsid w:val="4667B1E7"/>
    <w:rsid w:val="46B8C18F"/>
    <w:rsid w:val="46BE0F53"/>
    <w:rsid w:val="4707829C"/>
    <w:rsid w:val="47378BA8"/>
    <w:rsid w:val="4787D44A"/>
    <w:rsid w:val="481971B4"/>
    <w:rsid w:val="482E42F8"/>
    <w:rsid w:val="488D4792"/>
    <w:rsid w:val="48922056"/>
    <w:rsid w:val="49310594"/>
    <w:rsid w:val="4984DC92"/>
    <w:rsid w:val="4A3029C8"/>
    <w:rsid w:val="4A7520B7"/>
    <w:rsid w:val="4A93B78D"/>
    <w:rsid w:val="4BFAB429"/>
    <w:rsid w:val="4C0374E7"/>
    <w:rsid w:val="4C09FE5C"/>
    <w:rsid w:val="4C227020"/>
    <w:rsid w:val="4CE6947B"/>
    <w:rsid w:val="4D2729B9"/>
    <w:rsid w:val="4D4A978C"/>
    <w:rsid w:val="4D9758BD"/>
    <w:rsid w:val="4EF1188A"/>
    <w:rsid w:val="4F2A3F79"/>
    <w:rsid w:val="50328725"/>
    <w:rsid w:val="50D5791A"/>
    <w:rsid w:val="512FE7F6"/>
    <w:rsid w:val="5282FF4B"/>
    <w:rsid w:val="528D9633"/>
    <w:rsid w:val="52FE54BE"/>
    <w:rsid w:val="53E55C0C"/>
    <w:rsid w:val="540DE152"/>
    <w:rsid w:val="54866F8A"/>
    <w:rsid w:val="54D80FD7"/>
    <w:rsid w:val="54DC7613"/>
    <w:rsid w:val="562BEF74"/>
    <w:rsid w:val="56E3A887"/>
    <w:rsid w:val="57CA8C87"/>
    <w:rsid w:val="57CCD4CF"/>
    <w:rsid w:val="583BAEA4"/>
    <w:rsid w:val="5860EF6E"/>
    <w:rsid w:val="58744C11"/>
    <w:rsid w:val="58D37AED"/>
    <w:rsid w:val="58DA5252"/>
    <w:rsid w:val="5A1AB1D1"/>
    <w:rsid w:val="5A7815E5"/>
    <w:rsid w:val="5A7B389A"/>
    <w:rsid w:val="5AAD7A57"/>
    <w:rsid w:val="5B8F29AC"/>
    <w:rsid w:val="5BAA1131"/>
    <w:rsid w:val="5C2F99E0"/>
    <w:rsid w:val="5C3DDF5F"/>
    <w:rsid w:val="5C6E0CA8"/>
    <w:rsid w:val="5E30BBEC"/>
    <w:rsid w:val="5E823904"/>
    <w:rsid w:val="5FDC3CAC"/>
    <w:rsid w:val="61190EDF"/>
    <w:rsid w:val="6140DEB5"/>
    <w:rsid w:val="62B3ACA8"/>
    <w:rsid w:val="62E1FDE9"/>
    <w:rsid w:val="631AED5A"/>
    <w:rsid w:val="638C35B8"/>
    <w:rsid w:val="63BC33D8"/>
    <w:rsid w:val="63C11753"/>
    <w:rsid w:val="6534E424"/>
    <w:rsid w:val="677FFF94"/>
    <w:rsid w:val="69085A71"/>
    <w:rsid w:val="6940446E"/>
    <w:rsid w:val="69E73FF6"/>
    <w:rsid w:val="6A951B0A"/>
    <w:rsid w:val="6AAD1477"/>
    <w:rsid w:val="6B2BBBAD"/>
    <w:rsid w:val="6B7AF044"/>
    <w:rsid w:val="6BFDC5C8"/>
    <w:rsid w:val="6CD62EF5"/>
    <w:rsid w:val="6D39ADB7"/>
    <w:rsid w:val="6D482759"/>
    <w:rsid w:val="6D5A2FE3"/>
    <w:rsid w:val="6D632C18"/>
    <w:rsid w:val="6DC736BE"/>
    <w:rsid w:val="6E19A9DE"/>
    <w:rsid w:val="6EFBE68F"/>
    <w:rsid w:val="6F2E88D2"/>
    <w:rsid w:val="6F464980"/>
    <w:rsid w:val="6F96382D"/>
    <w:rsid w:val="6FA10DA2"/>
    <w:rsid w:val="6FB29F1E"/>
    <w:rsid w:val="70297739"/>
    <w:rsid w:val="70301C12"/>
    <w:rsid w:val="707AEDF0"/>
    <w:rsid w:val="709DEC10"/>
    <w:rsid w:val="70DAEAE7"/>
    <w:rsid w:val="710C551F"/>
    <w:rsid w:val="742464C9"/>
    <w:rsid w:val="745819A8"/>
    <w:rsid w:val="74666B1C"/>
    <w:rsid w:val="746E25D1"/>
    <w:rsid w:val="749DD7F0"/>
    <w:rsid w:val="75856529"/>
    <w:rsid w:val="75945D1B"/>
    <w:rsid w:val="75B55803"/>
    <w:rsid w:val="7638AB1F"/>
    <w:rsid w:val="763D19D7"/>
    <w:rsid w:val="76BBD83C"/>
    <w:rsid w:val="76CC732E"/>
    <w:rsid w:val="7760382C"/>
    <w:rsid w:val="77C0F841"/>
    <w:rsid w:val="77D7FC91"/>
    <w:rsid w:val="781EAB70"/>
    <w:rsid w:val="788F4392"/>
    <w:rsid w:val="78E066E6"/>
    <w:rsid w:val="793CE7CE"/>
    <w:rsid w:val="79FE823B"/>
    <w:rsid w:val="7A287FF1"/>
    <w:rsid w:val="7A99D29D"/>
    <w:rsid w:val="7AE27495"/>
    <w:rsid w:val="7AF431D2"/>
    <w:rsid w:val="7B54B89B"/>
    <w:rsid w:val="7B96BB1F"/>
    <w:rsid w:val="7C3D8554"/>
    <w:rsid w:val="7C4AC91F"/>
    <w:rsid w:val="7CD22D9F"/>
    <w:rsid w:val="7DC57A19"/>
    <w:rsid w:val="7E5C01DC"/>
    <w:rsid w:val="7ED10E27"/>
    <w:rsid w:val="7EFF39F1"/>
    <w:rsid w:val="7FDCA70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A4C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qFormat/>
  </w:style>
  <w:style w:type="paragraph" w:styleId="Heading1">
    <w:name w:val="heading 1"/>
    <w:basedOn w:val="Normal"/>
    <w:next w:val="BodyText"/>
    <w:link w:val="Heading1Char"/>
    <w:uiPriority w:val="9"/>
    <w:qFormat/>
    <w:rsid w:val="00106EF5"/>
    <w:pPr>
      <w:keepNext/>
      <w:keepLines/>
      <w:spacing w:after="120" w:line="264" w:lineRule="auto"/>
      <w:outlineLvl w:val="0"/>
    </w:pPr>
    <w:rPr>
      <w:rFonts w:asciiTheme="majorHAnsi" w:hAnsiTheme="majorHAnsi"/>
      <w:b/>
      <w:color w:val="014463" w:themeColor="text2"/>
      <w:sz w:val="60"/>
      <w:szCs w:val="60"/>
    </w:rPr>
  </w:style>
  <w:style w:type="paragraph" w:styleId="Heading2">
    <w:name w:val="heading 2"/>
    <w:basedOn w:val="Normal"/>
    <w:next w:val="BodyText"/>
    <w:link w:val="Heading2Char"/>
    <w:uiPriority w:val="9"/>
    <w:unhideWhenUsed/>
    <w:qFormat/>
    <w:rsid w:val="00106EF5"/>
    <w:pPr>
      <w:keepNext/>
      <w:keepLines/>
      <w:spacing w:before="480" w:after="240" w:line="264" w:lineRule="auto"/>
      <w:outlineLvl w:val="1"/>
    </w:pPr>
    <w:rPr>
      <w:rFonts w:asciiTheme="majorHAnsi" w:eastAsiaTheme="majorEastAsia" w:hAnsiTheme="majorHAnsi" w:cstheme="majorBidi"/>
      <w:b/>
      <w:color w:val="014463" w:themeColor="text2"/>
      <w:sz w:val="40"/>
      <w:szCs w:val="40"/>
    </w:rPr>
  </w:style>
  <w:style w:type="paragraph" w:styleId="Heading3">
    <w:name w:val="heading 3"/>
    <w:basedOn w:val="BodyText"/>
    <w:next w:val="BodyText"/>
    <w:link w:val="Heading3Char"/>
    <w:uiPriority w:val="9"/>
    <w:unhideWhenUsed/>
    <w:qFormat/>
    <w:rsid w:val="007A77BC"/>
    <w:pPr>
      <w:ind w:left="360" w:hanging="360"/>
      <w:outlineLvl w:val="2"/>
    </w:pPr>
    <w:rPr>
      <w:b/>
      <w:sz w:val="24"/>
      <w:szCs w:val="24"/>
    </w:rPr>
  </w:style>
  <w:style w:type="paragraph" w:styleId="Heading4">
    <w:name w:val="heading 4"/>
    <w:basedOn w:val="BodyText"/>
    <w:next w:val="BodyText"/>
    <w:link w:val="Heading4Char"/>
    <w:uiPriority w:val="9"/>
    <w:qFormat/>
    <w:rsid w:val="00C77C87"/>
    <w:pPr>
      <w:spacing w:before="240"/>
      <w:outlineLvl w:val="3"/>
    </w:pPr>
    <w:rPr>
      <w:rFonts w:asciiTheme="majorHAnsi" w:hAnsiTheme="majorHAnsi"/>
      <w:color w:val="014463" w:themeColor="text2"/>
      <w:sz w:val="24"/>
      <w:szCs w:val="24"/>
    </w:rPr>
  </w:style>
  <w:style w:type="paragraph" w:styleId="Heading5">
    <w:name w:val="heading 5"/>
    <w:basedOn w:val="Normal"/>
    <w:next w:val="Normal"/>
    <w:link w:val="Heading5Char"/>
    <w:uiPriority w:val="9"/>
    <w:unhideWhenUsed/>
    <w:qFormat/>
    <w:rsid w:val="00A80781"/>
    <w:pPr>
      <w:keepNext/>
      <w:keepLines/>
      <w:spacing w:before="240" w:after="120"/>
      <w:outlineLvl w:val="4"/>
    </w:pPr>
    <w:rPr>
      <w:rFonts w:asciiTheme="majorHAnsi" w:eastAsiaTheme="majorEastAsia" w:hAnsiTheme="majorHAnsi" w:cstheme="majorBidi"/>
      <w:color w:val="1B232C" w:themeColor="accent1"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BE0"/>
  </w:style>
  <w:style w:type="paragraph" w:styleId="Footer">
    <w:name w:val="footer"/>
    <w:basedOn w:val="Normal"/>
    <w:link w:val="FooterChar"/>
    <w:uiPriority w:val="99"/>
    <w:unhideWhenUsed/>
    <w:rsid w:val="00B16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BE0"/>
  </w:style>
  <w:style w:type="paragraph" w:styleId="ListParagraph">
    <w:name w:val="List Paragraph"/>
    <w:aliases w:val="L,List Paragraph1,List Paragraph11,NFP GP Bulleted List,FooterText,numbered,Paragraphe de liste1,Bulletr List Paragraph,列出段落,列出段落1,List Paragraph2,List Paragraph21,Listeafsnit1,Parágrafo da Lista1,Párrafo de lista1,リスト段落1,Recommendation,列"/>
    <w:basedOn w:val="Normal"/>
    <w:link w:val="ListParagraphChar"/>
    <w:uiPriority w:val="34"/>
    <w:qFormat/>
    <w:rsid w:val="00B16BE0"/>
    <w:pPr>
      <w:ind w:left="720"/>
      <w:contextualSpacing/>
    </w:pPr>
  </w:style>
  <w:style w:type="character" w:customStyle="1" w:styleId="Heading1Char">
    <w:name w:val="Heading 1 Char"/>
    <w:basedOn w:val="DefaultParagraphFont"/>
    <w:link w:val="Heading1"/>
    <w:uiPriority w:val="9"/>
    <w:rsid w:val="00EB35C9"/>
    <w:rPr>
      <w:rFonts w:asciiTheme="majorHAnsi" w:hAnsiTheme="majorHAnsi"/>
      <w:b/>
      <w:color w:val="014463" w:themeColor="text2"/>
      <w:sz w:val="60"/>
      <w:szCs w:val="60"/>
    </w:rPr>
  </w:style>
  <w:style w:type="character" w:customStyle="1" w:styleId="Heading2Char">
    <w:name w:val="Heading 2 Char"/>
    <w:basedOn w:val="DefaultParagraphFont"/>
    <w:link w:val="Heading2"/>
    <w:uiPriority w:val="9"/>
    <w:rsid w:val="00EB35C9"/>
    <w:rPr>
      <w:rFonts w:asciiTheme="majorHAnsi" w:eastAsiaTheme="majorEastAsia" w:hAnsiTheme="majorHAnsi" w:cstheme="majorBidi"/>
      <w:b/>
      <w:color w:val="014463" w:themeColor="text2"/>
      <w:sz w:val="40"/>
      <w:szCs w:val="40"/>
    </w:rPr>
  </w:style>
  <w:style w:type="character" w:customStyle="1" w:styleId="Heading3Char">
    <w:name w:val="Heading 3 Char"/>
    <w:basedOn w:val="DefaultParagraphFont"/>
    <w:link w:val="Heading3"/>
    <w:uiPriority w:val="9"/>
    <w:rsid w:val="007A77BC"/>
    <w:rPr>
      <w:b/>
      <w:sz w:val="24"/>
      <w:szCs w:val="24"/>
    </w:rPr>
  </w:style>
  <w:style w:type="character" w:styleId="Hyperlink">
    <w:name w:val="Hyperlink"/>
    <w:basedOn w:val="DefaultParagraphFont"/>
    <w:uiPriority w:val="99"/>
    <w:unhideWhenUsed/>
    <w:rsid w:val="00AF7DDF"/>
    <w:rPr>
      <w:color w:val="0563C1"/>
      <w:u w:val="single"/>
    </w:rPr>
  </w:style>
  <w:style w:type="character" w:customStyle="1" w:styleId="Heading4Char">
    <w:name w:val="Heading 4 Char"/>
    <w:basedOn w:val="DefaultParagraphFont"/>
    <w:link w:val="Heading4"/>
    <w:uiPriority w:val="9"/>
    <w:rsid w:val="00C77C87"/>
    <w:rPr>
      <w:rFonts w:asciiTheme="majorHAnsi" w:hAnsiTheme="majorHAnsi"/>
      <w:color w:val="014463" w:themeColor="text2"/>
      <w:sz w:val="24"/>
      <w:szCs w:val="24"/>
    </w:rPr>
  </w:style>
  <w:style w:type="paragraph" w:customStyle="1" w:styleId="TableBullet">
    <w:name w:val="Table Bullet"/>
    <w:basedOn w:val="ListParagraph"/>
    <w:uiPriority w:val="11"/>
    <w:qFormat/>
    <w:rsid w:val="00C77C87"/>
    <w:pPr>
      <w:numPr>
        <w:numId w:val="1"/>
      </w:numPr>
      <w:spacing w:before="40" w:after="40" w:line="240" w:lineRule="auto"/>
      <w:contextualSpacing w:val="0"/>
    </w:pPr>
    <w:rPr>
      <w:sz w:val="18"/>
    </w:rPr>
  </w:style>
  <w:style w:type="paragraph" w:customStyle="1" w:styleId="NumberedListlvl1">
    <w:name w:val="Numbered List lvl1"/>
    <w:basedOn w:val="ListParagraph"/>
    <w:uiPriority w:val="9"/>
    <w:qFormat/>
    <w:rsid w:val="00C77C87"/>
    <w:pPr>
      <w:numPr>
        <w:numId w:val="2"/>
      </w:numPr>
      <w:spacing w:after="0" w:line="264" w:lineRule="auto"/>
      <w:contextualSpacing w:val="0"/>
    </w:pPr>
  </w:style>
  <w:style w:type="paragraph" w:customStyle="1" w:styleId="BulletedListlvl1">
    <w:name w:val="Bulleted List lvl1"/>
    <w:uiPriority w:val="10"/>
    <w:qFormat/>
    <w:rsid w:val="00C77C87"/>
    <w:pPr>
      <w:numPr>
        <w:numId w:val="3"/>
      </w:numPr>
      <w:spacing w:after="0" w:line="264" w:lineRule="auto"/>
    </w:pPr>
  </w:style>
  <w:style w:type="paragraph" w:customStyle="1" w:styleId="TableBody">
    <w:name w:val="Table Body"/>
    <w:basedOn w:val="Normal"/>
    <w:uiPriority w:val="11"/>
    <w:qFormat/>
    <w:rsid w:val="00C77C87"/>
    <w:pPr>
      <w:spacing w:before="40" w:after="40" w:line="264" w:lineRule="auto"/>
    </w:pPr>
    <w:rPr>
      <w:sz w:val="18"/>
    </w:rPr>
  </w:style>
  <w:style w:type="paragraph" w:customStyle="1" w:styleId="TableHeading">
    <w:name w:val="Table Heading"/>
    <w:basedOn w:val="Normal"/>
    <w:uiPriority w:val="11"/>
    <w:qFormat/>
    <w:rsid w:val="00C77C87"/>
    <w:pPr>
      <w:spacing w:after="120" w:line="264" w:lineRule="auto"/>
    </w:pPr>
    <w:rPr>
      <w:rFonts w:asciiTheme="majorHAnsi" w:hAnsiTheme="majorHAnsi"/>
      <w:bCs/>
      <w:color w:val="FFFFFF" w:themeColor="background1"/>
      <w:sz w:val="18"/>
    </w:rPr>
  </w:style>
  <w:style w:type="paragraph" w:customStyle="1" w:styleId="CoverTitle">
    <w:name w:val="Cover Title"/>
    <w:basedOn w:val="NoSpacing"/>
    <w:uiPriority w:val="11"/>
    <w:semiHidden/>
    <w:qFormat/>
    <w:rsid w:val="00C77C87"/>
    <w:pPr>
      <w:spacing w:before="40" w:after="560" w:line="216" w:lineRule="auto"/>
      <w:contextualSpacing/>
    </w:pPr>
    <w:rPr>
      <w:rFonts w:asciiTheme="majorHAnsi" w:hAnsiTheme="majorHAnsi"/>
      <w:b/>
      <w:color w:val="FFFFFF" w:themeColor="background1"/>
      <w:sz w:val="120"/>
      <w:szCs w:val="72"/>
    </w:rPr>
  </w:style>
  <w:style w:type="paragraph" w:styleId="NoSpacing">
    <w:name w:val="No Spacing"/>
    <w:uiPriority w:val="1"/>
    <w:qFormat/>
    <w:rsid w:val="00C77C87"/>
    <w:pPr>
      <w:spacing w:after="0" w:line="240" w:lineRule="auto"/>
    </w:pPr>
  </w:style>
  <w:style w:type="paragraph" w:customStyle="1" w:styleId="CoverByline">
    <w:name w:val="Cover Byline"/>
    <w:basedOn w:val="NoSpacing"/>
    <w:uiPriority w:val="11"/>
    <w:semiHidden/>
    <w:qFormat/>
    <w:rsid w:val="00C77C87"/>
    <w:pPr>
      <w:spacing w:after="360" w:line="264" w:lineRule="auto"/>
      <w:contextualSpacing/>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C77C87"/>
    <w:pPr>
      <w:spacing w:after="240" w:line="264" w:lineRule="auto"/>
      <w:contextualSpacing/>
    </w:pPr>
    <w:rPr>
      <w:color w:val="FFFFFF" w:themeColor="background1"/>
      <w:sz w:val="24"/>
      <w:szCs w:val="28"/>
    </w:rPr>
  </w:style>
  <w:style w:type="paragraph" w:customStyle="1" w:styleId="TableNumbering">
    <w:name w:val="Table Numbering"/>
    <w:uiPriority w:val="11"/>
    <w:qFormat/>
    <w:rsid w:val="00C77C87"/>
    <w:pPr>
      <w:spacing w:before="40" w:after="40" w:line="240" w:lineRule="auto"/>
      <w:ind w:left="397" w:hanging="397"/>
    </w:pPr>
    <w:rPr>
      <w:sz w:val="18"/>
    </w:rPr>
  </w:style>
  <w:style w:type="paragraph" w:customStyle="1" w:styleId="EmphasisPanelHeading">
    <w:name w:val="Emphasis Panel Heading"/>
    <w:basedOn w:val="Normal"/>
    <w:uiPriority w:val="11"/>
    <w:qFormat/>
    <w:rsid w:val="00C77C87"/>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60" w:after="60" w:line="240" w:lineRule="atLeast"/>
      <w:ind w:left="198" w:right="215"/>
    </w:pPr>
    <w:rPr>
      <w:rFonts w:asciiTheme="majorHAnsi" w:eastAsia="Times New Roman" w:hAnsiTheme="majorHAnsi" w:cs="Times New Roman"/>
      <w:b/>
      <w:color w:val="014463" w:themeColor="text2"/>
      <w:sz w:val="24"/>
      <w:szCs w:val="24"/>
      <w:lang w:val="en-US"/>
    </w:rPr>
  </w:style>
  <w:style w:type="paragraph" w:customStyle="1" w:styleId="EmphasisPanelBody">
    <w:name w:val="Emphasis Panel Body"/>
    <w:basedOn w:val="Normal"/>
    <w:uiPriority w:val="11"/>
    <w:qFormat/>
    <w:rsid w:val="00C77C87"/>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after="120" w:line="264" w:lineRule="auto"/>
      <w:ind w:left="198" w:right="215"/>
    </w:pPr>
    <w:rPr>
      <w:rFonts w:eastAsia="Times New Roman" w:cstheme="minorHAnsi"/>
      <w:lang w:val="en-US"/>
    </w:rPr>
  </w:style>
  <w:style w:type="paragraph" w:customStyle="1" w:styleId="EmphasisPanelBullet">
    <w:name w:val="Emphasis Panel Bullet"/>
    <w:uiPriority w:val="11"/>
    <w:qFormat/>
    <w:rsid w:val="00C77C87"/>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after="120" w:line="264" w:lineRule="auto"/>
      <w:ind w:left="567" w:right="215" w:hanging="369"/>
    </w:pPr>
    <w:rPr>
      <w:rFonts w:eastAsia="Times New Roman" w:cstheme="minorHAnsi"/>
      <w:lang w:val="en-US"/>
    </w:rPr>
  </w:style>
  <w:style w:type="paragraph" w:customStyle="1" w:styleId="SectionNameRev">
    <w:name w:val="Section Name Rev"/>
    <w:basedOn w:val="Normal"/>
    <w:uiPriority w:val="11"/>
    <w:semiHidden/>
    <w:qFormat/>
    <w:rsid w:val="00C77C87"/>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C77C87"/>
    <w:rPr>
      <w:color w:val="262626" w:themeColor="text1" w:themeTint="D9"/>
    </w:rPr>
  </w:style>
  <w:style w:type="paragraph" w:styleId="BodyText">
    <w:name w:val="Body Text"/>
    <w:basedOn w:val="Normal"/>
    <w:link w:val="BodyTextChar"/>
    <w:qFormat/>
    <w:rsid w:val="00682ADF"/>
    <w:pPr>
      <w:spacing w:after="120" w:line="264" w:lineRule="auto"/>
    </w:pPr>
    <w:rPr>
      <w:sz w:val="22"/>
    </w:rPr>
  </w:style>
  <w:style w:type="character" w:customStyle="1" w:styleId="BodyTextChar">
    <w:name w:val="Body Text Char"/>
    <w:basedOn w:val="DefaultParagraphFont"/>
    <w:link w:val="BodyText"/>
    <w:rsid w:val="00C77C87"/>
    <w:rPr>
      <w:sz w:val="22"/>
    </w:rPr>
  </w:style>
  <w:style w:type="paragraph" w:styleId="Caption">
    <w:name w:val="caption"/>
    <w:basedOn w:val="Normal"/>
    <w:next w:val="Normal"/>
    <w:uiPriority w:val="35"/>
    <w:semiHidden/>
    <w:unhideWhenUsed/>
    <w:qFormat/>
    <w:rsid w:val="00C77C87"/>
    <w:pPr>
      <w:keepNext/>
      <w:tabs>
        <w:tab w:val="left" w:pos="851"/>
        <w:tab w:val="left" w:pos="1017"/>
      </w:tabs>
      <w:spacing w:before="120" w:after="120" w:line="264" w:lineRule="auto"/>
      <w:ind w:left="851" w:hanging="851"/>
    </w:pPr>
    <w:rPr>
      <w:rFonts w:asciiTheme="majorHAnsi" w:hAnsiTheme="majorHAnsi"/>
      <w:b/>
      <w:iCs/>
      <w:color w:val="014463" w:themeColor="text2"/>
      <w:szCs w:val="18"/>
    </w:rPr>
  </w:style>
  <w:style w:type="paragraph" w:styleId="Title">
    <w:name w:val="Title"/>
    <w:basedOn w:val="Heading1"/>
    <w:next w:val="Normal"/>
    <w:link w:val="TitleChar"/>
    <w:qFormat/>
    <w:rsid w:val="00C77C87"/>
    <w:rPr>
      <w:b w:val="0"/>
    </w:rPr>
  </w:style>
  <w:style w:type="character" w:customStyle="1" w:styleId="TitleChar">
    <w:name w:val="Title Char"/>
    <w:basedOn w:val="DefaultParagraphFont"/>
    <w:link w:val="Title"/>
    <w:rsid w:val="00C77C87"/>
    <w:rPr>
      <w:rFonts w:asciiTheme="majorHAnsi" w:hAnsiTheme="majorHAnsi"/>
      <w:b/>
      <w:color w:val="014463" w:themeColor="text2"/>
      <w:sz w:val="60"/>
      <w:szCs w:val="60"/>
    </w:rPr>
  </w:style>
  <w:style w:type="paragraph" w:styleId="Subtitle">
    <w:name w:val="Subtitle"/>
    <w:basedOn w:val="Normal"/>
    <w:next w:val="BodyText"/>
    <w:link w:val="SubtitleChar"/>
    <w:uiPriority w:val="1"/>
    <w:qFormat/>
    <w:rsid w:val="00C77C87"/>
    <w:pPr>
      <w:numPr>
        <w:ilvl w:val="1"/>
      </w:numPr>
      <w:spacing w:before="120" w:after="360" w:line="264" w:lineRule="auto"/>
    </w:pPr>
    <w:rPr>
      <w:rFonts w:asciiTheme="majorHAnsi" w:eastAsiaTheme="minorEastAsia" w:hAnsiTheme="majorHAnsi"/>
      <w:color w:val="014463" w:themeColor="text2"/>
      <w:spacing w:val="15"/>
      <w:sz w:val="28"/>
    </w:rPr>
  </w:style>
  <w:style w:type="character" w:customStyle="1" w:styleId="SubtitleChar">
    <w:name w:val="Subtitle Char"/>
    <w:basedOn w:val="DefaultParagraphFont"/>
    <w:link w:val="Subtitle"/>
    <w:uiPriority w:val="1"/>
    <w:rsid w:val="00C77C87"/>
    <w:rPr>
      <w:rFonts w:asciiTheme="majorHAnsi" w:eastAsiaTheme="minorEastAsia" w:hAnsiTheme="majorHAnsi"/>
      <w:color w:val="014463" w:themeColor="text2"/>
      <w:spacing w:val="15"/>
      <w:sz w:val="28"/>
    </w:rPr>
  </w:style>
  <w:style w:type="character" w:customStyle="1" w:styleId="ListParagraphChar">
    <w:name w:val="List Paragraph Char"/>
    <w:aliases w:val="L Char,List Paragraph1 Char,List Paragraph11 Char,NFP GP Bulleted List Char,FooterText Char,numbered Char,Paragraphe de liste1 Char,Bulletr List Paragraph Char,列出段落 Char,列出段落1 Char,List Paragraph2 Char,List Paragraph21 Char,列 Char"/>
    <w:link w:val="ListParagraph"/>
    <w:uiPriority w:val="34"/>
    <w:qFormat/>
    <w:locked/>
    <w:rsid w:val="00C77C87"/>
  </w:style>
  <w:style w:type="paragraph" w:styleId="Quote">
    <w:name w:val="Quote"/>
    <w:basedOn w:val="Normal"/>
    <w:next w:val="Normal"/>
    <w:link w:val="QuoteChar"/>
    <w:uiPriority w:val="29"/>
    <w:qFormat/>
    <w:rsid w:val="00C77C87"/>
    <w:pPr>
      <w:spacing w:after="120" w:line="264" w:lineRule="auto"/>
      <w:ind w:left="567" w:right="567"/>
    </w:pPr>
    <w:rPr>
      <w:rFonts w:asciiTheme="majorHAnsi" w:hAnsiTheme="majorHAnsi"/>
      <w:color w:val="014463" w:themeColor="text2"/>
      <w:sz w:val="24"/>
      <w:szCs w:val="24"/>
    </w:rPr>
  </w:style>
  <w:style w:type="character" w:customStyle="1" w:styleId="QuoteChar">
    <w:name w:val="Quote Char"/>
    <w:basedOn w:val="DefaultParagraphFont"/>
    <w:link w:val="Quote"/>
    <w:uiPriority w:val="29"/>
    <w:rsid w:val="00C77C87"/>
    <w:rPr>
      <w:rFonts w:asciiTheme="majorHAnsi" w:hAnsiTheme="majorHAnsi"/>
      <w:color w:val="014463" w:themeColor="text2"/>
      <w:sz w:val="24"/>
      <w:szCs w:val="24"/>
    </w:rPr>
  </w:style>
  <w:style w:type="character" w:styleId="BookTitle">
    <w:name w:val="Book Title"/>
    <w:uiPriority w:val="33"/>
    <w:qFormat/>
    <w:rsid w:val="004A711B"/>
    <w:rPr>
      <w:i/>
      <w:iCs/>
      <w:smallCaps/>
      <w:spacing w:val="5"/>
    </w:rPr>
  </w:style>
  <w:style w:type="character" w:styleId="CommentReference">
    <w:name w:val="annotation reference"/>
    <w:basedOn w:val="DefaultParagraphFont"/>
    <w:uiPriority w:val="99"/>
    <w:semiHidden/>
    <w:unhideWhenUsed/>
    <w:rsid w:val="00D24BE4"/>
    <w:rPr>
      <w:sz w:val="16"/>
      <w:szCs w:val="16"/>
    </w:rPr>
  </w:style>
  <w:style w:type="paragraph" w:styleId="CommentText">
    <w:name w:val="annotation text"/>
    <w:basedOn w:val="Normal"/>
    <w:link w:val="CommentTextChar"/>
    <w:uiPriority w:val="99"/>
    <w:unhideWhenUsed/>
    <w:rsid w:val="00D24BE4"/>
    <w:pPr>
      <w:spacing w:line="240" w:lineRule="auto"/>
    </w:pPr>
  </w:style>
  <w:style w:type="character" w:customStyle="1" w:styleId="CommentTextChar">
    <w:name w:val="Comment Text Char"/>
    <w:basedOn w:val="DefaultParagraphFont"/>
    <w:link w:val="CommentText"/>
    <w:uiPriority w:val="99"/>
    <w:rsid w:val="00D24BE4"/>
  </w:style>
  <w:style w:type="paragraph" w:styleId="CommentSubject">
    <w:name w:val="annotation subject"/>
    <w:basedOn w:val="CommentText"/>
    <w:next w:val="CommentText"/>
    <w:link w:val="CommentSubjectChar"/>
    <w:uiPriority w:val="99"/>
    <w:semiHidden/>
    <w:unhideWhenUsed/>
    <w:rsid w:val="00D24BE4"/>
    <w:rPr>
      <w:b/>
      <w:bCs/>
    </w:rPr>
  </w:style>
  <w:style w:type="character" w:customStyle="1" w:styleId="CommentSubjectChar">
    <w:name w:val="Comment Subject Char"/>
    <w:basedOn w:val="CommentTextChar"/>
    <w:link w:val="CommentSubject"/>
    <w:uiPriority w:val="99"/>
    <w:semiHidden/>
    <w:rsid w:val="00D24BE4"/>
    <w:rPr>
      <w:b/>
      <w:bCs/>
    </w:rPr>
  </w:style>
  <w:style w:type="paragraph" w:styleId="BalloonText">
    <w:name w:val="Balloon Text"/>
    <w:basedOn w:val="Normal"/>
    <w:link w:val="BalloonTextChar"/>
    <w:uiPriority w:val="99"/>
    <w:semiHidden/>
    <w:unhideWhenUsed/>
    <w:rsid w:val="00D24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BE4"/>
    <w:rPr>
      <w:rFonts w:ascii="Segoe UI" w:hAnsi="Segoe UI" w:cs="Segoe UI"/>
      <w:sz w:val="18"/>
      <w:szCs w:val="18"/>
    </w:rPr>
  </w:style>
  <w:style w:type="paragraph" w:customStyle="1" w:styleId="Normalnumbered">
    <w:name w:val="Normal numbered"/>
    <w:basedOn w:val="Normal"/>
    <w:link w:val="NormalnumberedChar"/>
    <w:autoRedefine/>
    <w:uiPriority w:val="99"/>
    <w:rsid w:val="00254A9A"/>
    <w:pPr>
      <w:spacing w:after="240" w:line="260" w:lineRule="exact"/>
      <w:ind w:left="360" w:hanging="360"/>
      <w:jc w:val="both"/>
    </w:pPr>
    <w:rPr>
      <w:rFonts w:eastAsia="Times New Roman" w:cs="Corbel"/>
      <w:color w:val="auto"/>
      <w:sz w:val="22"/>
      <w:szCs w:val="22"/>
      <w:lang w:eastAsia="en-AU"/>
    </w:rPr>
  </w:style>
  <w:style w:type="character" w:customStyle="1" w:styleId="NormalnumberedChar">
    <w:name w:val="Normal numbered Char"/>
    <w:basedOn w:val="DefaultParagraphFont"/>
    <w:link w:val="Normalnumbered"/>
    <w:uiPriority w:val="99"/>
    <w:locked/>
    <w:rsid w:val="00254A9A"/>
    <w:rPr>
      <w:rFonts w:eastAsia="Times New Roman" w:cs="Corbel"/>
      <w:color w:val="auto"/>
      <w:sz w:val="22"/>
      <w:szCs w:val="22"/>
      <w:lang w:eastAsia="en-AU"/>
    </w:rPr>
  </w:style>
  <w:style w:type="table" w:styleId="TableGrid">
    <w:name w:val="Table Grid"/>
    <w:basedOn w:val="TableNormal"/>
    <w:uiPriority w:val="39"/>
    <w:rsid w:val="00657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570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570F5"/>
    <w:pPr>
      <w:spacing w:after="0" w:line="240" w:lineRule="auto"/>
    </w:pPr>
    <w:tblPr>
      <w:tblStyleRowBandSize w:val="1"/>
      <w:tblStyleColBandSize w:val="1"/>
      <w:tblBorders>
        <w:top w:val="single" w:sz="4" w:space="0" w:color="99ACBF" w:themeColor="accent1" w:themeTint="66"/>
        <w:left w:val="single" w:sz="4" w:space="0" w:color="99ACBF" w:themeColor="accent1" w:themeTint="66"/>
        <w:bottom w:val="single" w:sz="4" w:space="0" w:color="99ACBF" w:themeColor="accent1" w:themeTint="66"/>
        <w:right w:val="single" w:sz="4" w:space="0" w:color="99ACBF" w:themeColor="accent1" w:themeTint="66"/>
        <w:insideH w:val="single" w:sz="4" w:space="0" w:color="99ACBF" w:themeColor="accent1" w:themeTint="66"/>
        <w:insideV w:val="single" w:sz="4" w:space="0" w:color="99ACBF" w:themeColor="accent1" w:themeTint="66"/>
      </w:tblBorders>
    </w:tblPr>
    <w:tblStylePr w:type="firstRow">
      <w:rPr>
        <w:b/>
        <w:bCs/>
      </w:rPr>
      <w:tblPr/>
      <w:tcPr>
        <w:tcBorders>
          <w:bottom w:val="single" w:sz="12" w:space="0" w:color="66829F" w:themeColor="accent1" w:themeTint="99"/>
        </w:tcBorders>
      </w:tcPr>
    </w:tblStylePr>
    <w:tblStylePr w:type="lastRow">
      <w:rPr>
        <w:b/>
        <w:bCs/>
      </w:rPr>
      <w:tblPr/>
      <w:tcPr>
        <w:tcBorders>
          <w:top w:val="double" w:sz="2" w:space="0" w:color="66829F"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A80781"/>
    <w:rPr>
      <w:rFonts w:asciiTheme="majorHAnsi" w:eastAsiaTheme="majorEastAsia" w:hAnsiTheme="majorHAnsi" w:cstheme="majorBidi"/>
      <w:color w:val="1B232C" w:themeColor="accent1" w:themeShade="BF"/>
      <w:u w:val="single"/>
    </w:rPr>
  </w:style>
  <w:style w:type="paragraph" w:styleId="NormalWeb">
    <w:name w:val="Normal (Web)"/>
    <w:basedOn w:val="Normal"/>
    <w:uiPriority w:val="99"/>
    <w:unhideWhenUsed/>
    <w:rsid w:val="003A37EC"/>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F65007"/>
    <w:pPr>
      <w:spacing w:after="0" w:line="240" w:lineRule="auto"/>
    </w:pPr>
  </w:style>
  <w:style w:type="character" w:styleId="FootnoteReference">
    <w:name w:val="footnote reference"/>
    <w:basedOn w:val="DefaultParagraphFont"/>
    <w:uiPriority w:val="8"/>
    <w:semiHidden/>
    <w:unhideWhenUsed/>
    <w:rsid w:val="00D330BF"/>
    <w:rPr>
      <w:vertAlign w:val="superscript"/>
    </w:rPr>
  </w:style>
  <w:style w:type="paragraph" w:customStyle="1" w:styleId="SingleParagraph">
    <w:name w:val="Single Paragraph"/>
    <w:basedOn w:val="Normal"/>
    <w:uiPriority w:val="99"/>
    <w:rsid w:val="00E13499"/>
    <w:pPr>
      <w:spacing w:after="0" w:line="260" w:lineRule="exact"/>
      <w:jc w:val="both"/>
    </w:pPr>
    <w:rPr>
      <w:rFonts w:ascii="Corbel" w:eastAsia="Times New Roman" w:hAnsi="Corbel" w:cs="Corbel"/>
      <w:color w:val="000000"/>
      <w:sz w:val="23"/>
      <w:szCs w:val="23"/>
      <w:lang w:eastAsia="en-AU"/>
    </w:rPr>
  </w:style>
  <w:style w:type="character" w:customStyle="1" w:styleId="Bold">
    <w:name w:val="Bold"/>
    <w:uiPriority w:val="99"/>
    <w:rsid w:val="00E13499"/>
    <w:rPr>
      <w:rFonts w:cs="Times New Roman"/>
      <w:b/>
      <w:bCs/>
    </w:rPr>
  </w:style>
  <w:style w:type="paragraph" w:customStyle="1" w:styleId="Signed">
    <w:name w:val="Signed"/>
    <w:basedOn w:val="Normal"/>
    <w:uiPriority w:val="99"/>
    <w:rsid w:val="00E13499"/>
    <w:pPr>
      <w:spacing w:after="120" w:line="240" w:lineRule="auto"/>
      <w:jc w:val="both"/>
    </w:pPr>
    <w:rPr>
      <w:rFonts w:ascii="Book Antiqua" w:eastAsia="Times New Roman" w:hAnsi="Book Antiqua" w:cs="Book Antiqua"/>
      <w:i/>
      <w:iCs/>
      <w:color w:val="000000"/>
      <w:sz w:val="22"/>
      <w:szCs w:val="22"/>
      <w:lang w:eastAsia="en-AU"/>
    </w:rPr>
  </w:style>
  <w:style w:type="paragraph" w:customStyle="1" w:styleId="Position">
    <w:name w:val="Position"/>
    <w:basedOn w:val="Normal"/>
    <w:uiPriority w:val="99"/>
    <w:rsid w:val="00E13499"/>
    <w:pPr>
      <w:spacing w:after="120" w:line="260" w:lineRule="exact"/>
      <w:jc w:val="both"/>
    </w:pPr>
    <w:rPr>
      <w:rFonts w:ascii="Corbel" w:eastAsia="Times New Roman" w:hAnsi="Corbel" w:cs="Corbel"/>
      <w:color w:val="000000"/>
      <w:lang w:eastAsia="en-AU"/>
    </w:rPr>
  </w:style>
  <w:style w:type="character" w:customStyle="1" w:styleId="SignedBold">
    <w:name w:val="SignedBold"/>
    <w:uiPriority w:val="99"/>
    <w:rsid w:val="00E13499"/>
    <w:rPr>
      <w:rFonts w:cs="Times New Roman"/>
      <w:b/>
      <w:bCs/>
      <w:i/>
      <w:iCs/>
    </w:rPr>
  </w:style>
  <w:style w:type="paragraph" w:customStyle="1" w:styleId="LineForSignature">
    <w:name w:val="LineForSignature"/>
    <w:basedOn w:val="Normal"/>
    <w:uiPriority w:val="99"/>
    <w:rsid w:val="00E13499"/>
    <w:pPr>
      <w:tabs>
        <w:tab w:val="left" w:leader="underscore" w:pos="3686"/>
      </w:tabs>
      <w:spacing w:before="360" w:after="60" w:line="260" w:lineRule="exact"/>
      <w:jc w:val="both"/>
    </w:pPr>
    <w:rPr>
      <w:rFonts w:ascii="Book Antiqua" w:eastAsia="Times New Roman" w:hAnsi="Book Antiqua" w:cs="Book Antiqua"/>
      <w:color w:val="C0C0C0"/>
      <w:sz w:val="23"/>
      <w:szCs w:val="23"/>
      <w:lang w:val="en-GB" w:eastAsia="en-AU"/>
    </w:rPr>
  </w:style>
  <w:style w:type="paragraph" w:styleId="ListBullet">
    <w:name w:val="List Bullet"/>
    <w:basedOn w:val="Normal"/>
    <w:uiPriority w:val="99"/>
    <w:unhideWhenUsed/>
    <w:rsid w:val="00F41B39"/>
    <w:pPr>
      <w:numPr>
        <w:numId w:val="6"/>
      </w:numPr>
      <w:contextualSpacing/>
    </w:pPr>
    <w:rPr>
      <w:color w:val="auto"/>
      <w:sz w:val="22"/>
      <w:szCs w:val="22"/>
    </w:rPr>
  </w:style>
  <w:style w:type="character" w:customStyle="1" w:styleId="normaltextrun">
    <w:name w:val="normaltextrun"/>
    <w:basedOn w:val="DefaultParagraphFont"/>
    <w:rsid w:val="00655A0F"/>
  </w:style>
  <w:style w:type="paragraph" w:customStyle="1" w:styleId="DHSBodyText">
    <w:name w:val="DHS Body Text"/>
    <w:basedOn w:val="Normal"/>
    <w:rsid w:val="00F355E4"/>
    <w:pPr>
      <w:spacing w:after="0" w:line="240" w:lineRule="exact"/>
    </w:pPr>
    <w:rPr>
      <w:rFonts w:ascii="Verdana" w:eastAsia="Times New Roman" w:hAnsi="Verdana" w:cs="Times New Roman"/>
      <w:color w:val="auto"/>
      <w:sz w:val="18"/>
    </w:rPr>
  </w:style>
  <w:style w:type="paragraph" w:customStyle="1" w:styleId="BoxBullet">
    <w:name w:val="Box Bullet"/>
    <w:basedOn w:val="Normal"/>
    <w:uiPriority w:val="99"/>
    <w:rsid w:val="00F355E4"/>
    <w:pPr>
      <w:numPr>
        <w:numId w:val="9"/>
      </w:numPr>
      <w:spacing w:after="240" w:line="260" w:lineRule="exact"/>
      <w:jc w:val="both"/>
    </w:pPr>
    <w:rPr>
      <w:rFonts w:ascii="Corbel" w:eastAsia="Times New Roman" w:hAnsi="Corbel" w:cs="Corbel"/>
      <w:color w:val="000000"/>
      <w:sz w:val="23"/>
      <w:szCs w:val="23"/>
      <w:lang w:eastAsia="en-AU"/>
    </w:rPr>
  </w:style>
  <w:style w:type="paragraph" w:customStyle="1" w:styleId="BoxDash">
    <w:name w:val="Box Dash"/>
    <w:basedOn w:val="Normal"/>
    <w:uiPriority w:val="99"/>
    <w:rsid w:val="00F355E4"/>
    <w:pPr>
      <w:numPr>
        <w:ilvl w:val="1"/>
        <w:numId w:val="9"/>
      </w:numPr>
      <w:spacing w:after="240" w:line="260" w:lineRule="exact"/>
      <w:jc w:val="both"/>
    </w:pPr>
    <w:rPr>
      <w:rFonts w:ascii="Corbel" w:eastAsia="Times New Roman" w:hAnsi="Corbel" w:cs="Corbel"/>
      <w:color w:val="000000"/>
      <w:sz w:val="23"/>
      <w:szCs w:val="23"/>
      <w:lang w:eastAsia="en-AU"/>
    </w:rPr>
  </w:style>
  <w:style w:type="paragraph" w:customStyle="1" w:styleId="BoxDoubleDot">
    <w:name w:val="Box Double Dot"/>
    <w:basedOn w:val="Normal"/>
    <w:uiPriority w:val="99"/>
    <w:rsid w:val="00F355E4"/>
    <w:pPr>
      <w:numPr>
        <w:ilvl w:val="2"/>
        <w:numId w:val="9"/>
      </w:numPr>
      <w:spacing w:after="240" w:line="260" w:lineRule="exact"/>
      <w:jc w:val="both"/>
    </w:pPr>
    <w:rPr>
      <w:rFonts w:ascii="Corbel" w:eastAsia="Times New Roman" w:hAnsi="Corbel" w:cs="Corbel"/>
      <w:color w:val="000000"/>
      <w:sz w:val="23"/>
      <w:szCs w:val="23"/>
      <w:lang w:eastAsia="en-AU"/>
    </w:rPr>
  </w:style>
  <w:style w:type="paragraph" w:customStyle="1" w:styleId="pf0">
    <w:name w:val="pf0"/>
    <w:basedOn w:val="Normal"/>
    <w:rsid w:val="005362A2"/>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cf01">
    <w:name w:val="cf01"/>
    <w:basedOn w:val="DefaultParagraphFont"/>
    <w:rsid w:val="005362A2"/>
    <w:rPr>
      <w:rFonts w:ascii="Segoe UI" w:hAnsi="Segoe UI" w:cs="Segoe UI" w:hint="default"/>
      <w:color w:val="262626"/>
      <w:sz w:val="18"/>
      <w:szCs w:val="18"/>
      <w:shd w:val="clear" w:color="auto" w:fill="FFFF00"/>
    </w:rPr>
  </w:style>
  <w:style w:type="character" w:customStyle="1" w:styleId="cf11">
    <w:name w:val="cf11"/>
    <w:basedOn w:val="DefaultParagraphFont"/>
    <w:rsid w:val="00590C52"/>
    <w:rPr>
      <w:rFonts w:ascii="Segoe UI" w:hAnsi="Segoe UI" w:cs="Segoe UI" w:hint="default"/>
      <w:color w:val="262626"/>
      <w:sz w:val="18"/>
      <w:szCs w:val="18"/>
    </w:rPr>
  </w:style>
  <w:style w:type="paragraph" w:customStyle="1" w:styleId="trt0xe">
    <w:name w:val="trt0xe"/>
    <w:basedOn w:val="Normal"/>
    <w:rsid w:val="0087658A"/>
    <w:pPr>
      <w:spacing w:before="100" w:beforeAutospacing="1" w:after="100" w:afterAutospacing="1" w:line="240" w:lineRule="auto"/>
    </w:pPr>
    <w:rPr>
      <w:rFonts w:ascii="Calibri" w:hAnsi="Calibri" w:cs="Calibri"/>
      <w:color w:val="auto"/>
      <w:sz w:val="22"/>
      <w:szCs w:val="22"/>
      <w:lang w:eastAsia="en-AU"/>
    </w:rPr>
  </w:style>
  <w:style w:type="paragraph" w:styleId="TOCHeading">
    <w:name w:val="TOC Heading"/>
    <w:basedOn w:val="Heading1"/>
    <w:next w:val="Normal"/>
    <w:uiPriority w:val="39"/>
    <w:unhideWhenUsed/>
    <w:qFormat/>
    <w:rsid w:val="00520C6A"/>
    <w:pPr>
      <w:spacing w:before="240" w:after="0" w:line="259" w:lineRule="auto"/>
      <w:outlineLvl w:val="9"/>
    </w:pPr>
    <w:rPr>
      <w:rFonts w:eastAsiaTheme="majorEastAsia" w:cstheme="majorBidi"/>
      <w:b w:val="0"/>
      <w:color w:val="1B232C" w:themeColor="accent1" w:themeShade="BF"/>
      <w:sz w:val="32"/>
      <w:szCs w:val="32"/>
      <w:lang w:val="en-US"/>
    </w:rPr>
  </w:style>
  <w:style w:type="paragraph" w:styleId="TOC1">
    <w:name w:val="toc 1"/>
    <w:basedOn w:val="Normal"/>
    <w:next w:val="Normal"/>
    <w:autoRedefine/>
    <w:uiPriority w:val="39"/>
    <w:unhideWhenUsed/>
    <w:rsid w:val="00520C6A"/>
    <w:pPr>
      <w:spacing w:after="100"/>
    </w:pPr>
  </w:style>
  <w:style w:type="paragraph" w:styleId="TOC2">
    <w:name w:val="toc 2"/>
    <w:basedOn w:val="Normal"/>
    <w:next w:val="Normal"/>
    <w:autoRedefine/>
    <w:uiPriority w:val="39"/>
    <w:unhideWhenUsed/>
    <w:rsid w:val="00520C6A"/>
    <w:pPr>
      <w:spacing w:after="100"/>
      <w:ind w:left="200"/>
    </w:pPr>
  </w:style>
  <w:style w:type="paragraph" w:styleId="TOC3">
    <w:name w:val="toc 3"/>
    <w:basedOn w:val="Normal"/>
    <w:next w:val="Normal"/>
    <w:autoRedefine/>
    <w:uiPriority w:val="39"/>
    <w:unhideWhenUsed/>
    <w:rsid w:val="00C82B42"/>
    <w:pPr>
      <w:spacing w:after="100"/>
      <w:ind w:left="400"/>
    </w:pPr>
  </w:style>
  <w:style w:type="character" w:customStyle="1" w:styleId="ui-provider">
    <w:name w:val="ui-provider"/>
    <w:basedOn w:val="DefaultParagraphFont"/>
    <w:rsid w:val="0093689D"/>
  </w:style>
  <w:style w:type="paragraph" w:customStyle="1" w:styleId="paragraph">
    <w:name w:val="paragraph"/>
    <w:basedOn w:val="Normal"/>
    <w:rsid w:val="002E1822"/>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eop">
    <w:name w:val="eop"/>
    <w:basedOn w:val="DefaultParagraphFont"/>
    <w:rsid w:val="002E1822"/>
  </w:style>
  <w:style w:type="character" w:styleId="Strong">
    <w:name w:val="Strong"/>
    <w:basedOn w:val="DefaultParagraphFont"/>
    <w:uiPriority w:val="22"/>
    <w:qFormat/>
    <w:rsid w:val="009B30DA"/>
    <w:rPr>
      <w:b/>
      <w:bCs/>
    </w:rPr>
  </w:style>
  <w:style w:type="paragraph" w:styleId="FootnoteText">
    <w:name w:val="footnote text"/>
    <w:basedOn w:val="Normal"/>
    <w:link w:val="FootnoteTextChar"/>
    <w:uiPriority w:val="99"/>
    <w:semiHidden/>
    <w:unhideWhenUsed/>
    <w:rsid w:val="00BC6305"/>
    <w:pPr>
      <w:spacing w:after="0" w:line="240" w:lineRule="auto"/>
    </w:pPr>
  </w:style>
  <w:style w:type="character" w:customStyle="1" w:styleId="FootnoteTextChar">
    <w:name w:val="Footnote Text Char"/>
    <w:basedOn w:val="DefaultParagraphFont"/>
    <w:link w:val="FootnoteText"/>
    <w:uiPriority w:val="99"/>
    <w:semiHidden/>
    <w:rsid w:val="00BC6305"/>
  </w:style>
  <w:style w:type="table" w:styleId="GridTable4-Accent2">
    <w:name w:val="Grid Table 4 Accent 2"/>
    <w:basedOn w:val="TableNormal"/>
    <w:uiPriority w:val="49"/>
    <w:rsid w:val="004C07F9"/>
    <w:pPr>
      <w:spacing w:after="0" w:line="240" w:lineRule="auto"/>
    </w:pPr>
    <w:tblPr>
      <w:tblStyleRowBandSize w:val="1"/>
      <w:tblStyleColBandSize w:val="1"/>
      <w:tblBorders>
        <w:top w:val="single" w:sz="4" w:space="0" w:color="0BB0FC" w:themeColor="accent2" w:themeTint="99"/>
        <w:left w:val="single" w:sz="4" w:space="0" w:color="0BB0FC" w:themeColor="accent2" w:themeTint="99"/>
        <w:bottom w:val="single" w:sz="4" w:space="0" w:color="0BB0FC" w:themeColor="accent2" w:themeTint="99"/>
        <w:right w:val="single" w:sz="4" w:space="0" w:color="0BB0FC" w:themeColor="accent2" w:themeTint="99"/>
        <w:insideH w:val="single" w:sz="4" w:space="0" w:color="0BB0FC" w:themeColor="accent2" w:themeTint="99"/>
        <w:insideV w:val="single" w:sz="4" w:space="0" w:color="0BB0FC" w:themeColor="accent2" w:themeTint="99"/>
      </w:tblBorders>
    </w:tblPr>
    <w:tblStylePr w:type="firstRow">
      <w:rPr>
        <w:b/>
        <w:bCs/>
        <w:color w:val="FFFFFF" w:themeColor="background1"/>
      </w:rPr>
      <w:tblPr/>
      <w:tcPr>
        <w:tcBorders>
          <w:top w:val="single" w:sz="4" w:space="0" w:color="014463" w:themeColor="accent2"/>
          <w:left w:val="single" w:sz="4" w:space="0" w:color="014463" w:themeColor="accent2"/>
          <w:bottom w:val="single" w:sz="4" w:space="0" w:color="014463" w:themeColor="accent2"/>
          <w:right w:val="single" w:sz="4" w:space="0" w:color="014463" w:themeColor="accent2"/>
          <w:insideH w:val="nil"/>
          <w:insideV w:val="nil"/>
        </w:tcBorders>
        <w:shd w:val="clear" w:color="auto" w:fill="014463" w:themeFill="accent2"/>
      </w:tcPr>
    </w:tblStylePr>
    <w:tblStylePr w:type="lastRow">
      <w:rPr>
        <w:b/>
        <w:bCs/>
      </w:rPr>
      <w:tblPr/>
      <w:tcPr>
        <w:tcBorders>
          <w:top w:val="double" w:sz="4" w:space="0" w:color="014463" w:themeColor="accent2"/>
        </w:tcBorders>
      </w:tcPr>
    </w:tblStylePr>
    <w:tblStylePr w:type="firstCol">
      <w:rPr>
        <w:b/>
        <w:bCs/>
      </w:rPr>
    </w:tblStylePr>
    <w:tblStylePr w:type="lastCol">
      <w:rPr>
        <w:b/>
        <w:bCs/>
      </w:rPr>
    </w:tblStylePr>
    <w:tblStylePr w:type="band1Vert">
      <w:tblPr/>
      <w:tcPr>
        <w:shd w:val="clear" w:color="auto" w:fill="ADE4FE" w:themeFill="accent2" w:themeFillTint="33"/>
      </w:tcPr>
    </w:tblStylePr>
    <w:tblStylePr w:type="band1Horz">
      <w:tblPr/>
      <w:tcPr>
        <w:shd w:val="clear" w:color="auto" w:fill="ADE4FE"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4938">
      <w:bodyDiv w:val="1"/>
      <w:marLeft w:val="0"/>
      <w:marRight w:val="0"/>
      <w:marTop w:val="0"/>
      <w:marBottom w:val="0"/>
      <w:divBdr>
        <w:top w:val="none" w:sz="0" w:space="0" w:color="auto"/>
        <w:left w:val="none" w:sz="0" w:space="0" w:color="auto"/>
        <w:bottom w:val="none" w:sz="0" w:space="0" w:color="auto"/>
        <w:right w:val="none" w:sz="0" w:space="0" w:color="auto"/>
      </w:divBdr>
    </w:div>
    <w:div w:id="32074061">
      <w:bodyDiv w:val="1"/>
      <w:marLeft w:val="0"/>
      <w:marRight w:val="0"/>
      <w:marTop w:val="0"/>
      <w:marBottom w:val="0"/>
      <w:divBdr>
        <w:top w:val="none" w:sz="0" w:space="0" w:color="auto"/>
        <w:left w:val="none" w:sz="0" w:space="0" w:color="auto"/>
        <w:bottom w:val="none" w:sz="0" w:space="0" w:color="auto"/>
        <w:right w:val="none" w:sz="0" w:space="0" w:color="auto"/>
      </w:divBdr>
    </w:div>
    <w:div w:id="34895380">
      <w:bodyDiv w:val="1"/>
      <w:marLeft w:val="0"/>
      <w:marRight w:val="0"/>
      <w:marTop w:val="0"/>
      <w:marBottom w:val="0"/>
      <w:divBdr>
        <w:top w:val="none" w:sz="0" w:space="0" w:color="auto"/>
        <w:left w:val="none" w:sz="0" w:space="0" w:color="auto"/>
        <w:bottom w:val="none" w:sz="0" w:space="0" w:color="auto"/>
        <w:right w:val="none" w:sz="0" w:space="0" w:color="auto"/>
      </w:divBdr>
    </w:div>
    <w:div w:id="42487797">
      <w:bodyDiv w:val="1"/>
      <w:marLeft w:val="0"/>
      <w:marRight w:val="0"/>
      <w:marTop w:val="0"/>
      <w:marBottom w:val="0"/>
      <w:divBdr>
        <w:top w:val="none" w:sz="0" w:space="0" w:color="auto"/>
        <w:left w:val="none" w:sz="0" w:space="0" w:color="auto"/>
        <w:bottom w:val="none" w:sz="0" w:space="0" w:color="auto"/>
        <w:right w:val="none" w:sz="0" w:space="0" w:color="auto"/>
      </w:divBdr>
    </w:div>
    <w:div w:id="57628058">
      <w:bodyDiv w:val="1"/>
      <w:marLeft w:val="0"/>
      <w:marRight w:val="0"/>
      <w:marTop w:val="0"/>
      <w:marBottom w:val="0"/>
      <w:divBdr>
        <w:top w:val="none" w:sz="0" w:space="0" w:color="auto"/>
        <w:left w:val="none" w:sz="0" w:space="0" w:color="auto"/>
        <w:bottom w:val="none" w:sz="0" w:space="0" w:color="auto"/>
        <w:right w:val="none" w:sz="0" w:space="0" w:color="auto"/>
      </w:divBdr>
    </w:div>
    <w:div w:id="95059452">
      <w:bodyDiv w:val="1"/>
      <w:marLeft w:val="0"/>
      <w:marRight w:val="0"/>
      <w:marTop w:val="0"/>
      <w:marBottom w:val="0"/>
      <w:divBdr>
        <w:top w:val="none" w:sz="0" w:space="0" w:color="auto"/>
        <w:left w:val="none" w:sz="0" w:space="0" w:color="auto"/>
        <w:bottom w:val="none" w:sz="0" w:space="0" w:color="auto"/>
        <w:right w:val="none" w:sz="0" w:space="0" w:color="auto"/>
      </w:divBdr>
    </w:div>
    <w:div w:id="105001253">
      <w:bodyDiv w:val="1"/>
      <w:marLeft w:val="0"/>
      <w:marRight w:val="0"/>
      <w:marTop w:val="0"/>
      <w:marBottom w:val="0"/>
      <w:divBdr>
        <w:top w:val="none" w:sz="0" w:space="0" w:color="auto"/>
        <w:left w:val="none" w:sz="0" w:space="0" w:color="auto"/>
        <w:bottom w:val="none" w:sz="0" w:space="0" w:color="auto"/>
        <w:right w:val="none" w:sz="0" w:space="0" w:color="auto"/>
      </w:divBdr>
    </w:div>
    <w:div w:id="130365724">
      <w:bodyDiv w:val="1"/>
      <w:marLeft w:val="0"/>
      <w:marRight w:val="0"/>
      <w:marTop w:val="0"/>
      <w:marBottom w:val="0"/>
      <w:divBdr>
        <w:top w:val="none" w:sz="0" w:space="0" w:color="auto"/>
        <w:left w:val="none" w:sz="0" w:space="0" w:color="auto"/>
        <w:bottom w:val="none" w:sz="0" w:space="0" w:color="auto"/>
        <w:right w:val="none" w:sz="0" w:space="0" w:color="auto"/>
      </w:divBdr>
    </w:div>
    <w:div w:id="135608504">
      <w:bodyDiv w:val="1"/>
      <w:marLeft w:val="0"/>
      <w:marRight w:val="0"/>
      <w:marTop w:val="0"/>
      <w:marBottom w:val="0"/>
      <w:divBdr>
        <w:top w:val="none" w:sz="0" w:space="0" w:color="auto"/>
        <w:left w:val="none" w:sz="0" w:space="0" w:color="auto"/>
        <w:bottom w:val="none" w:sz="0" w:space="0" w:color="auto"/>
        <w:right w:val="none" w:sz="0" w:space="0" w:color="auto"/>
      </w:divBdr>
    </w:div>
    <w:div w:id="161628792">
      <w:bodyDiv w:val="1"/>
      <w:marLeft w:val="0"/>
      <w:marRight w:val="0"/>
      <w:marTop w:val="0"/>
      <w:marBottom w:val="0"/>
      <w:divBdr>
        <w:top w:val="none" w:sz="0" w:space="0" w:color="auto"/>
        <w:left w:val="none" w:sz="0" w:space="0" w:color="auto"/>
        <w:bottom w:val="none" w:sz="0" w:space="0" w:color="auto"/>
        <w:right w:val="none" w:sz="0" w:space="0" w:color="auto"/>
      </w:divBdr>
    </w:div>
    <w:div w:id="184096708">
      <w:bodyDiv w:val="1"/>
      <w:marLeft w:val="0"/>
      <w:marRight w:val="0"/>
      <w:marTop w:val="0"/>
      <w:marBottom w:val="0"/>
      <w:divBdr>
        <w:top w:val="none" w:sz="0" w:space="0" w:color="auto"/>
        <w:left w:val="none" w:sz="0" w:space="0" w:color="auto"/>
        <w:bottom w:val="none" w:sz="0" w:space="0" w:color="auto"/>
        <w:right w:val="none" w:sz="0" w:space="0" w:color="auto"/>
      </w:divBdr>
    </w:div>
    <w:div w:id="213396276">
      <w:bodyDiv w:val="1"/>
      <w:marLeft w:val="0"/>
      <w:marRight w:val="0"/>
      <w:marTop w:val="0"/>
      <w:marBottom w:val="0"/>
      <w:divBdr>
        <w:top w:val="none" w:sz="0" w:space="0" w:color="auto"/>
        <w:left w:val="none" w:sz="0" w:space="0" w:color="auto"/>
        <w:bottom w:val="none" w:sz="0" w:space="0" w:color="auto"/>
        <w:right w:val="none" w:sz="0" w:space="0" w:color="auto"/>
      </w:divBdr>
    </w:div>
    <w:div w:id="220602341">
      <w:bodyDiv w:val="1"/>
      <w:marLeft w:val="0"/>
      <w:marRight w:val="0"/>
      <w:marTop w:val="0"/>
      <w:marBottom w:val="0"/>
      <w:divBdr>
        <w:top w:val="none" w:sz="0" w:space="0" w:color="auto"/>
        <w:left w:val="none" w:sz="0" w:space="0" w:color="auto"/>
        <w:bottom w:val="none" w:sz="0" w:space="0" w:color="auto"/>
        <w:right w:val="none" w:sz="0" w:space="0" w:color="auto"/>
      </w:divBdr>
    </w:div>
    <w:div w:id="235480550">
      <w:bodyDiv w:val="1"/>
      <w:marLeft w:val="0"/>
      <w:marRight w:val="0"/>
      <w:marTop w:val="0"/>
      <w:marBottom w:val="0"/>
      <w:divBdr>
        <w:top w:val="none" w:sz="0" w:space="0" w:color="auto"/>
        <w:left w:val="none" w:sz="0" w:space="0" w:color="auto"/>
        <w:bottom w:val="none" w:sz="0" w:space="0" w:color="auto"/>
        <w:right w:val="none" w:sz="0" w:space="0" w:color="auto"/>
      </w:divBdr>
    </w:div>
    <w:div w:id="237905226">
      <w:bodyDiv w:val="1"/>
      <w:marLeft w:val="0"/>
      <w:marRight w:val="0"/>
      <w:marTop w:val="0"/>
      <w:marBottom w:val="0"/>
      <w:divBdr>
        <w:top w:val="none" w:sz="0" w:space="0" w:color="auto"/>
        <w:left w:val="none" w:sz="0" w:space="0" w:color="auto"/>
        <w:bottom w:val="none" w:sz="0" w:space="0" w:color="auto"/>
        <w:right w:val="none" w:sz="0" w:space="0" w:color="auto"/>
      </w:divBdr>
    </w:div>
    <w:div w:id="292487216">
      <w:bodyDiv w:val="1"/>
      <w:marLeft w:val="0"/>
      <w:marRight w:val="0"/>
      <w:marTop w:val="0"/>
      <w:marBottom w:val="0"/>
      <w:divBdr>
        <w:top w:val="none" w:sz="0" w:space="0" w:color="auto"/>
        <w:left w:val="none" w:sz="0" w:space="0" w:color="auto"/>
        <w:bottom w:val="none" w:sz="0" w:space="0" w:color="auto"/>
        <w:right w:val="none" w:sz="0" w:space="0" w:color="auto"/>
      </w:divBdr>
    </w:div>
    <w:div w:id="311376870">
      <w:bodyDiv w:val="1"/>
      <w:marLeft w:val="0"/>
      <w:marRight w:val="0"/>
      <w:marTop w:val="0"/>
      <w:marBottom w:val="0"/>
      <w:divBdr>
        <w:top w:val="none" w:sz="0" w:space="0" w:color="auto"/>
        <w:left w:val="none" w:sz="0" w:space="0" w:color="auto"/>
        <w:bottom w:val="none" w:sz="0" w:space="0" w:color="auto"/>
        <w:right w:val="none" w:sz="0" w:space="0" w:color="auto"/>
      </w:divBdr>
    </w:div>
    <w:div w:id="314576721">
      <w:bodyDiv w:val="1"/>
      <w:marLeft w:val="0"/>
      <w:marRight w:val="0"/>
      <w:marTop w:val="0"/>
      <w:marBottom w:val="0"/>
      <w:divBdr>
        <w:top w:val="none" w:sz="0" w:space="0" w:color="auto"/>
        <w:left w:val="none" w:sz="0" w:space="0" w:color="auto"/>
        <w:bottom w:val="none" w:sz="0" w:space="0" w:color="auto"/>
        <w:right w:val="none" w:sz="0" w:space="0" w:color="auto"/>
      </w:divBdr>
      <w:divsChild>
        <w:div w:id="83184102">
          <w:marLeft w:val="0"/>
          <w:marRight w:val="0"/>
          <w:marTop w:val="0"/>
          <w:marBottom w:val="0"/>
          <w:divBdr>
            <w:top w:val="none" w:sz="0" w:space="0" w:color="auto"/>
            <w:left w:val="none" w:sz="0" w:space="0" w:color="auto"/>
            <w:bottom w:val="none" w:sz="0" w:space="0" w:color="auto"/>
            <w:right w:val="none" w:sz="0" w:space="0" w:color="auto"/>
          </w:divBdr>
        </w:div>
      </w:divsChild>
    </w:div>
    <w:div w:id="347369048">
      <w:bodyDiv w:val="1"/>
      <w:marLeft w:val="0"/>
      <w:marRight w:val="0"/>
      <w:marTop w:val="0"/>
      <w:marBottom w:val="0"/>
      <w:divBdr>
        <w:top w:val="none" w:sz="0" w:space="0" w:color="auto"/>
        <w:left w:val="none" w:sz="0" w:space="0" w:color="auto"/>
        <w:bottom w:val="none" w:sz="0" w:space="0" w:color="auto"/>
        <w:right w:val="none" w:sz="0" w:space="0" w:color="auto"/>
      </w:divBdr>
    </w:div>
    <w:div w:id="412822151">
      <w:bodyDiv w:val="1"/>
      <w:marLeft w:val="0"/>
      <w:marRight w:val="0"/>
      <w:marTop w:val="0"/>
      <w:marBottom w:val="0"/>
      <w:divBdr>
        <w:top w:val="none" w:sz="0" w:space="0" w:color="auto"/>
        <w:left w:val="none" w:sz="0" w:space="0" w:color="auto"/>
        <w:bottom w:val="none" w:sz="0" w:space="0" w:color="auto"/>
        <w:right w:val="none" w:sz="0" w:space="0" w:color="auto"/>
      </w:divBdr>
    </w:div>
    <w:div w:id="425422228">
      <w:bodyDiv w:val="1"/>
      <w:marLeft w:val="0"/>
      <w:marRight w:val="0"/>
      <w:marTop w:val="0"/>
      <w:marBottom w:val="0"/>
      <w:divBdr>
        <w:top w:val="none" w:sz="0" w:space="0" w:color="auto"/>
        <w:left w:val="none" w:sz="0" w:space="0" w:color="auto"/>
        <w:bottom w:val="none" w:sz="0" w:space="0" w:color="auto"/>
        <w:right w:val="none" w:sz="0" w:space="0" w:color="auto"/>
      </w:divBdr>
    </w:div>
    <w:div w:id="503739064">
      <w:bodyDiv w:val="1"/>
      <w:marLeft w:val="0"/>
      <w:marRight w:val="0"/>
      <w:marTop w:val="0"/>
      <w:marBottom w:val="0"/>
      <w:divBdr>
        <w:top w:val="none" w:sz="0" w:space="0" w:color="auto"/>
        <w:left w:val="none" w:sz="0" w:space="0" w:color="auto"/>
        <w:bottom w:val="none" w:sz="0" w:space="0" w:color="auto"/>
        <w:right w:val="none" w:sz="0" w:space="0" w:color="auto"/>
      </w:divBdr>
    </w:div>
    <w:div w:id="578708870">
      <w:bodyDiv w:val="1"/>
      <w:marLeft w:val="0"/>
      <w:marRight w:val="0"/>
      <w:marTop w:val="0"/>
      <w:marBottom w:val="0"/>
      <w:divBdr>
        <w:top w:val="none" w:sz="0" w:space="0" w:color="auto"/>
        <w:left w:val="none" w:sz="0" w:space="0" w:color="auto"/>
        <w:bottom w:val="none" w:sz="0" w:space="0" w:color="auto"/>
        <w:right w:val="none" w:sz="0" w:space="0" w:color="auto"/>
      </w:divBdr>
    </w:div>
    <w:div w:id="620918505">
      <w:bodyDiv w:val="1"/>
      <w:marLeft w:val="0"/>
      <w:marRight w:val="0"/>
      <w:marTop w:val="0"/>
      <w:marBottom w:val="0"/>
      <w:divBdr>
        <w:top w:val="none" w:sz="0" w:space="0" w:color="auto"/>
        <w:left w:val="none" w:sz="0" w:space="0" w:color="auto"/>
        <w:bottom w:val="none" w:sz="0" w:space="0" w:color="auto"/>
        <w:right w:val="none" w:sz="0" w:space="0" w:color="auto"/>
      </w:divBdr>
    </w:div>
    <w:div w:id="671954033">
      <w:bodyDiv w:val="1"/>
      <w:marLeft w:val="0"/>
      <w:marRight w:val="0"/>
      <w:marTop w:val="0"/>
      <w:marBottom w:val="0"/>
      <w:divBdr>
        <w:top w:val="none" w:sz="0" w:space="0" w:color="auto"/>
        <w:left w:val="none" w:sz="0" w:space="0" w:color="auto"/>
        <w:bottom w:val="none" w:sz="0" w:space="0" w:color="auto"/>
        <w:right w:val="none" w:sz="0" w:space="0" w:color="auto"/>
      </w:divBdr>
    </w:div>
    <w:div w:id="692650951">
      <w:bodyDiv w:val="1"/>
      <w:marLeft w:val="0"/>
      <w:marRight w:val="0"/>
      <w:marTop w:val="0"/>
      <w:marBottom w:val="0"/>
      <w:divBdr>
        <w:top w:val="none" w:sz="0" w:space="0" w:color="auto"/>
        <w:left w:val="none" w:sz="0" w:space="0" w:color="auto"/>
        <w:bottom w:val="none" w:sz="0" w:space="0" w:color="auto"/>
        <w:right w:val="none" w:sz="0" w:space="0" w:color="auto"/>
      </w:divBdr>
    </w:div>
    <w:div w:id="701395757">
      <w:bodyDiv w:val="1"/>
      <w:marLeft w:val="0"/>
      <w:marRight w:val="0"/>
      <w:marTop w:val="0"/>
      <w:marBottom w:val="0"/>
      <w:divBdr>
        <w:top w:val="none" w:sz="0" w:space="0" w:color="auto"/>
        <w:left w:val="none" w:sz="0" w:space="0" w:color="auto"/>
        <w:bottom w:val="none" w:sz="0" w:space="0" w:color="auto"/>
        <w:right w:val="none" w:sz="0" w:space="0" w:color="auto"/>
      </w:divBdr>
    </w:div>
    <w:div w:id="715931636">
      <w:bodyDiv w:val="1"/>
      <w:marLeft w:val="0"/>
      <w:marRight w:val="0"/>
      <w:marTop w:val="0"/>
      <w:marBottom w:val="0"/>
      <w:divBdr>
        <w:top w:val="none" w:sz="0" w:space="0" w:color="auto"/>
        <w:left w:val="none" w:sz="0" w:space="0" w:color="auto"/>
        <w:bottom w:val="none" w:sz="0" w:space="0" w:color="auto"/>
        <w:right w:val="none" w:sz="0" w:space="0" w:color="auto"/>
      </w:divBdr>
    </w:div>
    <w:div w:id="716661577">
      <w:bodyDiv w:val="1"/>
      <w:marLeft w:val="0"/>
      <w:marRight w:val="0"/>
      <w:marTop w:val="0"/>
      <w:marBottom w:val="0"/>
      <w:divBdr>
        <w:top w:val="none" w:sz="0" w:space="0" w:color="auto"/>
        <w:left w:val="none" w:sz="0" w:space="0" w:color="auto"/>
        <w:bottom w:val="none" w:sz="0" w:space="0" w:color="auto"/>
        <w:right w:val="none" w:sz="0" w:space="0" w:color="auto"/>
      </w:divBdr>
    </w:div>
    <w:div w:id="726226820">
      <w:bodyDiv w:val="1"/>
      <w:marLeft w:val="0"/>
      <w:marRight w:val="0"/>
      <w:marTop w:val="0"/>
      <w:marBottom w:val="0"/>
      <w:divBdr>
        <w:top w:val="none" w:sz="0" w:space="0" w:color="auto"/>
        <w:left w:val="none" w:sz="0" w:space="0" w:color="auto"/>
        <w:bottom w:val="none" w:sz="0" w:space="0" w:color="auto"/>
        <w:right w:val="none" w:sz="0" w:space="0" w:color="auto"/>
      </w:divBdr>
    </w:div>
    <w:div w:id="792214063">
      <w:bodyDiv w:val="1"/>
      <w:marLeft w:val="0"/>
      <w:marRight w:val="0"/>
      <w:marTop w:val="0"/>
      <w:marBottom w:val="0"/>
      <w:divBdr>
        <w:top w:val="none" w:sz="0" w:space="0" w:color="auto"/>
        <w:left w:val="none" w:sz="0" w:space="0" w:color="auto"/>
        <w:bottom w:val="none" w:sz="0" w:space="0" w:color="auto"/>
        <w:right w:val="none" w:sz="0" w:space="0" w:color="auto"/>
      </w:divBdr>
    </w:div>
    <w:div w:id="830757652">
      <w:bodyDiv w:val="1"/>
      <w:marLeft w:val="0"/>
      <w:marRight w:val="0"/>
      <w:marTop w:val="0"/>
      <w:marBottom w:val="0"/>
      <w:divBdr>
        <w:top w:val="none" w:sz="0" w:space="0" w:color="auto"/>
        <w:left w:val="none" w:sz="0" w:space="0" w:color="auto"/>
        <w:bottom w:val="none" w:sz="0" w:space="0" w:color="auto"/>
        <w:right w:val="none" w:sz="0" w:space="0" w:color="auto"/>
      </w:divBdr>
    </w:div>
    <w:div w:id="862665850">
      <w:bodyDiv w:val="1"/>
      <w:marLeft w:val="0"/>
      <w:marRight w:val="0"/>
      <w:marTop w:val="0"/>
      <w:marBottom w:val="0"/>
      <w:divBdr>
        <w:top w:val="none" w:sz="0" w:space="0" w:color="auto"/>
        <w:left w:val="none" w:sz="0" w:space="0" w:color="auto"/>
        <w:bottom w:val="none" w:sz="0" w:space="0" w:color="auto"/>
        <w:right w:val="none" w:sz="0" w:space="0" w:color="auto"/>
      </w:divBdr>
    </w:div>
    <w:div w:id="868567347">
      <w:bodyDiv w:val="1"/>
      <w:marLeft w:val="0"/>
      <w:marRight w:val="0"/>
      <w:marTop w:val="0"/>
      <w:marBottom w:val="0"/>
      <w:divBdr>
        <w:top w:val="none" w:sz="0" w:space="0" w:color="auto"/>
        <w:left w:val="none" w:sz="0" w:space="0" w:color="auto"/>
        <w:bottom w:val="none" w:sz="0" w:space="0" w:color="auto"/>
        <w:right w:val="none" w:sz="0" w:space="0" w:color="auto"/>
      </w:divBdr>
      <w:divsChild>
        <w:div w:id="522787831">
          <w:marLeft w:val="547"/>
          <w:marRight w:val="0"/>
          <w:marTop w:val="0"/>
          <w:marBottom w:val="120"/>
          <w:divBdr>
            <w:top w:val="none" w:sz="0" w:space="0" w:color="auto"/>
            <w:left w:val="none" w:sz="0" w:space="0" w:color="auto"/>
            <w:bottom w:val="none" w:sz="0" w:space="0" w:color="auto"/>
            <w:right w:val="none" w:sz="0" w:space="0" w:color="auto"/>
          </w:divBdr>
        </w:div>
        <w:div w:id="528683954">
          <w:marLeft w:val="547"/>
          <w:marRight w:val="0"/>
          <w:marTop w:val="0"/>
          <w:marBottom w:val="120"/>
          <w:divBdr>
            <w:top w:val="none" w:sz="0" w:space="0" w:color="auto"/>
            <w:left w:val="none" w:sz="0" w:space="0" w:color="auto"/>
            <w:bottom w:val="none" w:sz="0" w:space="0" w:color="auto"/>
            <w:right w:val="none" w:sz="0" w:space="0" w:color="auto"/>
          </w:divBdr>
        </w:div>
        <w:div w:id="995916475">
          <w:marLeft w:val="547"/>
          <w:marRight w:val="0"/>
          <w:marTop w:val="0"/>
          <w:marBottom w:val="120"/>
          <w:divBdr>
            <w:top w:val="none" w:sz="0" w:space="0" w:color="auto"/>
            <w:left w:val="none" w:sz="0" w:space="0" w:color="auto"/>
            <w:bottom w:val="none" w:sz="0" w:space="0" w:color="auto"/>
            <w:right w:val="none" w:sz="0" w:space="0" w:color="auto"/>
          </w:divBdr>
        </w:div>
        <w:div w:id="1147167929">
          <w:marLeft w:val="547"/>
          <w:marRight w:val="0"/>
          <w:marTop w:val="0"/>
          <w:marBottom w:val="120"/>
          <w:divBdr>
            <w:top w:val="none" w:sz="0" w:space="0" w:color="auto"/>
            <w:left w:val="none" w:sz="0" w:space="0" w:color="auto"/>
            <w:bottom w:val="none" w:sz="0" w:space="0" w:color="auto"/>
            <w:right w:val="none" w:sz="0" w:space="0" w:color="auto"/>
          </w:divBdr>
        </w:div>
        <w:div w:id="1409157340">
          <w:marLeft w:val="547"/>
          <w:marRight w:val="0"/>
          <w:marTop w:val="0"/>
          <w:marBottom w:val="120"/>
          <w:divBdr>
            <w:top w:val="none" w:sz="0" w:space="0" w:color="auto"/>
            <w:left w:val="none" w:sz="0" w:space="0" w:color="auto"/>
            <w:bottom w:val="none" w:sz="0" w:space="0" w:color="auto"/>
            <w:right w:val="none" w:sz="0" w:space="0" w:color="auto"/>
          </w:divBdr>
        </w:div>
      </w:divsChild>
    </w:div>
    <w:div w:id="947195012">
      <w:bodyDiv w:val="1"/>
      <w:marLeft w:val="0"/>
      <w:marRight w:val="0"/>
      <w:marTop w:val="0"/>
      <w:marBottom w:val="0"/>
      <w:divBdr>
        <w:top w:val="none" w:sz="0" w:space="0" w:color="auto"/>
        <w:left w:val="none" w:sz="0" w:space="0" w:color="auto"/>
        <w:bottom w:val="none" w:sz="0" w:space="0" w:color="auto"/>
        <w:right w:val="none" w:sz="0" w:space="0" w:color="auto"/>
      </w:divBdr>
    </w:div>
    <w:div w:id="966812469">
      <w:bodyDiv w:val="1"/>
      <w:marLeft w:val="0"/>
      <w:marRight w:val="0"/>
      <w:marTop w:val="0"/>
      <w:marBottom w:val="0"/>
      <w:divBdr>
        <w:top w:val="none" w:sz="0" w:space="0" w:color="auto"/>
        <w:left w:val="none" w:sz="0" w:space="0" w:color="auto"/>
        <w:bottom w:val="none" w:sz="0" w:space="0" w:color="auto"/>
        <w:right w:val="none" w:sz="0" w:space="0" w:color="auto"/>
      </w:divBdr>
    </w:div>
    <w:div w:id="976298683">
      <w:bodyDiv w:val="1"/>
      <w:marLeft w:val="0"/>
      <w:marRight w:val="0"/>
      <w:marTop w:val="0"/>
      <w:marBottom w:val="0"/>
      <w:divBdr>
        <w:top w:val="none" w:sz="0" w:space="0" w:color="auto"/>
        <w:left w:val="none" w:sz="0" w:space="0" w:color="auto"/>
        <w:bottom w:val="none" w:sz="0" w:space="0" w:color="auto"/>
        <w:right w:val="none" w:sz="0" w:space="0" w:color="auto"/>
      </w:divBdr>
    </w:div>
    <w:div w:id="999502318">
      <w:bodyDiv w:val="1"/>
      <w:marLeft w:val="0"/>
      <w:marRight w:val="0"/>
      <w:marTop w:val="0"/>
      <w:marBottom w:val="0"/>
      <w:divBdr>
        <w:top w:val="none" w:sz="0" w:space="0" w:color="auto"/>
        <w:left w:val="none" w:sz="0" w:space="0" w:color="auto"/>
        <w:bottom w:val="none" w:sz="0" w:space="0" w:color="auto"/>
        <w:right w:val="none" w:sz="0" w:space="0" w:color="auto"/>
      </w:divBdr>
      <w:divsChild>
        <w:div w:id="559248424">
          <w:marLeft w:val="274"/>
          <w:marRight w:val="0"/>
          <w:marTop w:val="0"/>
          <w:marBottom w:val="0"/>
          <w:divBdr>
            <w:top w:val="none" w:sz="0" w:space="0" w:color="auto"/>
            <w:left w:val="none" w:sz="0" w:space="0" w:color="auto"/>
            <w:bottom w:val="none" w:sz="0" w:space="0" w:color="auto"/>
            <w:right w:val="none" w:sz="0" w:space="0" w:color="auto"/>
          </w:divBdr>
        </w:div>
      </w:divsChild>
    </w:div>
    <w:div w:id="1004359755">
      <w:bodyDiv w:val="1"/>
      <w:marLeft w:val="0"/>
      <w:marRight w:val="0"/>
      <w:marTop w:val="0"/>
      <w:marBottom w:val="0"/>
      <w:divBdr>
        <w:top w:val="none" w:sz="0" w:space="0" w:color="auto"/>
        <w:left w:val="none" w:sz="0" w:space="0" w:color="auto"/>
        <w:bottom w:val="none" w:sz="0" w:space="0" w:color="auto"/>
        <w:right w:val="none" w:sz="0" w:space="0" w:color="auto"/>
      </w:divBdr>
    </w:div>
    <w:div w:id="1053385936">
      <w:bodyDiv w:val="1"/>
      <w:marLeft w:val="0"/>
      <w:marRight w:val="0"/>
      <w:marTop w:val="0"/>
      <w:marBottom w:val="0"/>
      <w:divBdr>
        <w:top w:val="none" w:sz="0" w:space="0" w:color="auto"/>
        <w:left w:val="none" w:sz="0" w:space="0" w:color="auto"/>
        <w:bottom w:val="none" w:sz="0" w:space="0" w:color="auto"/>
        <w:right w:val="none" w:sz="0" w:space="0" w:color="auto"/>
      </w:divBdr>
    </w:div>
    <w:div w:id="1060328098">
      <w:bodyDiv w:val="1"/>
      <w:marLeft w:val="0"/>
      <w:marRight w:val="0"/>
      <w:marTop w:val="0"/>
      <w:marBottom w:val="0"/>
      <w:divBdr>
        <w:top w:val="none" w:sz="0" w:space="0" w:color="auto"/>
        <w:left w:val="none" w:sz="0" w:space="0" w:color="auto"/>
        <w:bottom w:val="none" w:sz="0" w:space="0" w:color="auto"/>
        <w:right w:val="none" w:sz="0" w:space="0" w:color="auto"/>
      </w:divBdr>
    </w:div>
    <w:div w:id="1070469676">
      <w:bodyDiv w:val="1"/>
      <w:marLeft w:val="0"/>
      <w:marRight w:val="0"/>
      <w:marTop w:val="0"/>
      <w:marBottom w:val="0"/>
      <w:divBdr>
        <w:top w:val="none" w:sz="0" w:space="0" w:color="auto"/>
        <w:left w:val="none" w:sz="0" w:space="0" w:color="auto"/>
        <w:bottom w:val="none" w:sz="0" w:space="0" w:color="auto"/>
        <w:right w:val="none" w:sz="0" w:space="0" w:color="auto"/>
      </w:divBdr>
    </w:div>
    <w:div w:id="1102526865">
      <w:bodyDiv w:val="1"/>
      <w:marLeft w:val="0"/>
      <w:marRight w:val="0"/>
      <w:marTop w:val="0"/>
      <w:marBottom w:val="0"/>
      <w:divBdr>
        <w:top w:val="none" w:sz="0" w:space="0" w:color="auto"/>
        <w:left w:val="none" w:sz="0" w:space="0" w:color="auto"/>
        <w:bottom w:val="none" w:sz="0" w:space="0" w:color="auto"/>
        <w:right w:val="none" w:sz="0" w:space="0" w:color="auto"/>
      </w:divBdr>
    </w:div>
    <w:div w:id="1126778563">
      <w:bodyDiv w:val="1"/>
      <w:marLeft w:val="0"/>
      <w:marRight w:val="0"/>
      <w:marTop w:val="0"/>
      <w:marBottom w:val="0"/>
      <w:divBdr>
        <w:top w:val="none" w:sz="0" w:space="0" w:color="auto"/>
        <w:left w:val="none" w:sz="0" w:space="0" w:color="auto"/>
        <w:bottom w:val="none" w:sz="0" w:space="0" w:color="auto"/>
        <w:right w:val="none" w:sz="0" w:space="0" w:color="auto"/>
      </w:divBdr>
    </w:div>
    <w:div w:id="1140071436">
      <w:bodyDiv w:val="1"/>
      <w:marLeft w:val="0"/>
      <w:marRight w:val="0"/>
      <w:marTop w:val="0"/>
      <w:marBottom w:val="0"/>
      <w:divBdr>
        <w:top w:val="none" w:sz="0" w:space="0" w:color="auto"/>
        <w:left w:val="none" w:sz="0" w:space="0" w:color="auto"/>
        <w:bottom w:val="none" w:sz="0" w:space="0" w:color="auto"/>
        <w:right w:val="none" w:sz="0" w:space="0" w:color="auto"/>
      </w:divBdr>
    </w:div>
    <w:div w:id="1152409184">
      <w:bodyDiv w:val="1"/>
      <w:marLeft w:val="0"/>
      <w:marRight w:val="0"/>
      <w:marTop w:val="0"/>
      <w:marBottom w:val="0"/>
      <w:divBdr>
        <w:top w:val="none" w:sz="0" w:space="0" w:color="auto"/>
        <w:left w:val="none" w:sz="0" w:space="0" w:color="auto"/>
        <w:bottom w:val="none" w:sz="0" w:space="0" w:color="auto"/>
        <w:right w:val="none" w:sz="0" w:space="0" w:color="auto"/>
      </w:divBdr>
    </w:div>
    <w:div w:id="1188639960">
      <w:bodyDiv w:val="1"/>
      <w:marLeft w:val="0"/>
      <w:marRight w:val="0"/>
      <w:marTop w:val="0"/>
      <w:marBottom w:val="0"/>
      <w:divBdr>
        <w:top w:val="none" w:sz="0" w:space="0" w:color="auto"/>
        <w:left w:val="none" w:sz="0" w:space="0" w:color="auto"/>
        <w:bottom w:val="none" w:sz="0" w:space="0" w:color="auto"/>
        <w:right w:val="none" w:sz="0" w:space="0" w:color="auto"/>
      </w:divBdr>
    </w:div>
    <w:div w:id="1193151090">
      <w:bodyDiv w:val="1"/>
      <w:marLeft w:val="0"/>
      <w:marRight w:val="0"/>
      <w:marTop w:val="0"/>
      <w:marBottom w:val="0"/>
      <w:divBdr>
        <w:top w:val="none" w:sz="0" w:space="0" w:color="auto"/>
        <w:left w:val="none" w:sz="0" w:space="0" w:color="auto"/>
        <w:bottom w:val="none" w:sz="0" w:space="0" w:color="auto"/>
        <w:right w:val="none" w:sz="0" w:space="0" w:color="auto"/>
      </w:divBdr>
    </w:div>
    <w:div w:id="1289818930">
      <w:bodyDiv w:val="1"/>
      <w:marLeft w:val="0"/>
      <w:marRight w:val="0"/>
      <w:marTop w:val="0"/>
      <w:marBottom w:val="0"/>
      <w:divBdr>
        <w:top w:val="none" w:sz="0" w:space="0" w:color="auto"/>
        <w:left w:val="none" w:sz="0" w:space="0" w:color="auto"/>
        <w:bottom w:val="none" w:sz="0" w:space="0" w:color="auto"/>
        <w:right w:val="none" w:sz="0" w:space="0" w:color="auto"/>
      </w:divBdr>
    </w:div>
    <w:div w:id="1308435957">
      <w:bodyDiv w:val="1"/>
      <w:marLeft w:val="0"/>
      <w:marRight w:val="0"/>
      <w:marTop w:val="0"/>
      <w:marBottom w:val="0"/>
      <w:divBdr>
        <w:top w:val="none" w:sz="0" w:space="0" w:color="auto"/>
        <w:left w:val="none" w:sz="0" w:space="0" w:color="auto"/>
        <w:bottom w:val="none" w:sz="0" w:space="0" w:color="auto"/>
        <w:right w:val="none" w:sz="0" w:space="0" w:color="auto"/>
      </w:divBdr>
    </w:div>
    <w:div w:id="1316882094">
      <w:bodyDiv w:val="1"/>
      <w:marLeft w:val="0"/>
      <w:marRight w:val="0"/>
      <w:marTop w:val="0"/>
      <w:marBottom w:val="0"/>
      <w:divBdr>
        <w:top w:val="none" w:sz="0" w:space="0" w:color="auto"/>
        <w:left w:val="none" w:sz="0" w:space="0" w:color="auto"/>
        <w:bottom w:val="none" w:sz="0" w:space="0" w:color="auto"/>
        <w:right w:val="none" w:sz="0" w:space="0" w:color="auto"/>
      </w:divBdr>
    </w:div>
    <w:div w:id="1356729547">
      <w:bodyDiv w:val="1"/>
      <w:marLeft w:val="0"/>
      <w:marRight w:val="0"/>
      <w:marTop w:val="0"/>
      <w:marBottom w:val="0"/>
      <w:divBdr>
        <w:top w:val="none" w:sz="0" w:space="0" w:color="auto"/>
        <w:left w:val="none" w:sz="0" w:space="0" w:color="auto"/>
        <w:bottom w:val="none" w:sz="0" w:space="0" w:color="auto"/>
        <w:right w:val="none" w:sz="0" w:space="0" w:color="auto"/>
      </w:divBdr>
    </w:div>
    <w:div w:id="1369572423">
      <w:bodyDiv w:val="1"/>
      <w:marLeft w:val="0"/>
      <w:marRight w:val="0"/>
      <w:marTop w:val="0"/>
      <w:marBottom w:val="0"/>
      <w:divBdr>
        <w:top w:val="none" w:sz="0" w:space="0" w:color="auto"/>
        <w:left w:val="none" w:sz="0" w:space="0" w:color="auto"/>
        <w:bottom w:val="none" w:sz="0" w:space="0" w:color="auto"/>
        <w:right w:val="none" w:sz="0" w:space="0" w:color="auto"/>
      </w:divBdr>
    </w:div>
    <w:div w:id="1395810883">
      <w:bodyDiv w:val="1"/>
      <w:marLeft w:val="0"/>
      <w:marRight w:val="0"/>
      <w:marTop w:val="0"/>
      <w:marBottom w:val="0"/>
      <w:divBdr>
        <w:top w:val="none" w:sz="0" w:space="0" w:color="auto"/>
        <w:left w:val="none" w:sz="0" w:space="0" w:color="auto"/>
        <w:bottom w:val="none" w:sz="0" w:space="0" w:color="auto"/>
        <w:right w:val="none" w:sz="0" w:space="0" w:color="auto"/>
      </w:divBdr>
    </w:div>
    <w:div w:id="1441804039">
      <w:bodyDiv w:val="1"/>
      <w:marLeft w:val="0"/>
      <w:marRight w:val="0"/>
      <w:marTop w:val="0"/>
      <w:marBottom w:val="0"/>
      <w:divBdr>
        <w:top w:val="none" w:sz="0" w:space="0" w:color="auto"/>
        <w:left w:val="none" w:sz="0" w:space="0" w:color="auto"/>
        <w:bottom w:val="none" w:sz="0" w:space="0" w:color="auto"/>
        <w:right w:val="none" w:sz="0" w:space="0" w:color="auto"/>
      </w:divBdr>
    </w:div>
    <w:div w:id="1495878403">
      <w:bodyDiv w:val="1"/>
      <w:marLeft w:val="0"/>
      <w:marRight w:val="0"/>
      <w:marTop w:val="0"/>
      <w:marBottom w:val="0"/>
      <w:divBdr>
        <w:top w:val="none" w:sz="0" w:space="0" w:color="auto"/>
        <w:left w:val="none" w:sz="0" w:space="0" w:color="auto"/>
        <w:bottom w:val="none" w:sz="0" w:space="0" w:color="auto"/>
        <w:right w:val="none" w:sz="0" w:space="0" w:color="auto"/>
      </w:divBdr>
    </w:div>
    <w:div w:id="1580484864">
      <w:bodyDiv w:val="1"/>
      <w:marLeft w:val="0"/>
      <w:marRight w:val="0"/>
      <w:marTop w:val="0"/>
      <w:marBottom w:val="0"/>
      <w:divBdr>
        <w:top w:val="none" w:sz="0" w:space="0" w:color="auto"/>
        <w:left w:val="none" w:sz="0" w:space="0" w:color="auto"/>
        <w:bottom w:val="none" w:sz="0" w:space="0" w:color="auto"/>
        <w:right w:val="none" w:sz="0" w:space="0" w:color="auto"/>
      </w:divBdr>
    </w:div>
    <w:div w:id="1605576646">
      <w:bodyDiv w:val="1"/>
      <w:marLeft w:val="0"/>
      <w:marRight w:val="0"/>
      <w:marTop w:val="0"/>
      <w:marBottom w:val="0"/>
      <w:divBdr>
        <w:top w:val="none" w:sz="0" w:space="0" w:color="auto"/>
        <w:left w:val="none" w:sz="0" w:space="0" w:color="auto"/>
        <w:bottom w:val="none" w:sz="0" w:space="0" w:color="auto"/>
        <w:right w:val="none" w:sz="0" w:space="0" w:color="auto"/>
      </w:divBdr>
    </w:div>
    <w:div w:id="1641226190">
      <w:bodyDiv w:val="1"/>
      <w:marLeft w:val="0"/>
      <w:marRight w:val="0"/>
      <w:marTop w:val="0"/>
      <w:marBottom w:val="0"/>
      <w:divBdr>
        <w:top w:val="none" w:sz="0" w:space="0" w:color="auto"/>
        <w:left w:val="none" w:sz="0" w:space="0" w:color="auto"/>
        <w:bottom w:val="none" w:sz="0" w:space="0" w:color="auto"/>
        <w:right w:val="none" w:sz="0" w:space="0" w:color="auto"/>
      </w:divBdr>
    </w:div>
    <w:div w:id="1646423982">
      <w:bodyDiv w:val="1"/>
      <w:marLeft w:val="0"/>
      <w:marRight w:val="0"/>
      <w:marTop w:val="0"/>
      <w:marBottom w:val="0"/>
      <w:divBdr>
        <w:top w:val="none" w:sz="0" w:space="0" w:color="auto"/>
        <w:left w:val="none" w:sz="0" w:space="0" w:color="auto"/>
        <w:bottom w:val="none" w:sz="0" w:space="0" w:color="auto"/>
        <w:right w:val="none" w:sz="0" w:space="0" w:color="auto"/>
      </w:divBdr>
    </w:div>
    <w:div w:id="1649897326">
      <w:bodyDiv w:val="1"/>
      <w:marLeft w:val="0"/>
      <w:marRight w:val="0"/>
      <w:marTop w:val="0"/>
      <w:marBottom w:val="0"/>
      <w:divBdr>
        <w:top w:val="none" w:sz="0" w:space="0" w:color="auto"/>
        <w:left w:val="none" w:sz="0" w:space="0" w:color="auto"/>
        <w:bottom w:val="none" w:sz="0" w:space="0" w:color="auto"/>
        <w:right w:val="none" w:sz="0" w:space="0" w:color="auto"/>
      </w:divBdr>
    </w:div>
    <w:div w:id="1654601887">
      <w:bodyDiv w:val="1"/>
      <w:marLeft w:val="0"/>
      <w:marRight w:val="0"/>
      <w:marTop w:val="0"/>
      <w:marBottom w:val="0"/>
      <w:divBdr>
        <w:top w:val="none" w:sz="0" w:space="0" w:color="auto"/>
        <w:left w:val="none" w:sz="0" w:space="0" w:color="auto"/>
        <w:bottom w:val="none" w:sz="0" w:space="0" w:color="auto"/>
        <w:right w:val="none" w:sz="0" w:space="0" w:color="auto"/>
      </w:divBdr>
    </w:div>
    <w:div w:id="1690447731">
      <w:bodyDiv w:val="1"/>
      <w:marLeft w:val="0"/>
      <w:marRight w:val="0"/>
      <w:marTop w:val="0"/>
      <w:marBottom w:val="0"/>
      <w:divBdr>
        <w:top w:val="none" w:sz="0" w:space="0" w:color="auto"/>
        <w:left w:val="none" w:sz="0" w:space="0" w:color="auto"/>
        <w:bottom w:val="none" w:sz="0" w:space="0" w:color="auto"/>
        <w:right w:val="none" w:sz="0" w:space="0" w:color="auto"/>
      </w:divBdr>
    </w:div>
    <w:div w:id="1704860555">
      <w:bodyDiv w:val="1"/>
      <w:marLeft w:val="0"/>
      <w:marRight w:val="0"/>
      <w:marTop w:val="0"/>
      <w:marBottom w:val="0"/>
      <w:divBdr>
        <w:top w:val="none" w:sz="0" w:space="0" w:color="auto"/>
        <w:left w:val="none" w:sz="0" w:space="0" w:color="auto"/>
        <w:bottom w:val="none" w:sz="0" w:space="0" w:color="auto"/>
        <w:right w:val="none" w:sz="0" w:space="0" w:color="auto"/>
      </w:divBdr>
    </w:div>
    <w:div w:id="1712608633">
      <w:bodyDiv w:val="1"/>
      <w:marLeft w:val="0"/>
      <w:marRight w:val="0"/>
      <w:marTop w:val="0"/>
      <w:marBottom w:val="0"/>
      <w:divBdr>
        <w:top w:val="none" w:sz="0" w:space="0" w:color="auto"/>
        <w:left w:val="none" w:sz="0" w:space="0" w:color="auto"/>
        <w:bottom w:val="none" w:sz="0" w:space="0" w:color="auto"/>
        <w:right w:val="none" w:sz="0" w:space="0" w:color="auto"/>
      </w:divBdr>
    </w:div>
    <w:div w:id="1720320345">
      <w:bodyDiv w:val="1"/>
      <w:marLeft w:val="0"/>
      <w:marRight w:val="0"/>
      <w:marTop w:val="0"/>
      <w:marBottom w:val="0"/>
      <w:divBdr>
        <w:top w:val="none" w:sz="0" w:space="0" w:color="auto"/>
        <w:left w:val="none" w:sz="0" w:space="0" w:color="auto"/>
        <w:bottom w:val="none" w:sz="0" w:space="0" w:color="auto"/>
        <w:right w:val="none" w:sz="0" w:space="0" w:color="auto"/>
      </w:divBdr>
    </w:div>
    <w:div w:id="1753425938">
      <w:bodyDiv w:val="1"/>
      <w:marLeft w:val="0"/>
      <w:marRight w:val="0"/>
      <w:marTop w:val="0"/>
      <w:marBottom w:val="0"/>
      <w:divBdr>
        <w:top w:val="none" w:sz="0" w:space="0" w:color="auto"/>
        <w:left w:val="none" w:sz="0" w:space="0" w:color="auto"/>
        <w:bottom w:val="none" w:sz="0" w:space="0" w:color="auto"/>
        <w:right w:val="none" w:sz="0" w:space="0" w:color="auto"/>
      </w:divBdr>
    </w:div>
    <w:div w:id="1753770240">
      <w:bodyDiv w:val="1"/>
      <w:marLeft w:val="0"/>
      <w:marRight w:val="0"/>
      <w:marTop w:val="0"/>
      <w:marBottom w:val="0"/>
      <w:divBdr>
        <w:top w:val="none" w:sz="0" w:space="0" w:color="auto"/>
        <w:left w:val="none" w:sz="0" w:space="0" w:color="auto"/>
        <w:bottom w:val="none" w:sz="0" w:space="0" w:color="auto"/>
        <w:right w:val="none" w:sz="0" w:space="0" w:color="auto"/>
      </w:divBdr>
    </w:div>
    <w:div w:id="1797916562">
      <w:bodyDiv w:val="1"/>
      <w:marLeft w:val="0"/>
      <w:marRight w:val="0"/>
      <w:marTop w:val="0"/>
      <w:marBottom w:val="0"/>
      <w:divBdr>
        <w:top w:val="none" w:sz="0" w:space="0" w:color="auto"/>
        <w:left w:val="none" w:sz="0" w:space="0" w:color="auto"/>
        <w:bottom w:val="none" w:sz="0" w:space="0" w:color="auto"/>
        <w:right w:val="none" w:sz="0" w:space="0" w:color="auto"/>
      </w:divBdr>
    </w:div>
    <w:div w:id="1840386691">
      <w:bodyDiv w:val="1"/>
      <w:marLeft w:val="0"/>
      <w:marRight w:val="0"/>
      <w:marTop w:val="0"/>
      <w:marBottom w:val="0"/>
      <w:divBdr>
        <w:top w:val="none" w:sz="0" w:space="0" w:color="auto"/>
        <w:left w:val="none" w:sz="0" w:space="0" w:color="auto"/>
        <w:bottom w:val="none" w:sz="0" w:space="0" w:color="auto"/>
        <w:right w:val="none" w:sz="0" w:space="0" w:color="auto"/>
      </w:divBdr>
    </w:div>
    <w:div w:id="1893494025">
      <w:bodyDiv w:val="1"/>
      <w:marLeft w:val="0"/>
      <w:marRight w:val="0"/>
      <w:marTop w:val="0"/>
      <w:marBottom w:val="0"/>
      <w:divBdr>
        <w:top w:val="none" w:sz="0" w:space="0" w:color="auto"/>
        <w:left w:val="none" w:sz="0" w:space="0" w:color="auto"/>
        <w:bottom w:val="none" w:sz="0" w:space="0" w:color="auto"/>
        <w:right w:val="none" w:sz="0" w:space="0" w:color="auto"/>
      </w:divBdr>
    </w:div>
    <w:div w:id="1896306637">
      <w:bodyDiv w:val="1"/>
      <w:marLeft w:val="0"/>
      <w:marRight w:val="0"/>
      <w:marTop w:val="0"/>
      <w:marBottom w:val="0"/>
      <w:divBdr>
        <w:top w:val="none" w:sz="0" w:space="0" w:color="auto"/>
        <w:left w:val="none" w:sz="0" w:space="0" w:color="auto"/>
        <w:bottom w:val="none" w:sz="0" w:space="0" w:color="auto"/>
        <w:right w:val="none" w:sz="0" w:space="0" w:color="auto"/>
      </w:divBdr>
    </w:div>
    <w:div w:id="1908568038">
      <w:bodyDiv w:val="1"/>
      <w:marLeft w:val="0"/>
      <w:marRight w:val="0"/>
      <w:marTop w:val="0"/>
      <w:marBottom w:val="0"/>
      <w:divBdr>
        <w:top w:val="none" w:sz="0" w:space="0" w:color="auto"/>
        <w:left w:val="none" w:sz="0" w:space="0" w:color="auto"/>
        <w:bottom w:val="none" w:sz="0" w:space="0" w:color="auto"/>
        <w:right w:val="none" w:sz="0" w:space="0" w:color="auto"/>
      </w:divBdr>
    </w:div>
    <w:div w:id="1909265768">
      <w:bodyDiv w:val="1"/>
      <w:marLeft w:val="0"/>
      <w:marRight w:val="0"/>
      <w:marTop w:val="0"/>
      <w:marBottom w:val="0"/>
      <w:divBdr>
        <w:top w:val="none" w:sz="0" w:space="0" w:color="auto"/>
        <w:left w:val="none" w:sz="0" w:space="0" w:color="auto"/>
        <w:bottom w:val="none" w:sz="0" w:space="0" w:color="auto"/>
        <w:right w:val="none" w:sz="0" w:space="0" w:color="auto"/>
      </w:divBdr>
    </w:div>
    <w:div w:id="1924335137">
      <w:bodyDiv w:val="1"/>
      <w:marLeft w:val="0"/>
      <w:marRight w:val="0"/>
      <w:marTop w:val="0"/>
      <w:marBottom w:val="0"/>
      <w:divBdr>
        <w:top w:val="none" w:sz="0" w:space="0" w:color="auto"/>
        <w:left w:val="none" w:sz="0" w:space="0" w:color="auto"/>
        <w:bottom w:val="none" w:sz="0" w:space="0" w:color="auto"/>
        <w:right w:val="none" w:sz="0" w:space="0" w:color="auto"/>
      </w:divBdr>
    </w:div>
    <w:div w:id="1997687598">
      <w:bodyDiv w:val="1"/>
      <w:marLeft w:val="0"/>
      <w:marRight w:val="0"/>
      <w:marTop w:val="0"/>
      <w:marBottom w:val="0"/>
      <w:divBdr>
        <w:top w:val="none" w:sz="0" w:space="0" w:color="auto"/>
        <w:left w:val="none" w:sz="0" w:space="0" w:color="auto"/>
        <w:bottom w:val="none" w:sz="0" w:space="0" w:color="auto"/>
        <w:right w:val="none" w:sz="0" w:space="0" w:color="auto"/>
      </w:divBdr>
    </w:div>
    <w:div w:id="2018578001">
      <w:bodyDiv w:val="1"/>
      <w:marLeft w:val="0"/>
      <w:marRight w:val="0"/>
      <w:marTop w:val="0"/>
      <w:marBottom w:val="0"/>
      <w:divBdr>
        <w:top w:val="none" w:sz="0" w:space="0" w:color="auto"/>
        <w:left w:val="none" w:sz="0" w:space="0" w:color="auto"/>
        <w:bottom w:val="none" w:sz="0" w:space="0" w:color="auto"/>
        <w:right w:val="none" w:sz="0" w:space="0" w:color="auto"/>
      </w:divBdr>
    </w:div>
    <w:div w:id="2020769400">
      <w:bodyDiv w:val="1"/>
      <w:marLeft w:val="0"/>
      <w:marRight w:val="0"/>
      <w:marTop w:val="0"/>
      <w:marBottom w:val="0"/>
      <w:divBdr>
        <w:top w:val="none" w:sz="0" w:space="0" w:color="auto"/>
        <w:left w:val="none" w:sz="0" w:space="0" w:color="auto"/>
        <w:bottom w:val="none" w:sz="0" w:space="0" w:color="auto"/>
        <w:right w:val="none" w:sz="0" w:space="0" w:color="auto"/>
      </w:divBdr>
    </w:div>
    <w:div w:id="2042365392">
      <w:bodyDiv w:val="1"/>
      <w:marLeft w:val="0"/>
      <w:marRight w:val="0"/>
      <w:marTop w:val="0"/>
      <w:marBottom w:val="0"/>
      <w:divBdr>
        <w:top w:val="none" w:sz="0" w:space="0" w:color="auto"/>
        <w:left w:val="none" w:sz="0" w:space="0" w:color="auto"/>
        <w:bottom w:val="none" w:sz="0" w:space="0" w:color="auto"/>
        <w:right w:val="none" w:sz="0" w:space="0" w:color="auto"/>
      </w:divBdr>
    </w:div>
    <w:div w:id="2098359233">
      <w:bodyDiv w:val="1"/>
      <w:marLeft w:val="0"/>
      <w:marRight w:val="0"/>
      <w:marTop w:val="0"/>
      <w:marBottom w:val="0"/>
      <w:divBdr>
        <w:top w:val="none" w:sz="0" w:space="0" w:color="auto"/>
        <w:left w:val="none" w:sz="0" w:space="0" w:color="auto"/>
        <w:bottom w:val="none" w:sz="0" w:space="0" w:color="auto"/>
        <w:right w:val="none" w:sz="0" w:space="0" w:color="auto"/>
      </w:divBdr>
      <w:divsChild>
        <w:div w:id="426318323">
          <w:marLeft w:val="547"/>
          <w:marRight w:val="0"/>
          <w:marTop w:val="0"/>
          <w:marBottom w:val="120"/>
          <w:divBdr>
            <w:top w:val="none" w:sz="0" w:space="0" w:color="auto"/>
            <w:left w:val="none" w:sz="0" w:space="0" w:color="auto"/>
            <w:bottom w:val="none" w:sz="0" w:space="0" w:color="auto"/>
            <w:right w:val="none" w:sz="0" w:space="0" w:color="auto"/>
          </w:divBdr>
        </w:div>
        <w:div w:id="1547375711">
          <w:marLeft w:val="547"/>
          <w:marRight w:val="0"/>
          <w:marTop w:val="0"/>
          <w:marBottom w:val="120"/>
          <w:divBdr>
            <w:top w:val="none" w:sz="0" w:space="0" w:color="auto"/>
            <w:left w:val="none" w:sz="0" w:space="0" w:color="auto"/>
            <w:bottom w:val="none" w:sz="0" w:space="0" w:color="auto"/>
            <w:right w:val="none" w:sz="0" w:space="0" w:color="auto"/>
          </w:divBdr>
        </w:div>
        <w:div w:id="1746804451">
          <w:marLeft w:val="547"/>
          <w:marRight w:val="0"/>
          <w:marTop w:val="0"/>
          <w:marBottom w:val="120"/>
          <w:divBdr>
            <w:top w:val="none" w:sz="0" w:space="0" w:color="auto"/>
            <w:left w:val="none" w:sz="0" w:space="0" w:color="auto"/>
            <w:bottom w:val="none" w:sz="0" w:space="0" w:color="auto"/>
            <w:right w:val="none" w:sz="0" w:space="0" w:color="auto"/>
          </w:divBdr>
        </w:div>
        <w:div w:id="1767966160">
          <w:marLeft w:val="547"/>
          <w:marRight w:val="0"/>
          <w:marTop w:val="0"/>
          <w:marBottom w:val="120"/>
          <w:divBdr>
            <w:top w:val="none" w:sz="0" w:space="0" w:color="auto"/>
            <w:left w:val="none" w:sz="0" w:space="0" w:color="auto"/>
            <w:bottom w:val="none" w:sz="0" w:space="0" w:color="auto"/>
            <w:right w:val="none" w:sz="0" w:space="0" w:color="auto"/>
          </w:divBdr>
        </w:div>
        <w:div w:id="1821728618">
          <w:marLeft w:val="547"/>
          <w:marRight w:val="0"/>
          <w:marTop w:val="0"/>
          <w:marBottom w:val="120"/>
          <w:divBdr>
            <w:top w:val="none" w:sz="0" w:space="0" w:color="auto"/>
            <w:left w:val="none" w:sz="0" w:space="0" w:color="auto"/>
            <w:bottom w:val="none" w:sz="0" w:space="0" w:color="auto"/>
            <w:right w:val="none" w:sz="0" w:space="0" w:color="auto"/>
          </w:divBdr>
        </w:div>
      </w:divsChild>
    </w:div>
    <w:div w:id="213309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legislation.gov.au/Details/F2016L00070/Html/Tex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PMC Theme">
  <a:themeElements>
    <a:clrScheme name="DeptPMC Corp PPT">
      <a:dk1>
        <a:srgbClr val="000000"/>
      </a:dk1>
      <a:lt1>
        <a:sysClr val="window" lastClr="FFFFFF"/>
      </a:lt1>
      <a:dk2>
        <a:srgbClr val="014463"/>
      </a:dk2>
      <a:lt2>
        <a:srgbClr val="D1D1D1"/>
      </a:lt2>
      <a:accent1>
        <a:srgbClr val="25303B"/>
      </a:accent1>
      <a:accent2>
        <a:srgbClr val="014463"/>
      </a:accent2>
      <a:accent3>
        <a:srgbClr val="0A6446"/>
      </a:accent3>
      <a:accent4>
        <a:srgbClr val="C85A17"/>
      </a:accent4>
      <a:accent5>
        <a:srgbClr val="F7A600"/>
      </a:accent5>
      <a:accent6>
        <a:srgbClr val="A91117"/>
      </a:accent6>
      <a:hlink>
        <a:srgbClr val="015F8B"/>
      </a:hlink>
      <a:folHlink>
        <a:srgbClr val="015F8B"/>
      </a:folHlink>
    </a:clrScheme>
    <a:fontScheme name="Dept PMC">
      <a:majorFont>
        <a:latin typeface="Century Gothic"/>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MC Theme" id="{E175A499-5AAC-4370-80D3-D0BC532A2741}" vid="{87EFA813-BF42-4CB8-8BE6-11265E23F7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DOC23-259312</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F30D6484-BCC6-43E5-8ED6-3A618B693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E46B8-32CA-4541-81F4-7797479A6824}">
  <ds:schemaRefs>
    <ds:schemaRef ds:uri="http://schemas.microsoft.com/sharepoint/v3/contenttype/forms"/>
  </ds:schemaRefs>
</ds:datastoreItem>
</file>

<file path=customXml/itemProps3.xml><?xml version="1.0" encoding="utf-8"?>
<ds:datastoreItem xmlns:ds="http://schemas.openxmlformats.org/officeDocument/2006/customXml" ds:itemID="{2D32BD86-E029-4BE9-A4B0-BE9F53F6D42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85f9fda-bd71-4433-b331-92feb9553089"/>
    <ds:schemaRef ds:uri="166541c0-0594-4e6a-9105-c24d4b6de6f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10040</Words>
  <Characters>61446</Characters>
  <Application>Microsoft Office Word</Application>
  <DocSecurity>0</DocSecurity>
  <Lines>1498</Lines>
  <Paragraphs>1211</Paragraphs>
  <ScaleCrop>false</ScaleCrop>
  <HeadingPairs>
    <vt:vector size="2" baseType="variant">
      <vt:variant>
        <vt:lpstr>Title</vt:lpstr>
      </vt:variant>
      <vt:variant>
        <vt:i4>1</vt:i4>
      </vt:variant>
    </vt:vector>
  </HeadingPairs>
  <TitlesOfParts>
    <vt:vector size="1" baseType="lpstr">
      <vt:lpstr>Intergovernmental Agreement on National Digital Health</vt:lpstr>
    </vt:vector>
  </TitlesOfParts>
  <Manager/>
  <Company/>
  <LinksUpToDate>false</LinksUpToDate>
  <CharactersWithSpaces>70275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Intergovernmental Agreement on National Digital Health</dc:title>
  <dc:subject/>
  <dc:creator/>
  <cp:keywords/>
  <dc:description/>
  <cp:lastModifiedBy/>
  <cp:revision>1</cp:revision>
  <dcterms:created xsi:type="dcterms:W3CDTF">2023-08-21T05:56:00Z</dcterms:created>
  <dcterms:modified xsi:type="dcterms:W3CDTF">2023-08-21T06:03:00Z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2023-08-21T16:13:22</vt:lpwstr>
  </property>
</Properties>
</file>