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37B1" w14:textId="75002180" w:rsidR="00A10EE2" w:rsidRPr="00D93360" w:rsidRDefault="006F2350" w:rsidP="00186649">
      <w:pPr>
        <w:pStyle w:val="Title"/>
        <w:spacing w:line="700" w:lineRule="exact"/>
        <w:rPr>
          <w:color w:val="1F497D"/>
          <w:sz w:val="72"/>
          <w:szCs w:val="52"/>
        </w:rPr>
      </w:pPr>
      <w:bookmarkStart w:id="0" w:name="_GoBack"/>
      <w:r>
        <w:rPr>
          <w:color w:val="1F497D"/>
          <w:sz w:val="72"/>
          <w:szCs w:val="52"/>
        </w:rPr>
        <w:t xml:space="preserve">PFAS </w:t>
      </w:r>
      <w:r w:rsidR="00A10EE2">
        <w:rPr>
          <w:color w:val="1F497D"/>
          <w:sz w:val="72"/>
          <w:szCs w:val="52"/>
        </w:rPr>
        <w:t>Contamination Response Protocol</w:t>
      </w:r>
    </w:p>
    <w:bookmarkEnd w:id="0"/>
    <w:p w14:paraId="61A46DDF" w14:textId="57C29654" w:rsidR="00A10EE2" w:rsidRDefault="00B00AD7" w:rsidP="00186649">
      <w:pPr>
        <w:pStyle w:val="Subtitle"/>
        <w:spacing w:after="240"/>
        <w:rPr>
          <w:color w:val="8DB3E2"/>
        </w:rPr>
      </w:pPr>
      <w:r>
        <w:rPr>
          <w:caps w:val="0"/>
          <w:color w:val="8DB3E2"/>
          <w:spacing w:val="20"/>
        </w:rPr>
        <w:t xml:space="preserve">NATIONAL </w:t>
      </w:r>
      <w:r w:rsidR="00A10EE2">
        <w:rPr>
          <w:caps w:val="0"/>
          <w:color w:val="8DB3E2"/>
          <w:spacing w:val="20"/>
        </w:rPr>
        <w:t>FRAMEWORK FOR RESPONDING TO PFAS CONTAMINATION</w:t>
      </w:r>
    </w:p>
    <w:p w14:paraId="60DB9ED5" w14:textId="71C6485C" w:rsidR="004A4F9D" w:rsidRDefault="00A10EE2" w:rsidP="00172A74">
      <w:pPr>
        <w:pStyle w:val="Subtitle"/>
        <w:spacing w:after="240"/>
        <w:rPr>
          <w:rFonts w:ascii="Corbel" w:hAnsi="Corbel" w:cs="Corbel"/>
          <w:b w:val="0"/>
          <w:bCs w:val="0"/>
          <w:caps w:val="0"/>
          <w:sz w:val="23"/>
          <w:szCs w:val="23"/>
          <w:lang w:eastAsia="en-AU"/>
        </w:rPr>
      </w:pPr>
      <w:r w:rsidRPr="008E3A0E">
        <w:rPr>
          <w:rFonts w:ascii="Corbel" w:hAnsi="Corbel" w:cs="Corbel"/>
          <w:b w:val="0"/>
          <w:bCs w:val="0"/>
          <w:caps w:val="0"/>
          <w:sz w:val="23"/>
          <w:szCs w:val="23"/>
          <w:lang w:eastAsia="en-AU"/>
        </w:rPr>
        <w:t>Th</w:t>
      </w:r>
      <w:r w:rsidR="009726D7" w:rsidRPr="008E3A0E">
        <w:rPr>
          <w:rFonts w:ascii="Corbel" w:hAnsi="Corbel" w:cs="Corbel"/>
          <w:b w:val="0"/>
          <w:bCs w:val="0"/>
          <w:caps w:val="0"/>
          <w:sz w:val="23"/>
          <w:szCs w:val="23"/>
          <w:lang w:eastAsia="en-AU"/>
        </w:rPr>
        <w:t xml:space="preserve">e </w:t>
      </w:r>
      <w:r w:rsidR="006F2350">
        <w:rPr>
          <w:rFonts w:ascii="Corbel" w:hAnsi="Corbel" w:cs="Corbel"/>
          <w:b w:val="0"/>
          <w:bCs w:val="0"/>
          <w:caps w:val="0"/>
          <w:sz w:val="23"/>
          <w:szCs w:val="23"/>
          <w:lang w:eastAsia="en-AU"/>
        </w:rPr>
        <w:t xml:space="preserve">PFAS </w:t>
      </w:r>
      <w:r w:rsidR="009726D7" w:rsidRPr="008E3A0E">
        <w:rPr>
          <w:rFonts w:ascii="Corbel" w:hAnsi="Corbel" w:cs="Corbel"/>
          <w:b w:val="0"/>
          <w:bCs w:val="0"/>
          <w:caps w:val="0"/>
          <w:sz w:val="23"/>
          <w:szCs w:val="23"/>
          <w:lang w:eastAsia="en-AU"/>
        </w:rPr>
        <w:t>Contamination Response Protocol (the Protocol) out</w:t>
      </w:r>
      <w:r w:rsidRPr="008E3A0E">
        <w:rPr>
          <w:rFonts w:ascii="Corbel" w:hAnsi="Corbel" w:cs="Corbel"/>
          <w:b w:val="0"/>
          <w:bCs w:val="0"/>
          <w:caps w:val="0"/>
          <w:sz w:val="23"/>
          <w:szCs w:val="23"/>
          <w:lang w:eastAsia="en-AU"/>
        </w:rPr>
        <w:t xml:space="preserve">lines agreed key priorities and </w:t>
      </w:r>
      <w:r w:rsidR="005037A1">
        <w:rPr>
          <w:rFonts w:ascii="Corbel" w:hAnsi="Corbel" w:cs="Corbel"/>
          <w:b w:val="0"/>
          <w:bCs w:val="0"/>
          <w:caps w:val="0"/>
          <w:sz w:val="23"/>
          <w:szCs w:val="23"/>
          <w:lang w:eastAsia="en-AU"/>
        </w:rPr>
        <w:t>guidance</w:t>
      </w:r>
      <w:r w:rsidRPr="008E3A0E">
        <w:rPr>
          <w:rFonts w:ascii="Corbel" w:hAnsi="Corbel" w:cs="Corbel"/>
          <w:b w:val="0"/>
          <w:bCs w:val="0"/>
          <w:caps w:val="0"/>
          <w:sz w:val="23"/>
          <w:szCs w:val="23"/>
          <w:lang w:eastAsia="en-AU"/>
        </w:rPr>
        <w:t xml:space="preserve"> for governments in Australia when responding to PFAS </w:t>
      </w:r>
      <w:r w:rsidRPr="00581C2F">
        <w:rPr>
          <w:rFonts w:ascii="Corbel" w:hAnsi="Corbel" w:cs="Corbel"/>
          <w:b w:val="0"/>
          <w:bCs w:val="0"/>
          <w:caps w:val="0"/>
          <w:sz w:val="23"/>
          <w:szCs w:val="23"/>
          <w:lang w:eastAsia="en-AU"/>
        </w:rPr>
        <w:t>contamination</w:t>
      </w:r>
      <w:r w:rsidR="007C6ABB">
        <w:rPr>
          <w:rFonts w:ascii="Corbel" w:hAnsi="Corbel" w:cs="Corbel"/>
          <w:b w:val="0"/>
          <w:bCs w:val="0"/>
          <w:caps w:val="0"/>
          <w:sz w:val="23"/>
          <w:szCs w:val="23"/>
          <w:lang w:eastAsia="en-AU"/>
        </w:rPr>
        <w:t xml:space="preserve">. It covers PFAS contamination on </w:t>
      </w:r>
      <w:r w:rsidR="00172A74" w:rsidRPr="00581C2F">
        <w:rPr>
          <w:rFonts w:ascii="Corbel" w:hAnsi="Corbel" w:cs="Corbel"/>
          <w:b w:val="0"/>
          <w:bCs w:val="0"/>
          <w:caps w:val="0"/>
          <w:sz w:val="23"/>
          <w:szCs w:val="23"/>
          <w:lang w:eastAsia="en-AU"/>
        </w:rPr>
        <w:t>government-owned sites</w:t>
      </w:r>
      <w:r w:rsidR="007C6ABB">
        <w:rPr>
          <w:rFonts w:ascii="Corbel" w:hAnsi="Corbel" w:cs="Corbel"/>
          <w:b w:val="0"/>
          <w:bCs w:val="0"/>
          <w:caps w:val="0"/>
          <w:sz w:val="23"/>
          <w:szCs w:val="23"/>
          <w:lang w:eastAsia="en-AU"/>
        </w:rPr>
        <w:t xml:space="preserve"> and </w:t>
      </w:r>
      <w:r w:rsidR="00172A74" w:rsidRPr="00581C2F">
        <w:rPr>
          <w:rFonts w:ascii="Corbel" w:hAnsi="Corbel" w:cs="Corbel"/>
          <w:b w:val="0"/>
          <w:bCs w:val="0"/>
          <w:caps w:val="0"/>
          <w:sz w:val="23"/>
          <w:szCs w:val="23"/>
          <w:lang w:eastAsia="en-AU"/>
        </w:rPr>
        <w:t xml:space="preserve">other sites </w:t>
      </w:r>
      <w:r w:rsidR="004A4F9D">
        <w:rPr>
          <w:rFonts w:ascii="Corbel" w:hAnsi="Corbel" w:cs="Corbel"/>
          <w:b w:val="0"/>
          <w:bCs w:val="0"/>
          <w:caps w:val="0"/>
          <w:sz w:val="23"/>
          <w:szCs w:val="23"/>
          <w:lang w:eastAsia="en-AU"/>
        </w:rPr>
        <w:t>where</w:t>
      </w:r>
      <w:r w:rsidR="004A4F9D" w:rsidRPr="00581C2F">
        <w:rPr>
          <w:rFonts w:ascii="Corbel" w:hAnsi="Corbel" w:cs="Corbel"/>
          <w:b w:val="0"/>
          <w:bCs w:val="0"/>
          <w:caps w:val="0"/>
          <w:sz w:val="23"/>
          <w:szCs w:val="23"/>
          <w:lang w:eastAsia="en-AU"/>
        </w:rPr>
        <w:t xml:space="preserve"> government</w:t>
      </w:r>
      <w:r w:rsidR="00172A74" w:rsidRPr="00581C2F">
        <w:rPr>
          <w:rFonts w:ascii="Corbel" w:hAnsi="Corbel" w:cs="Corbel"/>
          <w:b w:val="0"/>
          <w:bCs w:val="0"/>
          <w:caps w:val="0"/>
          <w:sz w:val="23"/>
          <w:szCs w:val="23"/>
          <w:lang w:eastAsia="en-AU"/>
        </w:rPr>
        <w:t xml:space="preserve"> </w:t>
      </w:r>
      <w:r w:rsidR="00421522">
        <w:rPr>
          <w:rFonts w:ascii="Corbel" w:hAnsi="Corbel" w:cs="Corbel"/>
          <w:b w:val="0"/>
          <w:bCs w:val="0"/>
          <w:caps w:val="0"/>
          <w:sz w:val="23"/>
          <w:szCs w:val="23"/>
          <w:lang w:eastAsia="en-AU"/>
        </w:rPr>
        <w:t xml:space="preserve">activities </w:t>
      </w:r>
      <w:r w:rsidR="004A4F9D">
        <w:rPr>
          <w:rFonts w:ascii="Corbel" w:hAnsi="Corbel" w:cs="Corbel"/>
          <w:b w:val="0"/>
          <w:bCs w:val="0"/>
          <w:caps w:val="0"/>
          <w:sz w:val="23"/>
          <w:szCs w:val="23"/>
          <w:lang w:eastAsia="en-AU"/>
        </w:rPr>
        <w:t xml:space="preserve">have resulted in </w:t>
      </w:r>
      <w:r w:rsidR="007246F4">
        <w:rPr>
          <w:rFonts w:ascii="Corbel" w:hAnsi="Corbel" w:cs="Corbel"/>
          <w:b w:val="0"/>
          <w:bCs w:val="0"/>
          <w:caps w:val="0"/>
          <w:sz w:val="23"/>
          <w:szCs w:val="23"/>
          <w:lang w:eastAsia="en-AU"/>
        </w:rPr>
        <w:t xml:space="preserve">PFAS </w:t>
      </w:r>
      <w:r w:rsidR="004A4F9D">
        <w:rPr>
          <w:rFonts w:ascii="Corbel" w:hAnsi="Corbel" w:cs="Corbel"/>
          <w:b w:val="0"/>
          <w:bCs w:val="0"/>
          <w:caps w:val="0"/>
          <w:sz w:val="23"/>
          <w:szCs w:val="23"/>
          <w:lang w:eastAsia="en-AU"/>
        </w:rPr>
        <w:t>contamination</w:t>
      </w:r>
      <w:r w:rsidRPr="00581C2F">
        <w:rPr>
          <w:rFonts w:ascii="Corbel" w:hAnsi="Corbel" w:cs="Corbel"/>
          <w:b w:val="0"/>
          <w:bCs w:val="0"/>
          <w:caps w:val="0"/>
          <w:sz w:val="23"/>
          <w:szCs w:val="23"/>
          <w:lang w:eastAsia="en-AU"/>
        </w:rPr>
        <w:t xml:space="preserve">. </w:t>
      </w:r>
      <w:r w:rsidR="00843D34">
        <w:rPr>
          <w:rFonts w:ascii="Corbel" w:hAnsi="Corbel" w:cs="Corbel"/>
          <w:b w:val="0"/>
          <w:bCs w:val="0"/>
          <w:caps w:val="0"/>
          <w:sz w:val="23"/>
          <w:szCs w:val="23"/>
          <w:lang w:eastAsia="en-AU"/>
        </w:rPr>
        <w:t xml:space="preserve">The </w:t>
      </w:r>
      <w:r w:rsidR="007C6ABB">
        <w:rPr>
          <w:rFonts w:ascii="Corbel" w:hAnsi="Corbel" w:cs="Corbel"/>
          <w:b w:val="0"/>
          <w:bCs w:val="0"/>
          <w:caps w:val="0"/>
          <w:sz w:val="23"/>
          <w:szCs w:val="23"/>
          <w:lang w:eastAsia="en-AU"/>
        </w:rPr>
        <w:t>guidance is</w:t>
      </w:r>
      <w:r w:rsidR="00843D34">
        <w:rPr>
          <w:rFonts w:ascii="Corbel" w:hAnsi="Corbel" w:cs="Corbel"/>
          <w:b w:val="0"/>
          <w:bCs w:val="0"/>
          <w:caps w:val="0"/>
          <w:sz w:val="23"/>
          <w:szCs w:val="23"/>
          <w:lang w:eastAsia="en-AU"/>
        </w:rPr>
        <w:t xml:space="preserve"> </w:t>
      </w:r>
      <w:r w:rsidR="00EB4A3E">
        <w:rPr>
          <w:rFonts w:ascii="Corbel" w:hAnsi="Corbel" w:cs="Corbel"/>
          <w:b w:val="0"/>
          <w:bCs w:val="0"/>
          <w:caps w:val="0"/>
          <w:sz w:val="23"/>
          <w:szCs w:val="23"/>
          <w:lang w:eastAsia="en-AU"/>
        </w:rPr>
        <w:t>applicable to</w:t>
      </w:r>
      <w:r w:rsidR="00843D34">
        <w:rPr>
          <w:rFonts w:ascii="Corbel" w:hAnsi="Corbel" w:cs="Corbel"/>
          <w:b w:val="0"/>
          <w:bCs w:val="0"/>
          <w:caps w:val="0"/>
          <w:sz w:val="23"/>
          <w:szCs w:val="23"/>
          <w:lang w:eastAsia="en-AU"/>
        </w:rPr>
        <w:t xml:space="preserve"> both loss of containment </w:t>
      </w:r>
      <w:r w:rsidR="00EB4A3E">
        <w:rPr>
          <w:rFonts w:ascii="Corbel" w:hAnsi="Corbel" w:cs="Corbel"/>
          <w:b w:val="0"/>
          <w:bCs w:val="0"/>
          <w:caps w:val="0"/>
          <w:sz w:val="23"/>
          <w:szCs w:val="23"/>
          <w:lang w:eastAsia="en-AU"/>
        </w:rPr>
        <w:t xml:space="preserve">events </w:t>
      </w:r>
      <w:r w:rsidR="00204305">
        <w:rPr>
          <w:rFonts w:ascii="Corbel" w:hAnsi="Corbel" w:cs="Corbel"/>
          <w:b w:val="0"/>
          <w:bCs w:val="0"/>
          <w:caps w:val="0"/>
          <w:sz w:val="23"/>
          <w:szCs w:val="23"/>
          <w:lang w:eastAsia="en-AU"/>
        </w:rPr>
        <w:t xml:space="preserve">(e.g. spills) </w:t>
      </w:r>
      <w:r w:rsidR="00843D34">
        <w:rPr>
          <w:rFonts w:ascii="Corbel" w:hAnsi="Corbel" w:cs="Corbel"/>
          <w:b w:val="0"/>
          <w:bCs w:val="0"/>
          <w:caps w:val="0"/>
          <w:sz w:val="23"/>
          <w:szCs w:val="23"/>
          <w:lang w:eastAsia="en-AU"/>
        </w:rPr>
        <w:t xml:space="preserve">and legacy contamination. </w:t>
      </w:r>
    </w:p>
    <w:p w14:paraId="68624BB3" w14:textId="674A2A91" w:rsidR="00304BF7" w:rsidRDefault="007246F4" w:rsidP="00172A74">
      <w:pPr>
        <w:pStyle w:val="Subtitle"/>
        <w:spacing w:after="240"/>
        <w:rPr>
          <w:rFonts w:ascii="Corbel" w:hAnsi="Corbel" w:cs="Corbel"/>
          <w:b w:val="0"/>
          <w:bCs w:val="0"/>
          <w:caps w:val="0"/>
          <w:sz w:val="23"/>
          <w:szCs w:val="23"/>
          <w:lang w:eastAsia="en-AU"/>
        </w:rPr>
      </w:pPr>
      <w:r w:rsidRPr="007246F4">
        <w:rPr>
          <w:rFonts w:ascii="Corbel" w:hAnsi="Corbel" w:cs="Corbel"/>
          <w:b w:val="0"/>
          <w:bCs w:val="0"/>
          <w:caps w:val="0"/>
          <w:sz w:val="23"/>
          <w:szCs w:val="23"/>
          <w:lang w:eastAsia="en-AU"/>
        </w:rPr>
        <w:t>The widespread use of PFAS and unpredictable mobility of these chemicals in the environment mean</w:t>
      </w:r>
      <w:r w:rsidR="004A1C61">
        <w:rPr>
          <w:rFonts w:ascii="Corbel" w:hAnsi="Corbel" w:cs="Corbel"/>
          <w:b w:val="0"/>
          <w:bCs w:val="0"/>
          <w:caps w:val="0"/>
          <w:sz w:val="23"/>
          <w:szCs w:val="23"/>
          <w:lang w:eastAsia="en-AU"/>
        </w:rPr>
        <w:t>s</w:t>
      </w:r>
      <w:r w:rsidRPr="007246F4">
        <w:rPr>
          <w:rFonts w:ascii="Corbel" w:hAnsi="Corbel" w:cs="Corbel"/>
          <w:b w:val="0"/>
          <w:bCs w:val="0"/>
          <w:caps w:val="0"/>
          <w:sz w:val="23"/>
          <w:szCs w:val="23"/>
          <w:lang w:eastAsia="en-AU"/>
        </w:rPr>
        <w:t xml:space="preserve"> that clearly determining all sources can be very challenging</w:t>
      </w:r>
      <w:r w:rsidR="003266D7">
        <w:rPr>
          <w:rFonts w:ascii="Corbel" w:hAnsi="Corbel" w:cs="Corbel"/>
          <w:b w:val="0"/>
          <w:bCs w:val="0"/>
          <w:caps w:val="0"/>
          <w:sz w:val="23"/>
          <w:szCs w:val="23"/>
          <w:lang w:eastAsia="en-AU"/>
        </w:rPr>
        <w:t xml:space="preserve">. </w:t>
      </w:r>
      <w:r w:rsidR="00376C85">
        <w:rPr>
          <w:rFonts w:ascii="Corbel" w:hAnsi="Corbel" w:cs="Corbel"/>
          <w:b w:val="0"/>
          <w:bCs w:val="0"/>
          <w:caps w:val="0"/>
          <w:sz w:val="23"/>
          <w:szCs w:val="23"/>
          <w:lang w:eastAsia="en-AU"/>
        </w:rPr>
        <w:t xml:space="preserve">Additionally, </w:t>
      </w:r>
      <w:r w:rsidR="003266D7">
        <w:rPr>
          <w:rFonts w:ascii="Corbel" w:hAnsi="Corbel" w:cs="Corbel"/>
          <w:b w:val="0"/>
          <w:bCs w:val="0"/>
          <w:caps w:val="0"/>
          <w:sz w:val="23"/>
          <w:szCs w:val="23"/>
          <w:lang w:eastAsia="en-AU"/>
        </w:rPr>
        <w:t xml:space="preserve">PFAS contamination </w:t>
      </w:r>
      <w:r w:rsidR="004A1C61">
        <w:rPr>
          <w:rFonts w:ascii="Corbel" w:hAnsi="Corbel" w:cs="Corbel"/>
          <w:b w:val="0"/>
          <w:bCs w:val="0"/>
          <w:caps w:val="0"/>
          <w:sz w:val="23"/>
          <w:szCs w:val="23"/>
          <w:lang w:eastAsia="en-AU"/>
        </w:rPr>
        <w:t>may</w:t>
      </w:r>
      <w:r w:rsidR="003266D7">
        <w:rPr>
          <w:rFonts w:ascii="Corbel" w:hAnsi="Corbel" w:cs="Corbel"/>
          <w:b w:val="0"/>
          <w:bCs w:val="0"/>
          <w:caps w:val="0"/>
          <w:sz w:val="23"/>
          <w:szCs w:val="23"/>
          <w:lang w:eastAsia="en-AU"/>
        </w:rPr>
        <w:t xml:space="preserve"> </w:t>
      </w:r>
      <w:proofErr w:type="gramStart"/>
      <w:r w:rsidR="003266D7">
        <w:rPr>
          <w:rFonts w:ascii="Corbel" w:hAnsi="Corbel" w:cs="Corbel"/>
          <w:b w:val="0"/>
          <w:bCs w:val="0"/>
          <w:caps w:val="0"/>
          <w:sz w:val="23"/>
          <w:szCs w:val="23"/>
          <w:lang w:eastAsia="en-AU"/>
        </w:rPr>
        <w:t>cross</w:t>
      </w:r>
      <w:r w:rsidR="00F75B5B">
        <w:rPr>
          <w:rFonts w:ascii="Corbel" w:hAnsi="Corbel" w:cs="Corbel"/>
          <w:b w:val="0"/>
          <w:bCs w:val="0"/>
          <w:caps w:val="0"/>
          <w:sz w:val="23"/>
          <w:szCs w:val="23"/>
          <w:lang w:eastAsia="en-AU"/>
        </w:rPr>
        <w:t xml:space="preserve"> </w:t>
      </w:r>
      <w:r w:rsidR="003266D7">
        <w:rPr>
          <w:rFonts w:ascii="Corbel" w:hAnsi="Corbel" w:cs="Corbel"/>
          <w:b w:val="0"/>
          <w:bCs w:val="0"/>
          <w:caps w:val="0"/>
          <w:sz w:val="23"/>
          <w:szCs w:val="23"/>
          <w:lang w:eastAsia="en-AU"/>
        </w:rPr>
        <w:t>jurisdictional</w:t>
      </w:r>
      <w:proofErr w:type="gramEnd"/>
      <w:r w:rsidR="003266D7">
        <w:rPr>
          <w:rFonts w:ascii="Corbel" w:hAnsi="Corbel" w:cs="Corbel"/>
          <w:b w:val="0"/>
          <w:bCs w:val="0"/>
          <w:caps w:val="0"/>
          <w:sz w:val="23"/>
          <w:szCs w:val="23"/>
          <w:lang w:eastAsia="en-AU"/>
        </w:rPr>
        <w:t xml:space="preserve"> boundaries</w:t>
      </w:r>
      <w:r w:rsidR="00376C85">
        <w:rPr>
          <w:rFonts w:ascii="Corbel" w:hAnsi="Corbel" w:cs="Corbel"/>
          <w:b w:val="0"/>
          <w:bCs w:val="0"/>
          <w:caps w:val="0"/>
          <w:sz w:val="23"/>
          <w:szCs w:val="23"/>
          <w:lang w:eastAsia="en-AU"/>
        </w:rPr>
        <w:t xml:space="preserve"> and there are often multiple responsible entities. W</w:t>
      </w:r>
      <w:r w:rsidR="00C05FE0">
        <w:rPr>
          <w:rFonts w:ascii="Corbel" w:hAnsi="Corbel" w:cs="Corbel"/>
          <w:b w:val="0"/>
          <w:bCs w:val="0"/>
          <w:caps w:val="0"/>
          <w:sz w:val="23"/>
          <w:szCs w:val="23"/>
          <w:lang w:eastAsia="en-AU"/>
        </w:rPr>
        <w:t>orking together</w:t>
      </w:r>
      <w:r w:rsidR="00376C85">
        <w:rPr>
          <w:rFonts w:ascii="Corbel" w:hAnsi="Corbel" w:cs="Corbel"/>
          <w:b w:val="0"/>
          <w:bCs w:val="0"/>
          <w:caps w:val="0"/>
          <w:sz w:val="23"/>
          <w:szCs w:val="23"/>
          <w:lang w:eastAsia="en-AU"/>
        </w:rPr>
        <w:t xml:space="preserve"> to quickly determine </w:t>
      </w:r>
      <w:r w:rsidR="00F50A14">
        <w:rPr>
          <w:rFonts w:ascii="Corbel" w:hAnsi="Corbel" w:cs="Corbel"/>
          <w:b w:val="0"/>
          <w:bCs w:val="0"/>
          <w:caps w:val="0"/>
          <w:sz w:val="23"/>
          <w:szCs w:val="23"/>
          <w:lang w:eastAsia="en-AU"/>
        </w:rPr>
        <w:t xml:space="preserve">roles </w:t>
      </w:r>
      <w:r w:rsidR="00376C85">
        <w:rPr>
          <w:rFonts w:ascii="Corbel" w:hAnsi="Corbel" w:cs="Corbel"/>
          <w:b w:val="0"/>
          <w:bCs w:val="0"/>
          <w:caps w:val="0"/>
          <w:sz w:val="23"/>
          <w:szCs w:val="23"/>
          <w:lang w:eastAsia="en-AU"/>
        </w:rPr>
        <w:t xml:space="preserve">and necessary actions </w:t>
      </w:r>
      <w:r w:rsidR="00784F8B">
        <w:rPr>
          <w:rFonts w:ascii="Corbel" w:hAnsi="Corbel" w:cs="Corbel"/>
          <w:b w:val="0"/>
          <w:bCs w:val="0"/>
          <w:caps w:val="0"/>
          <w:sz w:val="23"/>
          <w:szCs w:val="23"/>
          <w:lang w:eastAsia="en-AU"/>
        </w:rPr>
        <w:t xml:space="preserve">is the best way to overcome </w:t>
      </w:r>
      <w:r w:rsidR="00C05FE0">
        <w:rPr>
          <w:rFonts w:ascii="Corbel" w:hAnsi="Corbel" w:cs="Corbel"/>
          <w:b w:val="0"/>
          <w:bCs w:val="0"/>
          <w:caps w:val="0"/>
          <w:sz w:val="23"/>
          <w:szCs w:val="23"/>
          <w:lang w:eastAsia="en-AU"/>
        </w:rPr>
        <w:t xml:space="preserve">these challenges </w:t>
      </w:r>
      <w:r w:rsidR="00784F8B">
        <w:rPr>
          <w:rFonts w:ascii="Corbel" w:hAnsi="Corbel" w:cs="Corbel"/>
          <w:b w:val="0"/>
          <w:bCs w:val="0"/>
          <w:caps w:val="0"/>
          <w:sz w:val="23"/>
          <w:szCs w:val="23"/>
          <w:lang w:eastAsia="en-AU"/>
        </w:rPr>
        <w:t>and</w:t>
      </w:r>
      <w:r w:rsidR="00C05FE0">
        <w:rPr>
          <w:rFonts w:ascii="Corbel" w:hAnsi="Corbel" w:cs="Corbel"/>
          <w:b w:val="0"/>
          <w:bCs w:val="0"/>
          <w:caps w:val="0"/>
          <w:sz w:val="23"/>
          <w:szCs w:val="23"/>
          <w:lang w:eastAsia="en-AU"/>
        </w:rPr>
        <w:t xml:space="preserve"> protect </w:t>
      </w:r>
      <w:r w:rsidR="004A554C">
        <w:rPr>
          <w:rFonts w:ascii="Corbel" w:hAnsi="Corbel" w:cs="Corbel"/>
          <w:b w:val="0"/>
          <w:bCs w:val="0"/>
          <w:caps w:val="0"/>
          <w:sz w:val="23"/>
          <w:szCs w:val="23"/>
          <w:lang w:eastAsia="en-AU"/>
        </w:rPr>
        <w:t xml:space="preserve">the environment and, as a precaution, protect </w:t>
      </w:r>
      <w:r w:rsidR="00C05FE0">
        <w:rPr>
          <w:rFonts w:ascii="Corbel" w:hAnsi="Corbel" w:cs="Corbel"/>
          <w:b w:val="0"/>
          <w:bCs w:val="0"/>
          <w:caps w:val="0"/>
          <w:sz w:val="23"/>
          <w:szCs w:val="23"/>
          <w:lang w:eastAsia="en-AU"/>
        </w:rPr>
        <w:t xml:space="preserve">human health. </w:t>
      </w:r>
    </w:p>
    <w:p w14:paraId="2D1E1CC3" w14:textId="13C9D602" w:rsidR="0067117F" w:rsidRPr="003319FE" w:rsidRDefault="00917F1D" w:rsidP="003319FE">
      <w:pPr>
        <w:pStyle w:val="Subtitle"/>
        <w:spacing w:after="240"/>
        <w:rPr>
          <w:rFonts w:ascii="Corbel" w:hAnsi="Corbel" w:cs="Corbel"/>
          <w:b w:val="0"/>
          <w:bCs w:val="0"/>
          <w:caps w:val="0"/>
          <w:sz w:val="23"/>
          <w:szCs w:val="23"/>
          <w:lang w:eastAsia="en-AU"/>
        </w:rPr>
      </w:pPr>
      <w:r w:rsidRPr="00581C2F">
        <w:rPr>
          <w:rFonts w:ascii="Corbel" w:hAnsi="Corbel" w:cs="Corbel"/>
          <w:b w:val="0"/>
          <w:bCs w:val="0"/>
          <w:caps w:val="0"/>
          <w:sz w:val="23"/>
          <w:szCs w:val="23"/>
          <w:lang w:eastAsia="en-AU"/>
        </w:rPr>
        <w:t>The</w:t>
      </w:r>
      <w:r w:rsidRPr="008E3A0E">
        <w:rPr>
          <w:rFonts w:ascii="Corbel" w:hAnsi="Corbel" w:cs="Corbel"/>
          <w:b w:val="0"/>
          <w:bCs w:val="0"/>
          <w:caps w:val="0"/>
          <w:sz w:val="23"/>
          <w:szCs w:val="23"/>
          <w:lang w:eastAsia="en-AU"/>
        </w:rPr>
        <w:t xml:space="preserve"> </w:t>
      </w:r>
      <w:r w:rsidR="009726D7" w:rsidRPr="008E3A0E">
        <w:rPr>
          <w:rFonts w:ascii="Corbel" w:hAnsi="Corbel" w:cs="Corbel"/>
          <w:b w:val="0"/>
          <w:bCs w:val="0"/>
          <w:caps w:val="0"/>
          <w:sz w:val="23"/>
          <w:szCs w:val="23"/>
          <w:lang w:eastAsia="en-AU"/>
        </w:rPr>
        <w:t>Protocol</w:t>
      </w:r>
      <w:r w:rsidR="00EC2417">
        <w:rPr>
          <w:rFonts w:ascii="Corbel" w:hAnsi="Corbel" w:cs="Corbel"/>
          <w:b w:val="0"/>
          <w:bCs w:val="0"/>
          <w:caps w:val="0"/>
          <w:sz w:val="23"/>
          <w:szCs w:val="23"/>
          <w:lang w:eastAsia="en-AU"/>
        </w:rPr>
        <w:t xml:space="preserve"> is</w:t>
      </w:r>
      <w:r w:rsidR="005C5812">
        <w:rPr>
          <w:rFonts w:ascii="Corbel" w:hAnsi="Corbel" w:cs="Corbel"/>
          <w:b w:val="0"/>
          <w:bCs w:val="0"/>
          <w:caps w:val="0"/>
          <w:sz w:val="23"/>
          <w:szCs w:val="23"/>
          <w:lang w:eastAsia="en-AU"/>
        </w:rPr>
        <w:t xml:space="preserve"> a</w:t>
      </w:r>
      <w:r w:rsidR="00EC2417">
        <w:rPr>
          <w:rFonts w:ascii="Corbel" w:hAnsi="Corbel" w:cs="Corbel"/>
          <w:b w:val="0"/>
          <w:bCs w:val="0"/>
          <w:caps w:val="0"/>
          <w:sz w:val="23"/>
          <w:szCs w:val="23"/>
          <w:lang w:eastAsia="en-AU"/>
        </w:rPr>
        <w:t xml:space="preserve"> </w:t>
      </w:r>
      <w:r w:rsidR="005C5812" w:rsidRPr="008E3A0E">
        <w:rPr>
          <w:rFonts w:ascii="Corbel" w:hAnsi="Corbel" w:cs="Corbel"/>
          <w:b w:val="0"/>
          <w:bCs w:val="0"/>
          <w:caps w:val="0"/>
          <w:sz w:val="23"/>
          <w:szCs w:val="23"/>
          <w:lang w:eastAsia="en-AU"/>
        </w:rPr>
        <w:t>quick-reference tool</w:t>
      </w:r>
      <w:r w:rsidR="005C5812">
        <w:rPr>
          <w:rFonts w:ascii="Corbel" w:hAnsi="Corbel" w:cs="Corbel"/>
          <w:b w:val="0"/>
          <w:bCs w:val="0"/>
          <w:caps w:val="0"/>
          <w:sz w:val="23"/>
          <w:szCs w:val="23"/>
          <w:lang w:eastAsia="en-AU"/>
        </w:rPr>
        <w:t xml:space="preserve"> </w:t>
      </w:r>
      <w:r w:rsidR="00C05FE0">
        <w:rPr>
          <w:rFonts w:ascii="Corbel" w:hAnsi="Corbel" w:cs="Corbel"/>
          <w:b w:val="0"/>
          <w:bCs w:val="0"/>
          <w:caps w:val="0"/>
          <w:sz w:val="23"/>
          <w:szCs w:val="23"/>
          <w:lang w:eastAsia="en-AU"/>
        </w:rPr>
        <w:t>to help governments work together to</w:t>
      </w:r>
      <w:r w:rsidR="00C05FE0" w:rsidRPr="008E3A0E">
        <w:rPr>
          <w:rFonts w:ascii="Corbel" w:hAnsi="Corbel" w:cs="Corbel"/>
          <w:b w:val="0"/>
          <w:bCs w:val="0"/>
          <w:caps w:val="0"/>
          <w:sz w:val="23"/>
          <w:szCs w:val="23"/>
          <w:lang w:eastAsia="en-AU"/>
        </w:rPr>
        <w:t xml:space="preserve"> </w:t>
      </w:r>
      <w:r w:rsidR="00132AD0" w:rsidRPr="008E3A0E">
        <w:rPr>
          <w:rFonts w:ascii="Corbel" w:hAnsi="Corbel" w:cs="Corbel"/>
          <w:b w:val="0"/>
          <w:bCs w:val="0"/>
          <w:caps w:val="0"/>
          <w:sz w:val="23"/>
          <w:szCs w:val="23"/>
          <w:lang w:eastAsia="en-AU"/>
        </w:rPr>
        <w:t xml:space="preserve">respond </w:t>
      </w:r>
      <w:r w:rsidR="00376C85">
        <w:rPr>
          <w:rFonts w:ascii="Corbel" w:hAnsi="Corbel" w:cs="Corbel"/>
          <w:b w:val="0"/>
          <w:bCs w:val="0"/>
          <w:caps w:val="0"/>
          <w:sz w:val="23"/>
          <w:szCs w:val="23"/>
          <w:lang w:eastAsia="en-AU"/>
        </w:rPr>
        <w:t xml:space="preserve">rapidly and effectively </w:t>
      </w:r>
      <w:r w:rsidR="00132AD0" w:rsidRPr="008E3A0E">
        <w:rPr>
          <w:rFonts w:ascii="Corbel" w:hAnsi="Corbel" w:cs="Corbel"/>
          <w:b w:val="0"/>
          <w:bCs w:val="0"/>
          <w:caps w:val="0"/>
          <w:sz w:val="23"/>
          <w:szCs w:val="23"/>
          <w:lang w:eastAsia="en-AU"/>
        </w:rPr>
        <w:t>to PFAS contamination</w:t>
      </w:r>
      <w:r w:rsidR="00132AD0">
        <w:rPr>
          <w:rFonts w:ascii="Corbel" w:hAnsi="Corbel" w:cs="Corbel"/>
          <w:b w:val="0"/>
          <w:bCs w:val="0"/>
          <w:caps w:val="0"/>
          <w:sz w:val="23"/>
          <w:szCs w:val="23"/>
          <w:lang w:eastAsia="en-AU"/>
        </w:rPr>
        <w:t>. It</w:t>
      </w:r>
      <w:r w:rsidR="00EC2417">
        <w:rPr>
          <w:rFonts w:ascii="Corbel" w:hAnsi="Corbel" w:cs="Corbel"/>
          <w:b w:val="0"/>
          <w:bCs w:val="0"/>
          <w:caps w:val="0"/>
          <w:sz w:val="23"/>
          <w:szCs w:val="23"/>
          <w:lang w:eastAsia="en-AU"/>
        </w:rPr>
        <w:t xml:space="preserve"> </w:t>
      </w:r>
      <w:r w:rsidR="00132AD0">
        <w:rPr>
          <w:rFonts w:ascii="Corbel" w:hAnsi="Corbel" w:cs="Corbel"/>
          <w:b w:val="0"/>
          <w:bCs w:val="0"/>
          <w:caps w:val="0"/>
          <w:sz w:val="23"/>
          <w:szCs w:val="23"/>
          <w:lang w:eastAsia="en-AU"/>
        </w:rPr>
        <w:t>outlines</w:t>
      </w:r>
      <w:r w:rsidR="00EC2417">
        <w:rPr>
          <w:rFonts w:ascii="Corbel" w:hAnsi="Corbel" w:cs="Corbel"/>
          <w:b w:val="0"/>
          <w:bCs w:val="0"/>
          <w:caps w:val="0"/>
          <w:sz w:val="23"/>
          <w:szCs w:val="23"/>
          <w:lang w:eastAsia="en-AU"/>
        </w:rPr>
        <w:t xml:space="preserve"> high-</w:t>
      </w:r>
      <w:r w:rsidRPr="008E3A0E">
        <w:rPr>
          <w:rFonts w:ascii="Corbel" w:hAnsi="Corbel" w:cs="Corbel"/>
          <w:b w:val="0"/>
          <w:bCs w:val="0"/>
          <w:caps w:val="0"/>
          <w:sz w:val="23"/>
          <w:szCs w:val="23"/>
          <w:lang w:eastAsia="en-AU"/>
        </w:rPr>
        <w:t xml:space="preserve">level information about </w:t>
      </w:r>
      <w:r w:rsidR="00E76BE2" w:rsidRPr="008E3A0E">
        <w:rPr>
          <w:rFonts w:ascii="Corbel" w:hAnsi="Corbel" w:cs="Corbel"/>
          <w:b w:val="0"/>
          <w:bCs w:val="0"/>
          <w:caps w:val="0"/>
          <w:sz w:val="23"/>
          <w:szCs w:val="23"/>
          <w:lang w:eastAsia="en-AU"/>
        </w:rPr>
        <w:t>government r</w:t>
      </w:r>
      <w:r w:rsidR="001B30AC">
        <w:rPr>
          <w:rFonts w:ascii="Corbel" w:hAnsi="Corbel" w:cs="Corbel"/>
          <w:b w:val="0"/>
          <w:bCs w:val="0"/>
          <w:caps w:val="0"/>
          <w:sz w:val="23"/>
          <w:szCs w:val="23"/>
          <w:lang w:eastAsia="en-AU"/>
        </w:rPr>
        <w:t>oles</w:t>
      </w:r>
      <w:r w:rsidR="00E76BE2" w:rsidRPr="008E3A0E">
        <w:rPr>
          <w:rFonts w:ascii="Corbel" w:hAnsi="Corbel" w:cs="Corbel"/>
          <w:b w:val="0"/>
          <w:bCs w:val="0"/>
          <w:caps w:val="0"/>
          <w:sz w:val="23"/>
          <w:szCs w:val="23"/>
          <w:lang w:eastAsia="en-AU"/>
        </w:rPr>
        <w:t xml:space="preserve"> </w:t>
      </w:r>
      <w:r w:rsidR="00132AD0">
        <w:rPr>
          <w:rFonts w:ascii="Corbel" w:hAnsi="Corbel" w:cs="Corbel"/>
          <w:b w:val="0"/>
          <w:bCs w:val="0"/>
          <w:caps w:val="0"/>
          <w:sz w:val="23"/>
          <w:szCs w:val="23"/>
          <w:lang w:eastAsia="en-AU"/>
        </w:rPr>
        <w:t>and processes and directs the user to more detailed, specifically relevant</w:t>
      </w:r>
      <w:r w:rsidRPr="008E3A0E">
        <w:rPr>
          <w:rFonts w:ascii="Corbel" w:hAnsi="Corbel" w:cs="Corbel"/>
          <w:b w:val="0"/>
          <w:bCs w:val="0"/>
          <w:caps w:val="0"/>
          <w:sz w:val="23"/>
          <w:szCs w:val="23"/>
          <w:lang w:eastAsia="en-AU"/>
        </w:rPr>
        <w:t xml:space="preserve"> guidance</w:t>
      </w:r>
      <w:r w:rsidR="00E76BE2" w:rsidRPr="008E3A0E">
        <w:rPr>
          <w:rFonts w:ascii="Corbel" w:hAnsi="Corbel" w:cs="Corbel"/>
          <w:b w:val="0"/>
          <w:bCs w:val="0"/>
          <w:caps w:val="0"/>
          <w:sz w:val="23"/>
          <w:szCs w:val="23"/>
          <w:lang w:eastAsia="en-AU"/>
        </w:rPr>
        <w:t xml:space="preserve"> material</w:t>
      </w:r>
      <w:r w:rsidR="00132AD0">
        <w:rPr>
          <w:rFonts w:ascii="Corbel" w:hAnsi="Corbel" w:cs="Corbel"/>
          <w:b w:val="0"/>
          <w:bCs w:val="0"/>
          <w:caps w:val="0"/>
          <w:sz w:val="23"/>
          <w:szCs w:val="23"/>
          <w:lang w:eastAsia="en-AU"/>
        </w:rPr>
        <w:t>s</w:t>
      </w:r>
      <w:r w:rsidRPr="008E3A0E">
        <w:rPr>
          <w:rFonts w:ascii="Corbel" w:hAnsi="Corbel" w:cs="Corbel"/>
          <w:b w:val="0"/>
          <w:bCs w:val="0"/>
          <w:caps w:val="0"/>
          <w:sz w:val="23"/>
          <w:szCs w:val="23"/>
          <w:lang w:eastAsia="en-AU"/>
        </w:rPr>
        <w:t>.</w:t>
      </w:r>
      <w:r w:rsidR="00132AD0">
        <w:rPr>
          <w:rFonts w:ascii="Corbel" w:hAnsi="Corbel" w:cs="Corbel"/>
          <w:b w:val="0"/>
          <w:bCs w:val="0"/>
          <w:caps w:val="0"/>
          <w:sz w:val="23"/>
          <w:szCs w:val="23"/>
          <w:lang w:eastAsia="en-AU"/>
        </w:rPr>
        <w:t xml:space="preserve"> It aims</w:t>
      </w:r>
      <w:r w:rsidR="00E76BE2" w:rsidRPr="008E3A0E">
        <w:rPr>
          <w:rFonts w:ascii="Corbel" w:hAnsi="Corbel" w:cs="Corbel"/>
          <w:b w:val="0"/>
          <w:bCs w:val="0"/>
          <w:caps w:val="0"/>
          <w:sz w:val="23"/>
          <w:szCs w:val="23"/>
          <w:lang w:eastAsia="en-AU"/>
        </w:rPr>
        <w:t xml:space="preserve"> to assist government agencies to </w:t>
      </w:r>
      <w:r w:rsidR="00C05FE0">
        <w:rPr>
          <w:rFonts w:ascii="Corbel" w:hAnsi="Corbel" w:cs="Corbel"/>
          <w:b w:val="0"/>
          <w:bCs w:val="0"/>
          <w:caps w:val="0"/>
          <w:sz w:val="23"/>
          <w:szCs w:val="23"/>
          <w:lang w:eastAsia="en-AU"/>
        </w:rPr>
        <w:t xml:space="preserve">collaborate </w:t>
      </w:r>
      <w:r w:rsidR="00132AD0">
        <w:rPr>
          <w:rFonts w:ascii="Corbel" w:hAnsi="Corbel" w:cs="Corbel"/>
          <w:b w:val="0"/>
          <w:bCs w:val="0"/>
          <w:caps w:val="0"/>
          <w:sz w:val="23"/>
          <w:szCs w:val="23"/>
          <w:lang w:eastAsia="en-AU"/>
        </w:rPr>
        <w:t>more effectively,</w:t>
      </w:r>
      <w:r w:rsidR="001B30AC">
        <w:rPr>
          <w:rFonts w:ascii="Corbel" w:hAnsi="Corbel" w:cs="Corbel"/>
          <w:b w:val="0"/>
          <w:bCs w:val="0"/>
          <w:caps w:val="0"/>
          <w:sz w:val="23"/>
          <w:szCs w:val="23"/>
          <w:lang w:eastAsia="en-AU"/>
        </w:rPr>
        <w:t xml:space="preserve"> respond more consistently,</w:t>
      </w:r>
      <w:r w:rsidR="00132AD0">
        <w:rPr>
          <w:rFonts w:ascii="Corbel" w:hAnsi="Corbel" w:cs="Corbel"/>
          <w:b w:val="0"/>
          <w:bCs w:val="0"/>
          <w:caps w:val="0"/>
          <w:sz w:val="23"/>
          <w:szCs w:val="23"/>
          <w:lang w:eastAsia="en-AU"/>
        </w:rPr>
        <w:t xml:space="preserve"> and</w:t>
      </w:r>
      <w:r w:rsidR="006F2350">
        <w:rPr>
          <w:rFonts w:ascii="Corbel" w:hAnsi="Corbel" w:cs="Corbel"/>
          <w:b w:val="0"/>
          <w:bCs w:val="0"/>
          <w:caps w:val="0"/>
          <w:sz w:val="23"/>
          <w:szCs w:val="23"/>
          <w:lang w:eastAsia="en-AU"/>
        </w:rPr>
        <w:t xml:space="preserve"> provide clear information to communities and industry on what they can expect </w:t>
      </w:r>
      <w:r w:rsidR="00784F8B">
        <w:rPr>
          <w:rFonts w:ascii="Corbel" w:hAnsi="Corbel" w:cs="Corbel"/>
          <w:b w:val="0"/>
          <w:bCs w:val="0"/>
          <w:caps w:val="0"/>
          <w:sz w:val="23"/>
          <w:szCs w:val="23"/>
          <w:lang w:eastAsia="en-AU"/>
        </w:rPr>
        <w:t xml:space="preserve">from </w:t>
      </w:r>
      <w:r w:rsidR="006F2350">
        <w:rPr>
          <w:rFonts w:ascii="Corbel" w:hAnsi="Corbel" w:cs="Corbel"/>
          <w:b w:val="0"/>
          <w:bCs w:val="0"/>
          <w:caps w:val="0"/>
          <w:sz w:val="23"/>
          <w:szCs w:val="23"/>
          <w:lang w:eastAsia="en-AU"/>
        </w:rPr>
        <w:t xml:space="preserve">governments in Australia on PFAS contamination. </w:t>
      </w:r>
    </w:p>
    <w:p w14:paraId="6B605C4A" w14:textId="5133039A" w:rsidR="00E76BE2" w:rsidRDefault="00396855" w:rsidP="00132AD0">
      <w:pPr>
        <w:pStyle w:val="Heading1"/>
        <w:spacing w:after="240"/>
      </w:pPr>
      <w:r>
        <w:t>Scope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ope"/>
        <w:tblDescription w:val="Two sections: the protocol will and the protocol will not."/>
      </w:tblPr>
      <w:tblGrid>
        <w:gridCol w:w="4814"/>
        <w:gridCol w:w="4814"/>
      </w:tblGrid>
      <w:tr w:rsidR="00E76BE2" w14:paraId="704B7FC8" w14:textId="77777777" w:rsidTr="00E95C0C">
        <w:tc>
          <w:tcPr>
            <w:tcW w:w="4814" w:type="dxa"/>
            <w:tcBorders>
              <w:right w:val="single" w:sz="4" w:space="0" w:color="2E74B5" w:themeColor="accent1" w:themeShade="BF"/>
            </w:tcBorders>
          </w:tcPr>
          <w:p w14:paraId="11995B4B" w14:textId="07EF23A2" w:rsidR="00E76BE2" w:rsidRPr="00D12332" w:rsidRDefault="00E76BE2" w:rsidP="00E95C0C">
            <w:pPr>
              <w:pStyle w:val="ScheduleNumberedPara"/>
              <w:numPr>
                <w:ilvl w:val="0"/>
                <w:numId w:val="0"/>
              </w:numPr>
              <w:ind w:right="113"/>
              <w:jc w:val="left"/>
              <w:rPr>
                <w:rFonts w:ascii="Corbel" w:hAnsi="Corbel"/>
                <w:b/>
                <w:i/>
              </w:rPr>
            </w:pPr>
            <w:r w:rsidRPr="00D12332">
              <w:rPr>
                <w:rFonts w:ascii="Corbel" w:hAnsi="Corbel"/>
                <w:b/>
                <w:i/>
              </w:rPr>
              <w:t>The Protocol will</w:t>
            </w:r>
          </w:p>
        </w:tc>
        <w:tc>
          <w:tcPr>
            <w:tcW w:w="4814" w:type="dxa"/>
            <w:tcBorders>
              <w:left w:val="single" w:sz="4" w:space="0" w:color="2E74B5" w:themeColor="accent1" w:themeShade="BF"/>
            </w:tcBorders>
          </w:tcPr>
          <w:p w14:paraId="435007E4" w14:textId="452D5ABE" w:rsidR="00E76BE2" w:rsidRPr="00D12332" w:rsidRDefault="00E76BE2" w:rsidP="00E95C0C">
            <w:pPr>
              <w:pStyle w:val="ScheduleNumberedPara"/>
              <w:numPr>
                <w:ilvl w:val="0"/>
                <w:numId w:val="0"/>
              </w:numPr>
              <w:ind w:left="182"/>
              <w:jc w:val="left"/>
              <w:rPr>
                <w:rFonts w:ascii="Corbel" w:hAnsi="Corbel"/>
                <w:b/>
                <w:i/>
              </w:rPr>
            </w:pPr>
            <w:r w:rsidRPr="00D12332">
              <w:rPr>
                <w:rFonts w:ascii="Corbel" w:hAnsi="Corbel"/>
                <w:b/>
                <w:i/>
              </w:rPr>
              <w:t>The Protocol will not</w:t>
            </w:r>
          </w:p>
        </w:tc>
      </w:tr>
      <w:tr w:rsidR="00E76BE2" w14:paraId="42A8F6B2" w14:textId="77777777" w:rsidTr="00E95C0C">
        <w:tc>
          <w:tcPr>
            <w:tcW w:w="4814" w:type="dxa"/>
            <w:tcBorders>
              <w:right w:val="single" w:sz="4" w:space="0" w:color="2E74B5" w:themeColor="accent1" w:themeShade="BF"/>
            </w:tcBorders>
          </w:tcPr>
          <w:p w14:paraId="59E94A75" w14:textId="3689BE36" w:rsidR="00E76BE2" w:rsidRPr="008E3A0E" w:rsidRDefault="00E76BE2" w:rsidP="00E95C0C">
            <w:pPr>
              <w:pStyle w:val="ScheduleNumberedPara"/>
              <w:numPr>
                <w:ilvl w:val="0"/>
                <w:numId w:val="9"/>
              </w:numPr>
              <w:ind w:left="313" w:right="113" w:hanging="313"/>
              <w:jc w:val="left"/>
              <w:rPr>
                <w:rFonts w:ascii="Corbel" w:hAnsi="Corbel"/>
              </w:rPr>
            </w:pPr>
            <w:r w:rsidRPr="008E3A0E">
              <w:rPr>
                <w:rFonts w:ascii="Corbel" w:hAnsi="Corbel"/>
              </w:rPr>
              <w:t>Outline government</w:t>
            </w:r>
            <w:r w:rsidR="00350C36">
              <w:rPr>
                <w:rFonts w:ascii="Corbel" w:hAnsi="Corbel"/>
              </w:rPr>
              <w:t>s’</w:t>
            </w:r>
            <w:r w:rsidRPr="008E3A0E">
              <w:rPr>
                <w:rFonts w:ascii="Corbel" w:hAnsi="Corbel"/>
              </w:rPr>
              <w:t xml:space="preserve"> priorities for responding to PFAS contamination.</w:t>
            </w:r>
          </w:p>
          <w:p w14:paraId="0DAC6FC2" w14:textId="3AFE12C6" w:rsidR="00E76BE2" w:rsidRPr="008E3A0E" w:rsidRDefault="00E76BE2" w:rsidP="00E95C0C">
            <w:pPr>
              <w:pStyle w:val="ScheduleNumberedPara"/>
              <w:numPr>
                <w:ilvl w:val="0"/>
                <w:numId w:val="9"/>
              </w:numPr>
              <w:ind w:left="313" w:right="113" w:hanging="313"/>
              <w:jc w:val="left"/>
              <w:rPr>
                <w:rFonts w:ascii="Corbel" w:hAnsi="Corbel"/>
              </w:rPr>
            </w:pPr>
            <w:r w:rsidRPr="008E3A0E">
              <w:rPr>
                <w:rFonts w:ascii="Corbel" w:hAnsi="Corbel"/>
              </w:rPr>
              <w:t xml:space="preserve">Identify </w:t>
            </w:r>
            <w:r w:rsidR="00152D90">
              <w:rPr>
                <w:rFonts w:ascii="Corbel" w:hAnsi="Corbel"/>
              </w:rPr>
              <w:t xml:space="preserve">and build on </w:t>
            </w:r>
            <w:r w:rsidRPr="008E3A0E">
              <w:rPr>
                <w:rFonts w:ascii="Corbel" w:hAnsi="Corbel"/>
              </w:rPr>
              <w:t xml:space="preserve">existing guidance material </w:t>
            </w:r>
            <w:r w:rsidR="00E95C0C" w:rsidRPr="008E3A0E">
              <w:rPr>
                <w:rFonts w:ascii="Corbel" w:hAnsi="Corbel"/>
              </w:rPr>
              <w:t xml:space="preserve">that </w:t>
            </w:r>
            <w:r w:rsidRPr="008E3A0E">
              <w:rPr>
                <w:rFonts w:ascii="Corbel" w:hAnsi="Corbel"/>
              </w:rPr>
              <w:t>can assist when responding to PFAS contamination.</w:t>
            </w:r>
          </w:p>
          <w:p w14:paraId="14AC116E" w14:textId="31DAF7F3" w:rsidR="00E76BE2" w:rsidRDefault="00E76BE2" w:rsidP="00E52266">
            <w:pPr>
              <w:pStyle w:val="ScheduleNumberedPara"/>
              <w:numPr>
                <w:ilvl w:val="0"/>
                <w:numId w:val="9"/>
              </w:numPr>
              <w:ind w:left="313" w:right="113" w:hanging="313"/>
              <w:jc w:val="left"/>
              <w:rPr>
                <w:rFonts w:ascii="Corbel" w:hAnsi="Corbel"/>
              </w:rPr>
            </w:pPr>
            <w:r w:rsidRPr="008E3A0E">
              <w:rPr>
                <w:rFonts w:ascii="Corbel" w:hAnsi="Corbel"/>
              </w:rPr>
              <w:t xml:space="preserve">Provide guidance </w:t>
            </w:r>
            <w:r w:rsidR="00152D90">
              <w:rPr>
                <w:rFonts w:ascii="Corbel" w:hAnsi="Corbel"/>
              </w:rPr>
              <w:t xml:space="preserve">on how governments can </w:t>
            </w:r>
            <w:r w:rsidR="002369BA">
              <w:rPr>
                <w:rFonts w:ascii="Corbel" w:hAnsi="Corbel"/>
              </w:rPr>
              <w:t xml:space="preserve">work together to </w:t>
            </w:r>
            <w:r w:rsidR="00152D90">
              <w:rPr>
                <w:rFonts w:ascii="Corbel" w:hAnsi="Corbel"/>
              </w:rPr>
              <w:t xml:space="preserve">determine </w:t>
            </w:r>
            <w:r w:rsidR="007C6ABB">
              <w:rPr>
                <w:rFonts w:ascii="Corbel" w:hAnsi="Corbel"/>
              </w:rPr>
              <w:t>roles</w:t>
            </w:r>
            <w:r w:rsidR="00152D90">
              <w:rPr>
                <w:rFonts w:ascii="Corbel" w:hAnsi="Corbel"/>
              </w:rPr>
              <w:t xml:space="preserve"> and </w:t>
            </w:r>
            <w:r w:rsidR="002369BA">
              <w:rPr>
                <w:rFonts w:ascii="Corbel" w:hAnsi="Corbel"/>
              </w:rPr>
              <w:t xml:space="preserve">respond </w:t>
            </w:r>
            <w:r w:rsidR="00152D90">
              <w:rPr>
                <w:rFonts w:ascii="Corbel" w:hAnsi="Corbel"/>
              </w:rPr>
              <w:t xml:space="preserve">to contamination </w:t>
            </w:r>
            <w:r w:rsidR="002369BA">
              <w:rPr>
                <w:rFonts w:ascii="Corbel" w:hAnsi="Corbel"/>
              </w:rPr>
              <w:t>consistently</w:t>
            </w:r>
            <w:r w:rsidR="00152D90">
              <w:rPr>
                <w:rFonts w:ascii="Corbel" w:hAnsi="Corbel"/>
              </w:rPr>
              <w:t xml:space="preserve">, particularly where </w:t>
            </w:r>
            <w:r w:rsidRPr="008E3A0E">
              <w:rPr>
                <w:rFonts w:ascii="Corbel" w:hAnsi="Corbel"/>
              </w:rPr>
              <w:t xml:space="preserve">multiple entities </w:t>
            </w:r>
            <w:r w:rsidR="00152D90">
              <w:rPr>
                <w:rFonts w:ascii="Corbel" w:hAnsi="Corbel"/>
              </w:rPr>
              <w:t xml:space="preserve">and/or jurisdictions </w:t>
            </w:r>
            <w:r w:rsidRPr="008E3A0E">
              <w:rPr>
                <w:rFonts w:ascii="Corbel" w:hAnsi="Corbel"/>
              </w:rPr>
              <w:t>are involved.</w:t>
            </w:r>
          </w:p>
          <w:p w14:paraId="1B720036" w14:textId="39C05FFE" w:rsidR="0067117F" w:rsidRPr="00843D34" w:rsidRDefault="00B5525F" w:rsidP="00843D34">
            <w:pPr>
              <w:pStyle w:val="ScheduleNumberedPara"/>
              <w:numPr>
                <w:ilvl w:val="0"/>
                <w:numId w:val="9"/>
              </w:numPr>
              <w:ind w:left="313" w:right="113" w:hanging="313"/>
              <w:jc w:val="left"/>
              <w:rPr>
                <w:rFonts w:ascii="Corbel" w:hAnsi="Corbel"/>
              </w:rPr>
            </w:pPr>
            <w:r>
              <w:rPr>
                <w:rFonts w:ascii="Corbel" w:hAnsi="Corbel"/>
              </w:rPr>
              <w:t xml:space="preserve">Give examples of how governments in Australia may </w:t>
            </w:r>
            <w:r w:rsidR="00152D90">
              <w:rPr>
                <w:rFonts w:ascii="Corbel" w:hAnsi="Corbel"/>
              </w:rPr>
              <w:t xml:space="preserve">work together to </w:t>
            </w:r>
            <w:r>
              <w:rPr>
                <w:rFonts w:ascii="Corbel" w:hAnsi="Corbel"/>
              </w:rPr>
              <w:t xml:space="preserve">manage risks arising from PFAS contamination. </w:t>
            </w:r>
          </w:p>
        </w:tc>
        <w:tc>
          <w:tcPr>
            <w:tcW w:w="4814" w:type="dxa"/>
            <w:tcBorders>
              <w:left w:val="single" w:sz="4" w:space="0" w:color="2E74B5" w:themeColor="accent1" w:themeShade="BF"/>
            </w:tcBorders>
          </w:tcPr>
          <w:p w14:paraId="20F79285" w14:textId="53A07259" w:rsidR="00E76BE2" w:rsidRPr="008E3A0E" w:rsidRDefault="00E76BE2" w:rsidP="00E95C0C">
            <w:pPr>
              <w:pStyle w:val="ScheduleNumberedPara"/>
              <w:numPr>
                <w:ilvl w:val="0"/>
                <w:numId w:val="9"/>
              </w:numPr>
              <w:ind w:left="466" w:hanging="284"/>
              <w:jc w:val="left"/>
              <w:rPr>
                <w:rFonts w:ascii="Corbel" w:hAnsi="Corbel"/>
              </w:rPr>
            </w:pPr>
            <w:r w:rsidRPr="008E3A0E">
              <w:rPr>
                <w:rFonts w:ascii="Corbel" w:hAnsi="Corbel"/>
              </w:rPr>
              <w:t>Override</w:t>
            </w:r>
            <w:r w:rsidR="0028497D">
              <w:rPr>
                <w:rFonts w:ascii="Corbel" w:hAnsi="Corbel"/>
              </w:rPr>
              <w:t xml:space="preserve"> </w:t>
            </w:r>
            <w:r w:rsidRPr="008E3A0E">
              <w:rPr>
                <w:rFonts w:ascii="Corbel" w:hAnsi="Corbel"/>
              </w:rPr>
              <w:t>any existing legislation, agreements or other guidance</w:t>
            </w:r>
            <w:r w:rsidR="0028497D">
              <w:rPr>
                <w:rFonts w:ascii="Corbel" w:hAnsi="Corbel"/>
              </w:rPr>
              <w:t>, or exempt governments from any usual obligations</w:t>
            </w:r>
            <w:r w:rsidRPr="008E3A0E">
              <w:rPr>
                <w:rFonts w:ascii="Corbel" w:hAnsi="Corbel"/>
              </w:rPr>
              <w:t>.</w:t>
            </w:r>
          </w:p>
          <w:p w14:paraId="19BDAEA6" w14:textId="70392FED" w:rsidR="00E76BE2" w:rsidRPr="008E3A0E" w:rsidRDefault="006F2350" w:rsidP="00E95C0C">
            <w:pPr>
              <w:pStyle w:val="ScheduleNumberedPara"/>
              <w:numPr>
                <w:ilvl w:val="0"/>
                <w:numId w:val="9"/>
              </w:numPr>
              <w:ind w:left="466" w:hanging="284"/>
              <w:jc w:val="left"/>
              <w:rPr>
                <w:rFonts w:ascii="Corbel" w:hAnsi="Corbel"/>
              </w:rPr>
            </w:pPr>
            <w:r>
              <w:rPr>
                <w:rFonts w:ascii="Corbel" w:hAnsi="Corbel"/>
              </w:rPr>
              <w:t>Provide</w:t>
            </w:r>
            <w:r w:rsidR="00E76BE2" w:rsidRPr="008E3A0E">
              <w:rPr>
                <w:rFonts w:ascii="Corbel" w:hAnsi="Corbel"/>
              </w:rPr>
              <w:t xml:space="preserve"> </w:t>
            </w:r>
            <w:r>
              <w:rPr>
                <w:rFonts w:ascii="Corbel" w:hAnsi="Corbel"/>
              </w:rPr>
              <w:t xml:space="preserve">a set of </w:t>
            </w:r>
            <w:r w:rsidR="00E76BE2" w:rsidRPr="008E3A0E">
              <w:rPr>
                <w:rFonts w:ascii="Corbel" w:hAnsi="Corbel"/>
              </w:rPr>
              <w:t>sequential</w:t>
            </w:r>
            <w:r>
              <w:rPr>
                <w:rFonts w:ascii="Corbel" w:hAnsi="Corbel"/>
              </w:rPr>
              <w:t xml:space="preserve"> steps</w:t>
            </w:r>
            <w:r w:rsidR="00E76BE2" w:rsidRPr="008E3A0E">
              <w:rPr>
                <w:rFonts w:ascii="Corbel" w:hAnsi="Corbel"/>
              </w:rPr>
              <w:t xml:space="preserve"> </w:t>
            </w:r>
            <w:r>
              <w:rPr>
                <w:rFonts w:ascii="Corbel" w:hAnsi="Corbel"/>
              </w:rPr>
              <w:t>to</w:t>
            </w:r>
            <w:r w:rsidR="00E76BE2" w:rsidRPr="008E3A0E">
              <w:rPr>
                <w:rFonts w:ascii="Corbel" w:hAnsi="Corbel"/>
              </w:rPr>
              <w:t xml:space="preserve"> respond to </w:t>
            </w:r>
            <w:r w:rsidR="00380C46">
              <w:rPr>
                <w:rFonts w:ascii="Corbel" w:hAnsi="Corbel"/>
              </w:rPr>
              <w:t xml:space="preserve">specific instances of </w:t>
            </w:r>
            <w:r w:rsidR="00E76BE2" w:rsidRPr="008E3A0E">
              <w:rPr>
                <w:rFonts w:ascii="Corbel" w:hAnsi="Corbel"/>
              </w:rPr>
              <w:t>PFAS contamination.</w:t>
            </w:r>
          </w:p>
          <w:p w14:paraId="65ABD4D1" w14:textId="0544408A" w:rsidR="00E76BE2" w:rsidRDefault="00B94D80" w:rsidP="00F40EBB">
            <w:pPr>
              <w:pStyle w:val="ScheduleNumberedPara"/>
              <w:numPr>
                <w:ilvl w:val="0"/>
                <w:numId w:val="9"/>
              </w:numPr>
              <w:ind w:left="466" w:hanging="284"/>
              <w:jc w:val="left"/>
              <w:rPr>
                <w:rFonts w:ascii="Corbel" w:hAnsi="Corbel"/>
              </w:rPr>
            </w:pPr>
            <w:r w:rsidRPr="008E3A0E">
              <w:rPr>
                <w:rFonts w:ascii="Corbel" w:hAnsi="Corbel"/>
              </w:rPr>
              <w:t>Extensively c</w:t>
            </w:r>
            <w:r w:rsidR="00E76BE2" w:rsidRPr="008E3A0E">
              <w:rPr>
                <w:rFonts w:ascii="Corbel" w:hAnsi="Corbel"/>
              </w:rPr>
              <w:t xml:space="preserve">over </w:t>
            </w:r>
            <w:r w:rsidR="004A1C61">
              <w:rPr>
                <w:rFonts w:ascii="Corbel" w:hAnsi="Corbel"/>
              </w:rPr>
              <w:t xml:space="preserve">guidance for </w:t>
            </w:r>
            <w:r w:rsidR="00E76BE2" w:rsidRPr="008E3A0E">
              <w:rPr>
                <w:rFonts w:ascii="Corbel" w:hAnsi="Corbel"/>
              </w:rPr>
              <w:t xml:space="preserve">environmental </w:t>
            </w:r>
            <w:r w:rsidR="004A1C61">
              <w:rPr>
                <w:rFonts w:ascii="Corbel" w:hAnsi="Corbel"/>
              </w:rPr>
              <w:t>regulators</w:t>
            </w:r>
            <w:r w:rsidR="00E76BE2" w:rsidRPr="008E3A0E">
              <w:rPr>
                <w:rFonts w:ascii="Corbel" w:hAnsi="Corbel"/>
              </w:rPr>
              <w:t xml:space="preserve">. </w:t>
            </w:r>
            <w:r w:rsidR="00636BA2">
              <w:rPr>
                <w:rFonts w:ascii="Corbel" w:hAnsi="Corbel"/>
              </w:rPr>
              <w:t xml:space="preserve">More detail </w:t>
            </w:r>
            <w:proofErr w:type="gramStart"/>
            <w:r w:rsidR="00636BA2">
              <w:rPr>
                <w:rFonts w:ascii="Corbel" w:hAnsi="Corbel"/>
              </w:rPr>
              <w:t>can be found</w:t>
            </w:r>
            <w:proofErr w:type="gramEnd"/>
            <w:r w:rsidR="00636BA2">
              <w:rPr>
                <w:rFonts w:ascii="Corbel" w:hAnsi="Corbel"/>
              </w:rPr>
              <w:t xml:space="preserve"> in t</w:t>
            </w:r>
            <w:r w:rsidR="00E76BE2" w:rsidRPr="008E3A0E">
              <w:rPr>
                <w:rFonts w:ascii="Corbel" w:hAnsi="Corbel"/>
              </w:rPr>
              <w:t xml:space="preserve">he PFAS National Environmental Management Plan (Appendix </w:t>
            </w:r>
            <w:r w:rsidR="000C532E">
              <w:rPr>
                <w:rFonts w:ascii="Corbel" w:hAnsi="Corbel"/>
              </w:rPr>
              <w:t>B</w:t>
            </w:r>
            <w:r w:rsidR="00E76BE2" w:rsidRPr="008E3A0E">
              <w:rPr>
                <w:rFonts w:ascii="Corbel" w:hAnsi="Corbel"/>
              </w:rPr>
              <w:t xml:space="preserve"> to the </w:t>
            </w:r>
            <w:r w:rsidR="00B00AD7">
              <w:rPr>
                <w:rFonts w:ascii="Corbel" w:hAnsi="Corbel"/>
              </w:rPr>
              <w:t>National Framework for Responding to PFAS Contamination</w:t>
            </w:r>
            <w:r w:rsidR="00E76BE2" w:rsidRPr="008E3A0E">
              <w:rPr>
                <w:rFonts w:ascii="Corbel" w:hAnsi="Corbel"/>
              </w:rPr>
              <w:t>).</w:t>
            </w:r>
          </w:p>
          <w:p w14:paraId="7F7EE876" w14:textId="74F6ED94" w:rsidR="00843D34" w:rsidRPr="00304BF7" w:rsidRDefault="00B5525F" w:rsidP="00304BF7">
            <w:pPr>
              <w:pStyle w:val="ScheduleNumberedPara"/>
              <w:numPr>
                <w:ilvl w:val="0"/>
                <w:numId w:val="9"/>
              </w:numPr>
              <w:ind w:left="466" w:hanging="284"/>
              <w:jc w:val="left"/>
              <w:rPr>
                <w:rFonts w:ascii="Corbel" w:hAnsi="Corbel"/>
              </w:rPr>
            </w:pPr>
            <w:r>
              <w:rPr>
                <w:rFonts w:ascii="Corbel" w:hAnsi="Corbel"/>
              </w:rPr>
              <w:t>Create new obligations for non-government entities.</w:t>
            </w:r>
          </w:p>
        </w:tc>
      </w:tr>
    </w:tbl>
    <w:p w14:paraId="3A4D562E" w14:textId="3A58BB27" w:rsidR="00964385" w:rsidRDefault="00964385" w:rsidP="00964385">
      <w:pPr>
        <w:pStyle w:val="Heading1"/>
        <w:spacing w:after="240"/>
      </w:pPr>
      <w:r>
        <w:br w:type="page"/>
      </w:r>
    </w:p>
    <w:p w14:paraId="64FD258A" w14:textId="19D5CE05" w:rsidR="00236DAD" w:rsidRDefault="00236DAD" w:rsidP="00132AD0">
      <w:pPr>
        <w:pStyle w:val="Heading1"/>
        <w:spacing w:after="240"/>
      </w:pPr>
      <w:r>
        <w:lastRenderedPageBreak/>
        <w:t>The Protocol</w:t>
      </w:r>
    </w:p>
    <w:p w14:paraId="1C3F13B7" w14:textId="5899D87C" w:rsidR="00A02EEE" w:rsidRDefault="00236DAD" w:rsidP="00236DAD">
      <w:pPr>
        <w:pStyle w:val="ScheduleNumberedPara"/>
        <w:numPr>
          <w:ilvl w:val="0"/>
          <w:numId w:val="0"/>
        </w:numPr>
        <w:jc w:val="left"/>
        <w:rPr>
          <w:rFonts w:ascii="Corbel" w:hAnsi="Corbel"/>
        </w:rPr>
      </w:pPr>
      <w:r w:rsidRPr="008E3A0E">
        <w:rPr>
          <w:rFonts w:ascii="Corbel" w:hAnsi="Corbel"/>
        </w:rPr>
        <w:t xml:space="preserve">The Protocol </w:t>
      </w:r>
      <w:r w:rsidR="00EC2417">
        <w:rPr>
          <w:rFonts w:ascii="Corbel" w:hAnsi="Corbel"/>
        </w:rPr>
        <w:t>outlines</w:t>
      </w:r>
      <w:r w:rsidRPr="008E3A0E">
        <w:rPr>
          <w:rFonts w:ascii="Corbel" w:hAnsi="Corbel"/>
        </w:rPr>
        <w:t xml:space="preserve"> general guidance relating to three priorities for responding to PFAS contamination.</w:t>
      </w:r>
      <w:r w:rsidR="008E3A0E" w:rsidRPr="008E3A0E">
        <w:rPr>
          <w:rFonts w:ascii="Corbel" w:hAnsi="Corbel"/>
        </w:rPr>
        <w:t xml:space="preserve"> </w:t>
      </w:r>
      <w:r w:rsidR="00567B9F">
        <w:rPr>
          <w:rFonts w:ascii="Corbel" w:hAnsi="Corbel"/>
        </w:rPr>
        <w:t xml:space="preserve">These priorities are of equal importance and may occur simultaneously. </w:t>
      </w:r>
      <w:r w:rsidR="00A02EEE">
        <w:rPr>
          <w:rFonts w:ascii="Corbel" w:hAnsi="Corbel"/>
        </w:rPr>
        <w:t xml:space="preserve">For each priority, the protocol provides information on the steps that should be undertaken, gives guidance on determining </w:t>
      </w:r>
      <w:r w:rsidR="007C6ABB">
        <w:rPr>
          <w:rFonts w:ascii="Corbel" w:hAnsi="Corbel"/>
        </w:rPr>
        <w:t>roles</w:t>
      </w:r>
      <w:r w:rsidR="00A02EEE">
        <w:rPr>
          <w:rFonts w:ascii="Corbel" w:hAnsi="Corbel"/>
        </w:rPr>
        <w:t>, and describes how governments can work together.</w:t>
      </w:r>
    </w:p>
    <w:p w14:paraId="0C0E2270" w14:textId="034E9E37" w:rsidR="00A02EEE" w:rsidRPr="00C52D1F" w:rsidRDefault="00A02EEE" w:rsidP="00A02EEE">
      <w:pPr>
        <w:pStyle w:val="Heading2"/>
        <w:spacing w:before="240" w:after="240"/>
        <w:jc w:val="left"/>
        <w:rPr>
          <w:rStyle w:val="SubtleEmphasis"/>
        </w:rPr>
      </w:pPr>
      <w:r w:rsidRPr="00C52D1F">
        <w:rPr>
          <w:rStyle w:val="SubtleEmphasis"/>
          <w:noProof/>
        </w:rPr>
        <w:drawing>
          <wp:anchor distT="0" distB="0" distL="114300" distR="114300" simplePos="0" relativeHeight="251658240" behindDoc="0" locked="0" layoutInCell="1" allowOverlap="1" wp14:anchorId="5DEE3902" wp14:editId="16B22069">
            <wp:simplePos x="0" y="0"/>
            <wp:positionH relativeFrom="margin">
              <wp:posOffset>1479043</wp:posOffset>
            </wp:positionH>
            <wp:positionV relativeFrom="margin">
              <wp:posOffset>1492471</wp:posOffset>
            </wp:positionV>
            <wp:extent cx="3153600" cy="2923200"/>
            <wp:effectExtent l="0" t="0" r="8890" b="0"/>
            <wp:wrapTopAndBottom/>
            <wp:docPr id="7" name="Picture 7" descr="This figure shows the three priorities for responding to PFAS contamination. No single priority is more important than the others. The priorities are: 1. identify sites, investigate and assess risks; 2. engage with stakeholders; and 3. manage risks." title="Priorities for responding to PFAS cont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onents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3600" cy="2923200"/>
                    </a:xfrm>
                    <a:prstGeom prst="rect">
                      <a:avLst/>
                    </a:prstGeom>
                  </pic:spPr>
                </pic:pic>
              </a:graphicData>
            </a:graphic>
            <wp14:sizeRelH relativeFrom="margin">
              <wp14:pctWidth>0</wp14:pctWidth>
            </wp14:sizeRelH>
            <wp14:sizeRelV relativeFrom="margin">
              <wp14:pctHeight>0</wp14:pctHeight>
            </wp14:sizeRelV>
          </wp:anchor>
        </w:drawing>
      </w:r>
      <w:r w:rsidRPr="00C52D1F">
        <w:rPr>
          <w:rStyle w:val="SubtleEmphasis"/>
        </w:rPr>
        <w:t>Figure A: Priorities for responding to PFAS contamination</w:t>
      </w:r>
    </w:p>
    <w:p w14:paraId="392ADE57" w14:textId="2A8D96A4" w:rsidR="00A02EEE" w:rsidRDefault="00A02EEE" w:rsidP="00236DAD">
      <w:pPr>
        <w:pStyle w:val="ScheduleNumberedPara"/>
        <w:numPr>
          <w:ilvl w:val="0"/>
          <w:numId w:val="0"/>
        </w:numPr>
        <w:jc w:val="left"/>
        <w:rPr>
          <w:rFonts w:ascii="Corbel" w:hAnsi="Corbel"/>
        </w:rPr>
      </w:pPr>
    </w:p>
    <w:p w14:paraId="41075DA8" w14:textId="15336142" w:rsidR="00152D90" w:rsidRDefault="00A02EEE" w:rsidP="00236DAD">
      <w:pPr>
        <w:pStyle w:val="ScheduleNumberedPara"/>
        <w:numPr>
          <w:ilvl w:val="0"/>
          <w:numId w:val="0"/>
        </w:numPr>
        <w:jc w:val="left"/>
        <w:rPr>
          <w:rFonts w:ascii="Corbel" w:hAnsi="Corbel"/>
        </w:rPr>
      </w:pPr>
      <w:r>
        <w:rPr>
          <w:rFonts w:ascii="Corbel" w:hAnsi="Corbel"/>
        </w:rPr>
        <w:t xml:space="preserve">The protocol also identifies other documents that governments </w:t>
      </w:r>
      <w:r w:rsidR="007C6ABB">
        <w:rPr>
          <w:rFonts w:ascii="Corbel" w:hAnsi="Corbel"/>
        </w:rPr>
        <w:t>may</w:t>
      </w:r>
      <w:r>
        <w:rPr>
          <w:rFonts w:ascii="Corbel" w:hAnsi="Corbel"/>
        </w:rPr>
        <w:t xml:space="preserve"> refer to when acting on these priorities. The documents </w:t>
      </w:r>
      <w:proofErr w:type="gramStart"/>
      <w:r>
        <w:rPr>
          <w:rFonts w:ascii="Corbel" w:hAnsi="Corbel"/>
        </w:rPr>
        <w:t>are listed</w:t>
      </w:r>
      <w:proofErr w:type="gramEnd"/>
      <w:r>
        <w:rPr>
          <w:rFonts w:ascii="Corbel" w:hAnsi="Corbel"/>
        </w:rPr>
        <w:t xml:space="preserve"> at </w:t>
      </w:r>
      <w:r w:rsidRPr="00C52D1F">
        <w:rPr>
          <w:rFonts w:ascii="Corbel" w:hAnsi="Corbel"/>
          <w:b/>
        </w:rPr>
        <w:t>Attachment A</w:t>
      </w:r>
      <w:r>
        <w:rPr>
          <w:rFonts w:ascii="Corbel" w:hAnsi="Corbel"/>
        </w:rPr>
        <w:t>.</w:t>
      </w:r>
    </w:p>
    <w:p w14:paraId="04373880" w14:textId="06739603" w:rsidR="00B21646" w:rsidRDefault="0056204E" w:rsidP="00C52D1F">
      <w:pPr>
        <w:pStyle w:val="Heading1"/>
        <w:spacing w:after="240"/>
      </w:pPr>
      <w:r>
        <w:t xml:space="preserve">Key </w:t>
      </w:r>
      <w:r w:rsidR="00B21646">
        <w:t>terms</w:t>
      </w:r>
    </w:p>
    <w:p w14:paraId="5FD706DB" w14:textId="23CFB42C" w:rsidR="00B21646" w:rsidRPr="008E3A0E" w:rsidRDefault="00B21646" w:rsidP="00B21646">
      <w:pPr>
        <w:pStyle w:val="ScheduleNumberedPara"/>
        <w:numPr>
          <w:ilvl w:val="0"/>
          <w:numId w:val="0"/>
        </w:numPr>
        <w:jc w:val="left"/>
        <w:rPr>
          <w:rFonts w:ascii="Corbel" w:hAnsi="Corbel"/>
        </w:rPr>
      </w:pPr>
      <w:r>
        <w:rPr>
          <w:rFonts w:ascii="Corbel" w:hAnsi="Corbel"/>
        </w:rPr>
        <w:t>There are some key terms</w:t>
      </w:r>
      <w:r w:rsidR="00A12359">
        <w:rPr>
          <w:rFonts w:ascii="Corbel" w:hAnsi="Corbel"/>
        </w:rPr>
        <w:t xml:space="preserve"> used</w:t>
      </w:r>
      <w:r>
        <w:rPr>
          <w:rFonts w:ascii="Corbel" w:hAnsi="Corbel"/>
        </w:rPr>
        <w:t xml:space="preserve"> in this document.</w:t>
      </w:r>
      <w:r w:rsidRPr="008E3A0E">
        <w:rPr>
          <w:rFonts w:ascii="Corbel" w:hAnsi="Corbel"/>
        </w:rPr>
        <w:t xml:space="preserve"> </w:t>
      </w:r>
    </w:p>
    <w:p w14:paraId="572EE0D0" w14:textId="2D860419" w:rsidR="00B21646" w:rsidRDefault="00B21646" w:rsidP="00B21646">
      <w:pPr>
        <w:spacing w:after="160" w:line="259" w:lineRule="auto"/>
        <w:jc w:val="left"/>
      </w:pPr>
      <w:r w:rsidRPr="00C63507">
        <w:rPr>
          <w:b/>
        </w:rPr>
        <w:t>Entities</w:t>
      </w:r>
      <w:r>
        <w:t xml:space="preserve"> are agencies, organisations, businesses and similar bodies, and can be government or non</w:t>
      </w:r>
      <w:r w:rsidR="00AA77D6">
        <w:noBreakHyphen/>
      </w:r>
      <w:r>
        <w:t>government.</w:t>
      </w:r>
    </w:p>
    <w:p w14:paraId="4E6ABB7F" w14:textId="6F927059" w:rsidR="007566D4" w:rsidRPr="00C52D1F" w:rsidRDefault="007566D4" w:rsidP="00B21646">
      <w:pPr>
        <w:spacing w:after="160" w:line="259" w:lineRule="auto"/>
        <w:jc w:val="left"/>
      </w:pPr>
      <w:r>
        <w:rPr>
          <w:b/>
        </w:rPr>
        <w:t xml:space="preserve">Government agencies </w:t>
      </w:r>
      <w:r>
        <w:t>are offices of the Australian Government, state and territory governments, and local governments, including statutory authorities and other bodies created by legislation.</w:t>
      </w:r>
    </w:p>
    <w:p w14:paraId="3C7382EC" w14:textId="06A3A12C" w:rsidR="00B21646" w:rsidRDefault="00B21646" w:rsidP="00B21646">
      <w:pPr>
        <w:spacing w:after="160" w:line="259" w:lineRule="auto"/>
        <w:jc w:val="left"/>
      </w:pPr>
      <w:r w:rsidRPr="00C63507">
        <w:rPr>
          <w:b/>
        </w:rPr>
        <w:t>Government-owned sites</w:t>
      </w:r>
      <w:r>
        <w:t xml:space="preserve"> are parcels of land owned by either the Australian Government, a state or territory government, or a local government. </w:t>
      </w:r>
    </w:p>
    <w:p w14:paraId="692AA43C" w14:textId="15E02D51" w:rsidR="00B21646" w:rsidRPr="00380C46" w:rsidRDefault="00B21646" w:rsidP="00C52D1F">
      <w:pPr>
        <w:spacing w:after="160" w:line="259" w:lineRule="auto"/>
        <w:jc w:val="left"/>
      </w:pPr>
      <w:r w:rsidRPr="000D683B">
        <w:rPr>
          <w:b/>
        </w:rPr>
        <w:t>PFAS-related activities</w:t>
      </w:r>
      <w:r>
        <w:t xml:space="preserve"> are the </w:t>
      </w:r>
      <w:r w:rsidR="004A554C">
        <w:t xml:space="preserve">current or historic </w:t>
      </w:r>
      <w:r>
        <w:t>use and disposal of consumer and industrial products or the application of industrial processes that involve products containing PFAS.</w:t>
      </w:r>
      <w:r w:rsidRPr="008846B7">
        <w:t xml:space="preserve"> </w:t>
      </w:r>
      <w:r w:rsidR="009229FC">
        <w:t xml:space="preserve">It is important to note that, while public awareness is mostly about </w:t>
      </w:r>
      <w:r w:rsidR="008D1CB1">
        <w:t>PFAS</w:t>
      </w:r>
      <w:r w:rsidR="00636BA2">
        <w:t xml:space="preserve"> use in </w:t>
      </w:r>
      <w:r w:rsidR="00636BA2" w:rsidRPr="008846B7">
        <w:t>aqueous film</w:t>
      </w:r>
      <w:r w:rsidR="00636BA2">
        <w:t>-forming foams for firefighting</w:t>
      </w:r>
      <w:r w:rsidR="009229FC">
        <w:t>,</w:t>
      </w:r>
      <w:r w:rsidR="00636BA2">
        <w:t xml:space="preserve"> </w:t>
      </w:r>
      <w:r w:rsidRPr="008846B7">
        <w:t xml:space="preserve">PFAS </w:t>
      </w:r>
      <w:proofErr w:type="gramStart"/>
      <w:r>
        <w:t>are</w:t>
      </w:r>
      <w:r w:rsidR="008D1CB1">
        <w:t xml:space="preserve"> also</w:t>
      </w:r>
      <w:r w:rsidRPr="008846B7">
        <w:t xml:space="preserve"> used</w:t>
      </w:r>
      <w:proofErr w:type="gramEnd"/>
      <w:r w:rsidRPr="008846B7">
        <w:t xml:space="preserve"> </w:t>
      </w:r>
      <w:r w:rsidR="008D1CB1">
        <w:t xml:space="preserve">extensively </w:t>
      </w:r>
      <w:r w:rsidRPr="008846B7">
        <w:t xml:space="preserve">in </w:t>
      </w:r>
      <w:r w:rsidR="008D1CB1">
        <w:t xml:space="preserve">a wide range of </w:t>
      </w:r>
      <w:r w:rsidRPr="008846B7">
        <w:t xml:space="preserve">industrial processes and consumer </w:t>
      </w:r>
      <w:r>
        <w:t xml:space="preserve">and industrial </w:t>
      </w:r>
      <w:r w:rsidRPr="008846B7">
        <w:t>products, including but not limited to</w:t>
      </w:r>
      <w:r w:rsidR="004A1C61">
        <w:t>,</w:t>
      </w:r>
      <w:r w:rsidR="004A1C61" w:rsidRPr="008846B7">
        <w:t xml:space="preserve"> </w:t>
      </w:r>
      <w:r w:rsidRPr="008846B7">
        <w:t xml:space="preserve">chromium plating, medical imaging, various fabric </w:t>
      </w:r>
      <w:r w:rsidR="00204305">
        <w:t xml:space="preserve">treatments, </w:t>
      </w:r>
      <w:r w:rsidRPr="008846B7">
        <w:t xml:space="preserve">cooking appliances, paper treatments, </w:t>
      </w:r>
      <w:r w:rsidR="00537AF9">
        <w:t xml:space="preserve">and </w:t>
      </w:r>
      <w:r w:rsidRPr="008846B7">
        <w:t>in aviation hydraulic fluid</w:t>
      </w:r>
      <w:r w:rsidR="002657AF">
        <w:t>.</w:t>
      </w:r>
    </w:p>
    <w:p w14:paraId="26BDC45D" w14:textId="77777777" w:rsidR="00186649" w:rsidRDefault="00186649">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41E97014" w14:textId="3BD2F2EA" w:rsidR="00152D90" w:rsidRPr="00C52D1F" w:rsidRDefault="002D64D4" w:rsidP="00C52D1F">
      <w:pPr>
        <w:pStyle w:val="Heading1"/>
        <w:spacing w:after="240"/>
      </w:pPr>
      <w:r>
        <w:lastRenderedPageBreak/>
        <w:t>Key</w:t>
      </w:r>
      <w:r w:rsidR="0056204E">
        <w:t xml:space="preserve"> entities</w:t>
      </w:r>
    </w:p>
    <w:p w14:paraId="6714F901" w14:textId="534142C6" w:rsidR="00383574" w:rsidRDefault="00383574">
      <w:pPr>
        <w:spacing w:after="160" w:line="259" w:lineRule="auto"/>
        <w:jc w:val="left"/>
      </w:pPr>
      <w:r>
        <w:t>Th</w:t>
      </w:r>
      <w:r w:rsidR="00CF6405">
        <w:t xml:space="preserve">e key </w:t>
      </w:r>
      <w:r>
        <w:t>entities</w:t>
      </w:r>
      <w:r w:rsidR="00CF6405">
        <w:t xml:space="preserve"> discussed in this document are:</w:t>
      </w:r>
      <w:r w:rsidRPr="00581C2F">
        <w:t xml:space="preserve"> </w:t>
      </w:r>
    </w:p>
    <w:tbl>
      <w:tblPr>
        <w:tblStyle w:val="ListTable2-Accent5"/>
        <w:tblW w:w="0" w:type="auto"/>
        <w:tblLook w:val="0480" w:firstRow="0" w:lastRow="0" w:firstColumn="1" w:lastColumn="0" w:noHBand="0" w:noVBand="1"/>
        <w:tblCaption w:val="Key entities"/>
        <w:tblDescription w:val="Entity and description."/>
      </w:tblPr>
      <w:tblGrid>
        <w:gridCol w:w="2127"/>
        <w:gridCol w:w="7501"/>
      </w:tblGrid>
      <w:tr w:rsidR="0056204E" w:rsidRPr="00383574" w14:paraId="17B859EE"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C3D23F1" w14:textId="792A8281" w:rsidR="0056204E" w:rsidRPr="00383574" w:rsidRDefault="0056204E" w:rsidP="00AE70B4">
            <w:pPr>
              <w:spacing w:before="60" w:after="60" w:line="240" w:lineRule="auto"/>
              <w:jc w:val="left"/>
            </w:pPr>
            <w:r>
              <w:t xml:space="preserve">Known or </w:t>
            </w:r>
            <w:r w:rsidR="007C6ABB">
              <w:t>potential</w:t>
            </w:r>
            <w:r>
              <w:t xml:space="preserve"> polluters</w:t>
            </w:r>
          </w:p>
        </w:tc>
        <w:tc>
          <w:tcPr>
            <w:tcW w:w="7501" w:type="dxa"/>
          </w:tcPr>
          <w:p w14:paraId="20988F26" w14:textId="715883DF" w:rsidR="0056204E" w:rsidRPr="00C52D1F" w:rsidRDefault="0056204E" w:rsidP="00AE70B4">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rsidRPr="00C52D1F">
              <w:t xml:space="preserve">Entities that have </w:t>
            </w:r>
            <w:r w:rsidR="004A554C" w:rsidRPr="00C52D1F">
              <w:t xml:space="preserve">or </w:t>
            </w:r>
            <w:r w:rsidR="00F50A14" w:rsidRPr="008849E8">
              <w:t>may</w:t>
            </w:r>
            <w:r w:rsidR="004A554C" w:rsidRPr="00C52D1F">
              <w:t xml:space="preserve"> have </w:t>
            </w:r>
            <w:r w:rsidRPr="00C52D1F">
              <w:t>contributed to PFAS contamination at a given site</w:t>
            </w:r>
            <w:r w:rsidR="00C96A95" w:rsidRPr="00C52D1F">
              <w:t xml:space="preserve"> through PFAS-related activities</w:t>
            </w:r>
            <w:r w:rsidRPr="00C52D1F">
              <w:t xml:space="preserve">. </w:t>
            </w:r>
          </w:p>
        </w:tc>
      </w:tr>
      <w:tr w:rsidR="007566D4" w:rsidRPr="00383574" w14:paraId="2028CAD8" w14:textId="77777777" w:rsidTr="00C52D1F">
        <w:tc>
          <w:tcPr>
            <w:cnfStyle w:val="001000000000" w:firstRow="0" w:lastRow="0" w:firstColumn="1" w:lastColumn="0" w:oddVBand="0" w:evenVBand="0" w:oddHBand="0" w:evenHBand="0" w:firstRowFirstColumn="0" w:firstRowLastColumn="0" w:lastRowFirstColumn="0" w:lastRowLastColumn="0"/>
            <w:tcW w:w="2127" w:type="dxa"/>
          </w:tcPr>
          <w:p w14:paraId="092FFDDA" w14:textId="506C7DF1" w:rsidR="007566D4" w:rsidRDefault="007566D4" w:rsidP="00AE70B4">
            <w:pPr>
              <w:spacing w:before="60" w:after="60" w:line="240" w:lineRule="auto"/>
              <w:jc w:val="left"/>
            </w:pPr>
            <w:r>
              <w:t>Government land lessee</w:t>
            </w:r>
            <w:r w:rsidR="00C96A95">
              <w:t>s</w:t>
            </w:r>
          </w:p>
        </w:tc>
        <w:tc>
          <w:tcPr>
            <w:tcW w:w="7501" w:type="dxa"/>
          </w:tcPr>
          <w:p w14:paraId="112A55C3" w14:textId="09AB82B2" w:rsidR="007566D4" w:rsidRPr="00C52D1F" w:rsidRDefault="007566D4" w:rsidP="00AE70B4">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rsidRPr="00C52D1F">
              <w:t xml:space="preserve">Entities that lease government land and have obligations under </w:t>
            </w:r>
            <w:r w:rsidR="00C96A95">
              <w:t>a</w:t>
            </w:r>
            <w:r w:rsidRPr="00C52D1F">
              <w:t xml:space="preserve"> lease agreement. They may or may not be a known or </w:t>
            </w:r>
            <w:r w:rsidR="00F50A14">
              <w:t>potential</w:t>
            </w:r>
            <w:r w:rsidRPr="00C52D1F">
              <w:t xml:space="preserve"> polluter. </w:t>
            </w:r>
          </w:p>
        </w:tc>
      </w:tr>
      <w:tr w:rsidR="00383574" w:rsidRPr="00383574" w14:paraId="16DFEE6A"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A18A7F1" w14:textId="6BBBB09C" w:rsidR="00383574" w:rsidRPr="00383574" w:rsidRDefault="00383574" w:rsidP="00AE70B4">
            <w:pPr>
              <w:spacing w:before="60" w:after="60" w:line="240" w:lineRule="auto"/>
              <w:jc w:val="left"/>
            </w:pPr>
            <w:r w:rsidRPr="00383574">
              <w:t>Governments</w:t>
            </w:r>
          </w:p>
        </w:tc>
        <w:tc>
          <w:tcPr>
            <w:tcW w:w="7501" w:type="dxa"/>
          </w:tcPr>
          <w:p w14:paraId="0EEF8C24" w14:textId="532D31E3" w:rsidR="00383574" w:rsidRPr="0056204E" w:rsidRDefault="00383574" w:rsidP="00AE70B4">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rsidRPr="0056204E">
              <w:t>The Australian Government, state and territory governments, and local governments.</w:t>
            </w:r>
          </w:p>
        </w:tc>
      </w:tr>
      <w:tr w:rsidR="00383574" w:rsidRPr="00383574" w14:paraId="6A3441BF" w14:textId="77777777" w:rsidTr="00C52D1F">
        <w:tc>
          <w:tcPr>
            <w:cnfStyle w:val="001000000000" w:firstRow="0" w:lastRow="0" w:firstColumn="1" w:lastColumn="0" w:oddVBand="0" w:evenVBand="0" w:oddHBand="0" w:evenHBand="0" w:firstRowFirstColumn="0" w:firstRowLastColumn="0" w:lastRowFirstColumn="0" w:lastRowLastColumn="0"/>
            <w:tcW w:w="2127" w:type="dxa"/>
          </w:tcPr>
          <w:p w14:paraId="27CA07DD" w14:textId="56C28275" w:rsidR="00383574" w:rsidRPr="00383574" w:rsidRDefault="00B21646" w:rsidP="00AE70B4">
            <w:pPr>
              <w:spacing w:before="60" w:after="60" w:line="240" w:lineRule="auto"/>
              <w:jc w:val="left"/>
            </w:pPr>
            <w:r>
              <w:t>Environmental regulators</w:t>
            </w:r>
          </w:p>
        </w:tc>
        <w:tc>
          <w:tcPr>
            <w:tcW w:w="7501" w:type="dxa"/>
          </w:tcPr>
          <w:p w14:paraId="6EB111B0" w14:textId="13C19533" w:rsidR="00B21646" w:rsidRDefault="00B21646" w:rsidP="00AE70B4">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t xml:space="preserve">Government agencies </w:t>
            </w:r>
            <w:r w:rsidR="0056204E">
              <w:t xml:space="preserve">that have regulatory functions </w:t>
            </w:r>
            <w:r w:rsidR="00C52D1F">
              <w:t>in relation to</w:t>
            </w:r>
            <w:r w:rsidR="0056204E">
              <w:t xml:space="preserve"> environmental contamination.</w:t>
            </w:r>
          </w:p>
          <w:p w14:paraId="6E36ABC1" w14:textId="0ADA6709" w:rsidR="00B21646" w:rsidRDefault="00B21646" w:rsidP="00AE70B4">
            <w:pPr>
              <w:pStyle w:val="ListParagraph"/>
              <w:numPr>
                <w:ilvl w:val="0"/>
                <w:numId w:val="44"/>
              </w:numPr>
              <w:spacing w:before="60" w:after="60" w:line="240" w:lineRule="auto"/>
              <w:contextualSpacing w:val="0"/>
              <w:jc w:val="left"/>
              <w:cnfStyle w:val="000000000000" w:firstRow="0" w:lastRow="0" w:firstColumn="0" w:lastColumn="0" w:oddVBand="0" w:evenVBand="0" w:oddHBand="0" w:evenHBand="0" w:firstRowFirstColumn="0" w:firstRowLastColumn="0" w:lastRowFirstColumn="0" w:lastRowLastColumn="0"/>
            </w:pPr>
            <w:r>
              <w:t>On state and territory land</w:t>
            </w:r>
            <w:r w:rsidR="001F29A2">
              <w:t xml:space="preserve"> (including local government sites)</w:t>
            </w:r>
            <w:r>
              <w:t>, environment regulators are</w:t>
            </w:r>
            <w:r w:rsidRPr="00BA3DD5">
              <w:t xml:space="preserve"> </w:t>
            </w:r>
            <w:r>
              <w:t xml:space="preserve">environment departments and EPAs. </w:t>
            </w:r>
          </w:p>
          <w:p w14:paraId="0C9C7B56" w14:textId="25942063" w:rsidR="00383574" w:rsidRPr="00383574" w:rsidRDefault="00B21646" w:rsidP="00AE70B4">
            <w:pPr>
              <w:pStyle w:val="ListParagraph"/>
              <w:numPr>
                <w:ilvl w:val="0"/>
                <w:numId w:val="44"/>
              </w:numPr>
              <w:spacing w:before="60" w:after="60" w:line="240" w:lineRule="auto"/>
              <w:contextualSpacing w:val="0"/>
              <w:jc w:val="left"/>
              <w:cnfStyle w:val="000000000000" w:firstRow="0" w:lastRow="0" w:firstColumn="0" w:lastColumn="0" w:oddVBand="0" w:evenVBand="0" w:oddHBand="0" w:evenHBand="0" w:firstRowFirstColumn="0" w:firstRowLastColumn="0" w:lastRowFirstColumn="0" w:lastRowLastColumn="0"/>
            </w:pPr>
            <w:r>
              <w:t>On Commonwealth land, the environmental regulatory function depends on which agency is responsible for the land</w:t>
            </w:r>
            <w:r w:rsidR="00A20673">
              <w:t>.</w:t>
            </w:r>
            <w:r w:rsidR="00A20673">
              <w:rPr>
                <w:rStyle w:val="FootnoteReference"/>
              </w:rPr>
              <w:footnoteReference w:id="2"/>
            </w:r>
            <w:r>
              <w:t xml:space="preserve"> </w:t>
            </w:r>
          </w:p>
        </w:tc>
      </w:tr>
      <w:tr w:rsidR="00D53DBB" w:rsidRPr="00383574" w14:paraId="516E3DD8"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1062BBF" w14:textId="11ECBE24" w:rsidR="00D53DBB" w:rsidRDefault="00D53DBB" w:rsidP="00AE70B4">
            <w:pPr>
              <w:spacing w:before="60" w:after="60" w:line="240" w:lineRule="auto"/>
              <w:jc w:val="left"/>
            </w:pPr>
            <w:r>
              <w:t>Lead entity(</w:t>
            </w:r>
            <w:proofErr w:type="spellStart"/>
            <w:r>
              <w:t>ies</w:t>
            </w:r>
            <w:proofErr w:type="spellEnd"/>
            <w:r>
              <w:t>)</w:t>
            </w:r>
          </w:p>
        </w:tc>
        <w:tc>
          <w:tcPr>
            <w:tcW w:w="7501" w:type="dxa"/>
          </w:tcPr>
          <w:p w14:paraId="24C9166E" w14:textId="360B4A6E" w:rsidR="00D53DBB" w:rsidRDefault="007C6ABB" w:rsidP="00AE70B4">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t>Known or potential polluters</w:t>
            </w:r>
            <w:r w:rsidR="002657AF">
              <w:t xml:space="preserve"> </w:t>
            </w:r>
            <w:r>
              <w:t xml:space="preserve">that </w:t>
            </w:r>
            <w:proofErr w:type="gramStart"/>
            <w:r>
              <w:t xml:space="preserve">have been </w:t>
            </w:r>
            <w:r w:rsidR="002657AF">
              <w:t>identified</w:t>
            </w:r>
            <w:proofErr w:type="gramEnd"/>
            <w:r>
              <w:t xml:space="preserve"> by</w:t>
            </w:r>
            <w:r w:rsidR="00537AF9">
              <w:t xml:space="preserve"> the</w:t>
            </w:r>
            <w:r>
              <w:t xml:space="preserve"> e</w:t>
            </w:r>
            <w:r w:rsidR="00D53DBB">
              <w:t>nvironmental regulator</w:t>
            </w:r>
            <w:r w:rsidR="00ED1B17">
              <w:t>(</w:t>
            </w:r>
            <w:r w:rsidR="00D53DBB">
              <w:t>s</w:t>
            </w:r>
            <w:r w:rsidR="00ED1B17">
              <w:t>)</w:t>
            </w:r>
            <w:r w:rsidR="002657AF">
              <w:t>. These entities</w:t>
            </w:r>
            <w:r w:rsidR="00D53DBB">
              <w:t xml:space="preserve"> have certain responsibilities for responding to PFAS contamination, as outlined in the Protocol. </w:t>
            </w:r>
            <w:r w:rsidR="004A554C">
              <w:t xml:space="preserve">Lead </w:t>
            </w:r>
            <w:proofErr w:type="gramStart"/>
            <w:r w:rsidR="004A554C">
              <w:t>entity(</w:t>
            </w:r>
            <w:proofErr w:type="spellStart"/>
            <w:proofErr w:type="gramEnd"/>
            <w:r w:rsidR="004A554C">
              <w:t>ies</w:t>
            </w:r>
            <w:proofErr w:type="spellEnd"/>
            <w:r w:rsidR="004A554C">
              <w:t xml:space="preserve">) may be government or non-government entities. </w:t>
            </w:r>
            <w:r w:rsidR="00D53DBB">
              <w:t xml:space="preserve">A known or </w:t>
            </w:r>
            <w:r w:rsidR="00F50A14">
              <w:t>potential</w:t>
            </w:r>
            <w:r w:rsidR="00D53DBB">
              <w:t xml:space="preserve"> polluter may agree to undertake some or all of the responsibilities of another known or </w:t>
            </w:r>
            <w:r w:rsidR="00F50A14">
              <w:t>potential</w:t>
            </w:r>
            <w:r w:rsidR="00D53DBB">
              <w:t xml:space="preserve"> polluter to streamline activities.</w:t>
            </w:r>
            <w:r w:rsidR="002657AF">
              <w:br/>
            </w:r>
            <w:r w:rsidR="002657AF" w:rsidRPr="00C52D1F">
              <w:rPr>
                <w:b/>
              </w:rPr>
              <w:t>Note:</w:t>
            </w:r>
            <w:r w:rsidR="002657AF">
              <w:t xml:space="preserve"> in rare circumstances where a polluter </w:t>
            </w:r>
            <w:proofErr w:type="gramStart"/>
            <w:r w:rsidR="002657AF">
              <w:t>cannot be identified</w:t>
            </w:r>
            <w:proofErr w:type="gramEnd"/>
            <w:r w:rsidR="002657AF">
              <w:t xml:space="preserve">, the lead entity could be an entity </w:t>
            </w:r>
            <w:r w:rsidR="004A1C61">
              <w:t>as prescribed under existing</w:t>
            </w:r>
            <w:r w:rsidR="002657AF">
              <w:t xml:space="preserve"> relevant legislation.</w:t>
            </w:r>
          </w:p>
        </w:tc>
      </w:tr>
      <w:tr w:rsidR="00D53DBB" w:rsidRPr="00383574" w14:paraId="2785BD73" w14:textId="77777777" w:rsidTr="00C52D1F">
        <w:tc>
          <w:tcPr>
            <w:cnfStyle w:val="001000000000" w:firstRow="0" w:lastRow="0" w:firstColumn="1" w:lastColumn="0" w:oddVBand="0" w:evenVBand="0" w:oddHBand="0" w:evenHBand="0" w:firstRowFirstColumn="0" w:firstRowLastColumn="0" w:lastRowFirstColumn="0" w:lastRowLastColumn="0"/>
            <w:tcW w:w="2127" w:type="dxa"/>
          </w:tcPr>
          <w:p w14:paraId="71CB1C5E" w14:textId="10118CD3" w:rsidR="00D53DBB" w:rsidRPr="00383574" w:rsidRDefault="00D53DBB" w:rsidP="00AE70B4">
            <w:pPr>
              <w:spacing w:before="60" w:after="60" w:line="240" w:lineRule="auto"/>
              <w:jc w:val="left"/>
            </w:pPr>
            <w:r>
              <w:t xml:space="preserve">Health, </w:t>
            </w:r>
            <w:r w:rsidR="00567B9F">
              <w:t xml:space="preserve">food, </w:t>
            </w:r>
            <w:r>
              <w:t xml:space="preserve">primary industry and agriculture </w:t>
            </w:r>
            <w:r w:rsidR="00E84089">
              <w:t>agencies</w:t>
            </w:r>
          </w:p>
        </w:tc>
        <w:tc>
          <w:tcPr>
            <w:tcW w:w="7501" w:type="dxa"/>
          </w:tcPr>
          <w:p w14:paraId="180C3624" w14:textId="0F385059" w:rsidR="00D53DBB" w:rsidRPr="00383574" w:rsidRDefault="00D53DBB" w:rsidP="00AE70B4">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t xml:space="preserve">Government agencies that provide expert advice on human health, food, agriculture and trade matters. These departments may also have regulatory functions in these areas. </w:t>
            </w:r>
          </w:p>
        </w:tc>
      </w:tr>
      <w:tr w:rsidR="00D53DBB" w:rsidRPr="00383574" w14:paraId="60DF8F07"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0C1AB5C" w14:textId="2B21E053" w:rsidR="00D53DBB" w:rsidRPr="00383574" w:rsidRDefault="00D53DBB" w:rsidP="00AE70B4">
            <w:pPr>
              <w:spacing w:before="60" w:after="60" w:line="240" w:lineRule="auto"/>
              <w:jc w:val="left"/>
            </w:pPr>
            <w:r>
              <w:t>First Minister(s’) departments</w:t>
            </w:r>
          </w:p>
        </w:tc>
        <w:tc>
          <w:tcPr>
            <w:tcW w:w="7501" w:type="dxa"/>
          </w:tcPr>
          <w:p w14:paraId="30D7C64F" w14:textId="6D9C3510" w:rsidR="00D53DBB" w:rsidRPr="00383574" w:rsidRDefault="00D53DBB" w:rsidP="00AE70B4">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t xml:space="preserve">Government agencies that coordinate whole-of-government activities on behalf of individual jurisdictions. </w:t>
            </w:r>
          </w:p>
        </w:tc>
      </w:tr>
      <w:tr w:rsidR="00D53DBB" w:rsidRPr="00383574" w14:paraId="194D10D3" w14:textId="77777777" w:rsidTr="00C52D1F">
        <w:tc>
          <w:tcPr>
            <w:cnfStyle w:val="001000000000" w:firstRow="0" w:lastRow="0" w:firstColumn="1" w:lastColumn="0" w:oddVBand="0" w:evenVBand="0" w:oddHBand="0" w:evenHBand="0" w:firstRowFirstColumn="0" w:firstRowLastColumn="0" w:lastRowFirstColumn="0" w:lastRowLastColumn="0"/>
            <w:tcW w:w="2127" w:type="dxa"/>
          </w:tcPr>
          <w:p w14:paraId="1D3AAE08" w14:textId="3214A1DE" w:rsidR="00D53DBB" w:rsidRDefault="00D53DBB" w:rsidP="00AE70B4">
            <w:pPr>
              <w:spacing w:before="60" w:after="60" w:line="240" w:lineRule="auto"/>
              <w:jc w:val="left"/>
            </w:pPr>
            <w:r>
              <w:t>Expert advisers</w:t>
            </w:r>
          </w:p>
        </w:tc>
        <w:tc>
          <w:tcPr>
            <w:tcW w:w="7501" w:type="dxa"/>
          </w:tcPr>
          <w:p w14:paraId="6F332CDD" w14:textId="522F66F5" w:rsidR="00D53DBB" w:rsidRDefault="00D53DBB" w:rsidP="00AE70B4">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t xml:space="preserve">Entities </w:t>
            </w:r>
            <w:r w:rsidR="00A97D0D">
              <w:t xml:space="preserve">or people </w:t>
            </w:r>
            <w:r>
              <w:t>holding, or having ready access to, expert knowledge on management and disposal of PFAS and management of a PFAS contamination incident. Areas of expertise could include community engagement, medical, health, environmental effects, monitoring, remediation</w:t>
            </w:r>
            <w:r w:rsidR="00A97D0D">
              <w:t xml:space="preserve"> and environmental auditing</w:t>
            </w:r>
            <w:r>
              <w:t xml:space="preserve">. </w:t>
            </w:r>
          </w:p>
        </w:tc>
      </w:tr>
    </w:tbl>
    <w:p w14:paraId="3F5FD411" w14:textId="7972A5C2" w:rsidR="0056204E" w:rsidRDefault="0056204E" w:rsidP="00B21646">
      <w:pPr>
        <w:spacing w:after="160" w:line="259" w:lineRule="auto"/>
        <w:jc w:val="left"/>
      </w:pPr>
    </w:p>
    <w:p w14:paraId="21C17517" w14:textId="3E5E2065" w:rsidR="00A12359" w:rsidRDefault="00A12359" w:rsidP="00B21646">
      <w:pPr>
        <w:spacing w:after="160" w:line="259" w:lineRule="auto"/>
        <w:jc w:val="left"/>
      </w:pPr>
      <w:proofErr w:type="gramStart"/>
      <w:r>
        <w:t>This is not an exhaustive list of all entities that may be involved in responding to PFAS contamination.</w:t>
      </w:r>
      <w:proofErr w:type="gramEnd"/>
      <w:r>
        <w:t xml:space="preserve"> Other entities may be involved on a case-by-case basis.</w:t>
      </w:r>
    </w:p>
    <w:p w14:paraId="18ED799F" w14:textId="513D7636" w:rsidR="00A12359" w:rsidRDefault="004637C8" w:rsidP="00A12359">
      <w:pPr>
        <w:pStyle w:val="Heading1"/>
        <w:spacing w:after="240"/>
      </w:pPr>
      <w:r w:rsidRPr="008E3A0E">
        <w:rPr>
          <w:b/>
          <w:noProof/>
          <w:color w:val="44546A" w:themeColor="text2"/>
        </w:rPr>
        <w:lastRenderedPageBreak/>
        <w:drawing>
          <wp:anchor distT="0" distB="0" distL="114300" distR="114300" simplePos="0" relativeHeight="251658243" behindDoc="0" locked="0" layoutInCell="1" allowOverlap="1" wp14:anchorId="2F7DA0EB" wp14:editId="468A782D">
            <wp:simplePos x="0" y="0"/>
            <wp:positionH relativeFrom="margin">
              <wp:posOffset>-34290</wp:posOffset>
            </wp:positionH>
            <wp:positionV relativeFrom="margin">
              <wp:posOffset>513080</wp:posOffset>
            </wp:positionV>
            <wp:extent cx="744855" cy="7842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jpg"/>
                    <pic:cNvPicPr/>
                  </pic:nvPicPr>
                  <pic:blipFill>
                    <a:blip r:embed="rId12">
                      <a:extLst>
                        <a:ext uri="{28A0092B-C50C-407E-A947-70E740481C1C}">
                          <a14:useLocalDpi xmlns:a14="http://schemas.microsoft.com/office/drawing/2010/main" val="0"/>
                        </a:ext>
                      </a:extLst>
                    </a:blip>
                    <a:stretch>
                      <a:fillRect/>
                    </a:stretch>
                  </pic:blipFill>
                  <pic:spPr>
                    <a:xfrm>
                      <a:off x="0" y="0"/>
                      <a:ext cx="744855" cy="784225"/>
                    </a:xfrm>
                    <a:prstGeom prst="rect">
                      <a:avLst/>
                    </a:prstGeom>
                  </pic:spPr>
                </pic:pic>
              </a:graphicData>
            </a:graphic>
            <wp14:sizeRelH relativeFrom="margin">
              <wp14:pctWidth>0</wp14:pctWidth>
            </wp14:sizeRelH>
            <wp14:sizeRelV relativeFrom="margin">
              <wp14:pctHeight>0</wp14:pctHeight>
            </wp14:sizeRelV>
          </wp:anchor>
        </w:drawing>
      </w:r>
      <w:r w:rsidR="00A12359" w:rsidRPr="00236DAD">
        <w:t>Priorities</w:t>
      </w:r>
    </w:p>
    <w:p w14:paraId="5EFE698C" w14:textId="5DAA0E4C" w:rsidR="00A02EEE" w:rsidRDefault="00A02EEE" w:rsidP="00A02EEE">
      <w:pPr>
        <w:pStyle w:val="Heading2"/>
        <w:spacing w:before="240" w:after="240"/>
        <w:jc w:val="left"/>
      </w:pPr>
      <w:r>
        <w:t xml:space="preserve">Priority: </w:t>
      </w:r>
      <w:r w:rsidRPr="008E7519">
        <w:t>I</w:t>
      </w:r>
      <w:r>
        <w:t>dentify sites, i</w:t>
      </w:r>
      <w:r w:rsidRPr="008E7519">
        <w:t>nvestigat</w:t>
      </w:r>
      <w:r>
        <w:t>e and assess risks</w:t>
      </w:r>
    </w:p>
    <w:p w14:paraId="612415DF" w14:textId="4A97048A" w:rsidR="00A02EEE" w:rsidRPr="008E3A0E" w:rsidRDefault="00A02EEE" w:rsidP="00A02EEE">
      <w:pPr>
        <w:spacing w:before="240"/>
        <w:ind w:left="1440"/>
        <w:jc w:val="left"/>
      </w:pPr>
      <w:r>
        <w:t xml:space="preserve">Governments should </w:t>
      </w:r>
      <w:r w:rsidR="00A12359">
        <w:t xml:space="preserve">take measures to </w:t>
      </w:r>
      <w:r>
        <w:t>i</w:t>
      </w:r>
      <w:r w:rsidRPr="00150DF5">
        <w:t xml:space="preserve">dentify </w:t>
      </w:r>
      <w:r>
        <w:t xml:space="preserve">sites potentially contaminated through </w:t>
      </w:r>
      <w:r w:rsidRPr="008E3A0E">
        <w:t>current or historic use, testing</w:t>
      </w:r>
      <w:r w:rsidR="00FD35E8">
        <w:t xml:space="preserve">, </w:t>
      </w:r>
      <w:r w:rsidRPr="008E3A0E">
        <w:t xml:space="preserve">storage </w:t>
      </w:r>
      <w:r w:rsidR="00FD35E8">
        <w:t xml:space="preserve">or disposal </w:t>
      </w:r>
      <w:r w:rsidRPr="008E3A0E">
        <w:t>of products containing PFAS</w:t>
      </w:r>
      <w:r>
        <w:t>.</w:t>
      </w:r>
      <w:r w:rsidRPr="008E3A0E">
        <w:t xml:space="preserve"> </w:t>
      </w:r>
      <w:r w:rsidR="004A1C61">
        <w:t>P</w:t>
      </w:r>
      <w:r>
        <w:t xml:space="preserve">otentially contaminated sites should be </w:t>
      </w:r>
      <w:r w:rsidR="004A1C61">
        <w:t>prioritised and</w:t>
      </w:r>
      <w:r>
        <w:t xml:space="preserve"> </w:t>
      </w:r>
      <w:r w:rsidRPr="008E3A0E">
        <w:t>investigat</w:t>
      </w:r>
      <w:r>
        <w:t>ed</w:t>
      </w:r>
      <w:r w:rsidRPr="008E3A0E">
        <w:t xml:space="preserve"> in accordance with the </w:t>
      </w:r>
      <w:hyperlink r:id="rId13" w:history="1">
        <w:r w:rsidRPr="008E3A0E">
          <w:rPr>
            <w:i/>
          </w:rPr>
          <w:t>National Environment Protection (Assessment of Site Contamination) Measure 1999</w:t>
        </w:r>
      </w:hyperlink>
      <w:r w:rsidRPr="008E3A0E">
        <w:t xml:space="preserve"> (ASC NEPM)</w:t>
      </w:r>
      <w:r>
        <w:t>, state and territory regulatory systems for contaminated sites,</w:t>
      </w:r>
      <w:r w:rsidRPr="008E3A0E">
        <w:t xml:space="preserve"> and PFAS National Environmental Management Plan (PFAS NEMP) (Appendix </w:t>
      </w:r>
      <w:r>
        <w:t>B</w:t>
      </w:r>
      <w:r w:rsidR="00B00AD7">
        <w:t xml:space="preserve"> to the National Framework for Responding to PFAS Contamination</w:t>
      </w:r>
      <w:r w:rsidRPr="008E3A0E">
        <w:t>). The ASC NEPM investigation process</w:t>
      </w:r>
      <w:r>
        <w:t xml:space="preserve"> is iterative and</w:t>
      </w:r>
      <w:r w:rsidRPr="008E3A0E">
        <w:t xml:space="preserve"> includes:</w:t>
      </w:r>
    </w:p>
    <w:p w14:paraId="4067E913" w14:textId="40B6D6FB" w:rsidR="00A02EEE" w:rsidRDefault="00A02EEE" w:rsidP="00A02EEE">
      <w:pPr>
        <w:pStyle w:val="ListParagraph"/>
        <w:numPr>
          <w:ilvl w:val="0"/>
          <w:numId w:val="33"/>
        </w:numPr>
        <w:spacing w:before="240"/>
        <w:ind w:left="1843"/>
        <w:contextualSpacing w:val="0"/>
        <w:jc w:val="left"/>
      </w:pPr>
      <w:r w:rsidRPr="008E3A0E">
        <w:t xml:space="preserve">A preliminary assessment, which involves inspecting and identifying </w:t>
      </w:r>
      <w:r>
        <w:t xml:space="preserve">the characteristics of the site, including potential off-site </w:t>
      </w:r>
      <w:r w:rsidR="00FD35E8">
        <w:t xml:space="preserve">sources and </w:t>
      </w:r>
      <w:r>
        <w:t>receptors.</w:t>
      </w:r>
    </w:p>
    <w:p w14:paraId="6D65484E" w14:textId="2D27ECE2" w:rsidR="00A02EEE" w:rsidRPr="000A7E4B" w:rsidRDefault="00FD35E8" w:rsidP="00A02EEE">
      <w:pPr>
        <w:pStyle w:val="ListParagraph"/>
        <w:numPr>
          <w:ilvl w:val="0"/>
          <w:numId w:val="33"/>
        </w:numPr>
        <w:spacing w:before="240"/>
        <w:ind w:left="1843" w:hanging="357"/>
        <w:contextualSpacing w:val="0"/>
        <w:jc w:val="left"/>
      </w:pPr>
      <w:r>
        <w:t>Where appropriate, a</w:t>
      </w:r>
      <w:r w:rsidR="00A02EEE" w:rsidRPr="000A7E4B">
        <w:t xml:space="preserve"> detailed assessment</w:t>
      </w:r>
      <w:r w:rsidR="00A02EEE">
        <w:t>,</w:t>
      </w:r>
      <w:r w:rsidR="00A02EEE" w:rsidRPr="000A7E4B">
        <w:t xml:space="preserve"> which usually includes assessment of potential risks to human health and the environment.</w:t>
      </w:r>
    </w:p>
    <w:p w14:paraId="05C4A133" w14:textId="6FB77609" w:rsidR="00A12359" w:rsidRDefault="00A12359" w:rsidP="00C52D1F">
      <w:pPr>
        <w:pStyle w:val="Heading3"/>
      </w:pPr>
      <w:r>
        <w:t xml:space="preserve">What are the </w:t>
      </w:r>
      <w:r w:rsidR="00F50A14">
        <w:t>roles</w:t>
      </w:r>
      <w:r>
        <w:t xml:space="preserve"> of the </w:t>
      </w:r>
      <w:r w:rsidR="00C96A95">
        <w:t>key</w:t>
      </w:r>
      <w:r>
        <w:t xml:space="preserve"> entities?</w:t>
      </w:r>
    </w:p>
    <w:tbl>
      <w:tblPr>
        <w:tblStyle w:val="ListTable2-Accent5"/>
        <w:tblW w:w="5000" w:type="pct"/>
        <w:tblLook w:val="0480" w:firstRow="0" w:lastRow="0" w:firstColumn="1" w:lastColumn="0" w:noHBand="0" w:noVBand="1"/>
        <w:tblCaption w:val="What are the roles of the key entities?"/>
      </w:tblPr>
      <w:tblGrid>
        <w:gridCol w:w="2695"/>
        <w:gridCol w:w="6943"/>
      </w:tblGrid>
      <w:tr w:rsidR="00A12359" w14:paraId="0FB7AC7D" w14:textId="77777777" w:rsidTr="00C52D1F">
        <w:trPr>
          <w:cnfStyle w:val="000000100000" w:firstRow="0" w:lastRow="0" w:firstColumn="0" w:lastColumn="0" w:oddVBand="0" w:evenVBand="0" w:oddHBand="1" w:evenHBand="0" w:firstRowFirstColumn="0" w:firstRowLastColumn="0" w:lastRowFirstColumn="0" w:lastRowLastColumn="0"/>
          <w:trHeight w:val="2188"/>
        </w:trPr>
        <w:tc>
          <w:tcPr>
            <w:cnfStyle w:val="001000000000" w:firstRow="0" w:lastRow="0" w:firstColumn="1" w:lastColumn="0" w:oddVBand="0" w:evenVBand="0" w:oddHBand="0" w:evenHBand="0" w:firstRowFirstColumn="0" w:firstRowLastColumn="0" w:lastRowFirstColumn="0" w:lastRowLastColumn="0"/>
            <w:tcW w:w="1398" w:type="pct"/>
          </w:tcPr>
          <w:p w14:paraId="2638F0F3" w14:textId="7CE5ED39" w:rsidR="00A12359" w:rsidRDefault="002E7DDC" w:rsidP="00C52D1F">
            <w:pPr>
              <w:spacing w:before="100" w:after="100" w:line="240" w:lineRule="auto"/>
              <w:jc w:val="left"/>
            </w:pPr>
            <w:r>
              <w:t xml:space="preserve">Known or </w:t>
            </w:r>
            <w:r w:rsidR="00F50A14">
              <w:t>potential</w:t>
            </w:r>
            <w:r>
              <w:t xml:space="preserve"> polluters (including a</w:t>
            </w:r>
            <w:r w:rsidR="00A12359">
              <w:t>ll governments</w:t>
            </w:r>
            <w:r>
              <w:t xml:space="preserve">) </w:t>
            </w:r>
          </w:p>
        </w:tc>
        <w:tc>
          <w:tcPr>
            <w:tcW w:w="3602" w:type="pct"/>
          </w:tcPr>
          <w:p w14:paraId="71806EA5" w14:textId="70AC0DCA" w:rsidR="00A12359" w:rsidRPr="00ED1B17" w:rsidRDefault="00A12359"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In accordance with the ASC NEPM</w:t>
            </w:r>
            <w:r w:rsidR="00204305" w:rsidRPr="00ED1B17">
              <w:t xml:space="preserve"> and the PFAS NEMP</w:t>
            </w:r>
            <w:r w:rsidRPr="00ED1B17">
              <w:t xml:space="preserve">, identify sites </w:t>
            </w:r>
            <w:r w:rsidR="002E7DDC" w:rsidRPr="00ED1B17">
              <w:t xml:space="preserve">owned </w:t>
            </w:r>
            <w:r w:rsidR="00FD35E8">
              <w:t xml:space="preserve">or leased </w:t>
            </w:r>
            <w:r w:rsidR="002E7DDC" w:rsidRPr="00ED1B17">
              <w:t xml:space="preserve">by the entity </w:t>
            </w:r>
            <w:r w:rsidRPr="00ED1B17">
              <w:t xml:space="preserve">where PFAS-related activities have been undertaken, and other sites where </w:t>
            </w:r>
            <w:r w:rsidR="002E7DDC" w:rsidRPr="00ED1B17">
              <w:t>the entity</w:t>
            </w:r>
            <w:r w:rsidRPr="00ED1B17">
              <w:t xml:space="preserve"> may have conduct</w:t>
            </w:r>
            <w:r w:rsidR="00082B3C" w:rsidRPr="00ED1B17">
              <w:t>ed</w:t>
            </w:r>
            <w:r w:rsidRPr="00ED1B17">
              <w:t xml:space="preserve"> PFAS-related activities. </w:t>
            </w:r>
          </w:p>
          <w:p w14:paraId="67219E02" w14:textId="5AD3DB0E" w:rsidR="00A12359" w:rsidRPr="00ED1B17" w:rsidRDefault="00A12359"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Notify relevant agencies (including the environmental regulator(s)) where a</w:t>
            </w:r>
            <w:r w:rsidR="002E7DDC" w:rsidRPr="00ED1B17">
              <w:t>n entity</w:t>
            </w:r>
            <w:r w:rsidRPr="00ED1B17">
              <w:t xml:space="preserve"> has undertaken a PFAS-related activity in another jurisdiction and/or PFAS contamination may have spread into another jurisdiction. </w:t>
            </w:r>
          </w:p>
        </w:tc>
      </w:tr>
      <w:tr w:rsidR="00A12359" w14:paraId="4902CB45" w14:textId="77777777" w:rsidTr="00C52D1F">
        <w:tc>
          <w:tcPr>
            <w:cnfStyle w:val="001000000000" w:firstRow="0" w:lastRow="0" w:firstColumn="1" w:lastColumn="0" w:oddVBand="0" w:evenVBand="0" w:oddHBand="0" w:evenHBand="0" w:firstRowFirstColumn="0" w:firstRowLastColumn="0" w:lastRowFirstColumn="0" w:lastRowLastColumn="0"/>
            <w:tcW w:w="1398" w:type="pct"/>
          </w:tcPr>
          <w:p w14:paraId="1460F142" w14:textId="23EFCD4E" w:rsidR="00A12359" w:rsidRDefault="00A12359" w:rsidP="00C52D1F">
            <w:pPr>
              <w:spacing w:before="100" w:after="100" w:line="240" w:lineRule="auto"/>
              <w:jc w:val="left"/>
            </w:pPr>
            <w:r>
              <w:t>Environmental regulator(s)</w:t>
            </w:r>
            <w:r w:rsidR="00C52D1F">
              <w:rPr>
                <w:rStyle w:val="FootnoteReference"/>
              </w:rPr>
              <w:footnoteReference w:id="3"/>
            </w:r>
            <w:r w:rsidR="00C52D1F">
              <w:t xml:space="preserve"> </w:t>
            </w:r>
            <w:r>
              <w:t>of the relevant jurisdiction(s)</w:t>
            </w:r>
          </w:p>
        </w:tc>
        <w:tc>
          <w:tcPr>
            <w:tcW w:w="3602" w:type="pct"/>
          </w:tcPr>
          <w:p w14:paraId="66142D24" w14:textId="5526BA5A" w:rsidR="00A12359" w:rsidRDefault="00A12359"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 xml:space="preserve">Determine lead </w:t>
            </w:r>
            <w:proofErr w:type="gramStart"/>
            <w:r>
              <w:t>entity(</w:t>
            </w:r>
            <w:proofErr w:type="spellStart"/>
            <w:proofErr w:type="gramEnd"/>
            <w:r>
              <w:t>ies</w:t>
            </w:r>
            <w:proofErr w:type="spellEnd"/>
            <w:r>
              <w:t xml:space="preserve">) (see </w:t>
            </w:r>
            <w:r w:rsidR="00082B3C">
              <w:t>section</w:t>
            </w:r>
            <w:r>
              <w:t xml:space="preserve"> below). </w:t>
            </w:r>
          </w:p>
          <w:p w14:paraId="2F14B8D0" w14:textId="60BFEC9E" w:rsidR="00A12359" w:rsidRDefault="004D3285"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Work with / m</w:t>
            </w:r>
            <w:r w:rsidR="00A12359">
              <w:t xml:space="preserve">onitor the lead </w:t>
            </w:r>
            <w:proofErr w:type="gramStart"/>
            <w:r w:rsidR="00A12359">
              <w:t>entity’s(</w:t>
            </w:r>
            <w:proofErr w:type="spellStart"/>
            <w:proofErr w:type="gramEnd"/>
            <w:r w:rsidR="00A12359">
              <w:t>ies’</w:t>
            </w:r>
            <w:proofErr w:type="spellEnd"/>
            <w:r w:rsidR="00A12359">
              <w:t>) investigations and conduct regulatory activities to ensure compliance with relevant legislation and/or guidelines</w:t>
            </w:r>
            <w:r w:rsidR="00FD35E8">
              <w:t>, as appropriate</w:t>
            </w:r>
            <w:r w:rsidR="00A12359">
              <w:t>.</w:t>
            </w:r>
          </w:p>
        </w:tc>
      </w:tr>
      <w:tr w:rsidR="00A12359" w14:paraId="31F5358B" w14:textId="77777777" w:rsidTr="00C52D1F">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398" w:type="pct"/>
          </w:tcPr>
          <w:p w14:paraId="0B3CE964" w14:textId="77777777" w:rsidR="00A12359" w:rsidRPr="003071E7" w:rsidRDefault="00A12359" w:rsidP="00C52D1F">
            <w:pPr>
              <w:spacing w:before="100" w:after="100" w:line="240" w:lineRule="auto"/>
              <w:jc w:val="left"/>
              <w:rPr>
                <w:b w:val="0"/>
              </w:rPr>
            </w:pPr>
            <w:r>
              <w:t>Lead entity(</w:t>
            </w:r>
            <w:proofErr w:type="spellStart"/>
            <w:r>
              <w:t>ies</w:t>
            </w:r>
            <w:proofErr w:type="spellEnd"/>
            <w:r>
              <w:t xml:space="preserve">) </w:t>
            </w:r>
          </w:p>
        </w:tc>
        <w:tc>
          <w:tcPr>
            <w:tcW w:w="3602" w:type="pct"/>
          </w:tcPr>
          <w:p w14:paraId="3AD25435" w14:textId="228A93E2" w:rsidR="00A12359" w:rsidRDefault="00082B3C"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t>In accordance with the ASC NEPM</w:t>
            </w:r>
            <w:r w:rsidR="00204305">
              <w:t xml:space="preserve"> and PFAS NEMP</w:t>
            </w:r>
            <w:r>
              <w:t>, c</w:t>
            </w:r>
            <w:r w:rsidR="00A12359">
              <w:t xml:space="preserve">onduct investigations and assess risks, with the assistance and </w:t>
            </w:r>
            <w:r w:rsidR="004D3285">
              <w:t xml:space="preserve">oversight and </w:t>
            </w:r>
            <w:r w:rsidR="00A12359">
              <w:t xml:space="preserve">advice of government and </w:t>
            </w:r>
            <w:r w:rsidR="00537AF9">
              <w:t xml:space="preserve">the </w:t>
            </w:r>
            <w:r w:rsidR="004D3285">
              <w:t xml:space="preserve">advice of </w:t>
            </w:r>
            <w:r w:rsidR="00A12359">
              <w:t>non-government expert</w:t>
            </w:r>
            <w:r w:rsidR="00C01E13">
              <w:t xml:space="preserve"> adviser</w:t>
            </w:r>
            <w:r w:rsidR="00A12359">
              <w:t>s, in consultation with all relevant environmental regulator</w:t>
            </w:r>
            <w:r w:rsidR="00ED1B17">
              <w:t>(</w:t>
            </w:r>
            <w:r w:rsidR="00A12359">
              <w:t>s</w:t>
            </w:r>
            <w:r w:rsidR="00ED1B17">
              <w:t>)</w:t>
            </w:r>
            <w:r w:rsidR="00A12359">
              <w:t xml:space="preserve"> and entities (e.g. government land lessees).</w:t>
            </w:r>
          </w:p>
        </w:tc>
      </w:tr>
      <w:tr w:rsidR="00A12359" w14:paraId="61E3B1EC" w14:textId="77777777" w:rsidTr="00C52D1F">
        <w:trPr>
          <w:trHeight w:val="1194"/>
        </w:trPr>
        <w:tc>
          <w:tcPr>
            <w:cnfStyle w:val="001000000000" w:firstRow="0" w:lastRow="0" w:firstColumn="1" w:lastColumn="0" w:oddVBand="0" w:evenVBand="0" w:oddHBand="0" w:evenHBand="0" w:firstRowFirstColumn="0" w:firstRowLastColumn="0" w:lastRowFirstColumn="0" w:lastRowLastColumn="0"/>
            <w:tcW w:w="1398" w:type="pct"/>
          </w:tcPr>
          <w:p w14:paraId="2713E97E" w14:textId="2B4A5500" w:rsidR="00A12359" w:rsidRDefault="00A12359" w:rsidP="00C52D1F">
            <w:pPr>
              <w:spacing w:before="100" w:after="100" w:line="240" w:lineRule="auto"/>
              <w:jc w:val="left"/>
            </w:pPr>
            <w:r>
              <w:t xml:space="preserve">Health, </w:t>
            </w:r>
            <w:r w:rsidR="00567B9F">
              <w:t xml:space="preserve">food, </w:t>
            </w:r>
            <w:r>
              <w:t xml:space="preserve">primary industry and agriculture </w:t>
            </w:r>
            <w:r w:rsidR="00E84089">
              <w:t>agencies</w:t>
            </w:r>
            <w:r>
              <w:t xml:space="preserve"> of the relevant jurisdiction(s)</w:t>
            </w:r>
          </w:p>
        </w:tc>
        <w:tc>
          <w:tcPr>
            <w:tcW w:w="3602" w:type="pct"/>
          </w:tcPr>
          <w:p w14:paraId="41F15200" w14:textId="39A3D6B9" w:rsidR="00A12359" w:rsidRDefault="00A12359"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Advise the lead entity(s) on matters including health advice, human health risk assessments, hydrology, food, trade and market access, as appropriate, in consultation with relevant environmental regulator</w:t>
            </w:r>
            <w:r w:rsidR="00ED1B17">
              <w:t>(</w:t>
            </w:r>
            <w:r>
              <w:t>s</w:t>
            </w:r>
            <w:r w:rsidR="00ED1B17">
              <w:t>)</w:t>
            </w:r>
            <w:r>
              <w:t>.</w:t>
            </w:r>
          </w:p>
        </w:tc>
      </w:tr>
      <w:tr w:rsidR="00A12359" w14:paraId="21DF4CFF"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14:paraId="772DA876" w14:textId="77777777" w:rsidR="00A12359" w:rsidRDefault="00A12359" w:rsidP="00C52D1F">
            <w:pPr>
              <w:spacing w:before="100" w:after="100" w:line="240" w:lineRule="auto"/>
              <w:jc w:val="left"/>
            </w:pPr>
            <w:r>
              <w:t>First Minister(s’) department(s)</w:t>
            </w:r>
          </w:p>
        </w:tc>
        <w:tc>
          <w:tcPr>
            <w:tcW w:w="3602" w:type="pct"/>
          </w:tcPr>
          <w:p w14:paraId="1D4824A9" w14:textId="1CEBBB12" w:rsidR="00A12359" w:rsidRDefault="00B90CB3"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t>Monitor</w:t>
            </w:r>
            <w:r w:rsidR="00A12359">
              <w:t xml:space="preserve"> and, where necessary, coordinate relevant agencies in managing PFAS contamination. </w:t>
            </w:r>
          </w:p>
          <w:p w14:paraId="2DA4AF21" w14:textId="0252687C" w:rsidR="00262F5E" w:rsidRDefault="00262F5E"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t>Work with other jurisdictions to facilitate consistency.</w:t>
            </w:r>
          </w:p>
        </w:tc>
      </w:tr>
    </w:tbl>
    <w:p w14:paraId="4AB57D73" w14:textId="6F45B828" w:rsidR="007A48CE" w:rsidRDefault="007A48CE" w:rsidP="00A02EEE">
      <w:pPr>
        <w:pStyle w:val="Heading2"/>
        <w:spacing w:before="240" w:after="240"/>
        <w:jc w:val="left"/>
        <w:rPr>
          <w:color w:val="1F4D78" w:themeColor="accent1" w:themeShade="7F"/>
          <w:sz w:val="24"/>
          <w:szCs w:val="24"/>
        </w:rPr>
      </w:pPr>
      <w:r>
        <w:rPr>
          <w:color w:val="1F4D78" w:themeColor="accent1" w:themeShade="7F"/>
          <w:sz w:val="24"/>
          <w:szCs w:val="24"/>
        </w:rPr>
        <w:lastRenderedPageBreak/>
        <w:t xml:space="preserve">How </w:t>
      </w:r>
      <w:r w:rsidR="00C557E1">
        <w:rPr>
          <w:color w:val="1F4D78" w:themeColor="accent1" w:themeShade="7F"/>
          <w:sz w:val="24"/>
          <w:szCs w:val="24"/>
        </w:rPr>
        <w:t xml:space="preserve">will governments identify </w:t>
      </w:r>
      <w:r w:rsidR="009C597F">
        <w:rPr>
          <w:color w:val="1F4D78" w:themeColor="accent1" w:themeShade="7F"/>
          <w:sz w:val="24"/>
          <w:szCs w:val="24"/>
        </w:rPr>
        <w:t xml:space="preserve">actions and </w:t>
      </w:r>
      <w:r w:rsidR="00F50A14">
        <w:rPr>
          <w:color w:val="1F4D78" w:themeColor="accent1" w:themeShade="7F"/>
          <w:sz w:val="24"/>
          <w:szCs w:val="24"/>
        </w:rPr>
        <w:t>roles</w:t>
      </w:r>
      <w:r>
        <w:rPr>
          <w:color w:val="1F4D78" w:themeColor="accent1" w:themeShade="7F"/>
          <w:sz w:val="24"/>
          <w:szCs w:val="24"/>
        </w:rPr>
        <w:t>?</w:t>
      </w:r>
    </w:p>
    <w:p w14:paraId="38C64BB7" w14:textId="36E53A57" w:rsidR="007A48CE" w:rsidRDefault="009C597F" w:rsidP="007A48CE">
      <w:pPr>
        <w:spacing w:before="120" w:line="240" w:lineRule="auto"/>
        <w:jc w:val="left"/>
      </w:pPr>
      <w:r>
        <w:t>This Protocol outlines a standard process for</w:t>
      </w:r>
      <w:r w:rsidR="004D2DA3">
        <w:t xml:space="preserve"> determining the lead </w:t>
      </w:r>
      <w:proofErr w:type="gramStart"/>
      <w:r w:rsidR="004D2DA3">
        <w:t>entity(</w:t>
      </w:r>
      <w:proofErr w:type="spellStart"/>
      <w:proofErr w:type="gramEnd"/>
      <w:r w:rsidR="004D2DA3">
        <w:t>ies</w:t>
      </w:r>
      <w:proofErr w:type="spellEnd"/>
      <w:r w:rsidR="004D2DA3">
        <w:t>)</w:t>
      </w:r>
      <w:r>
        <w:t>,</w:t>
      </w:r>
      <w:r w:rsidR="004D2DA3">
        <w:t xml:space="preserve"> </w:t>
      </w:r>
      <w:r>
        <w:t xml:space="preserve">with the aim </w:t>
      </w:r>
      <w:r w:rsidR="004D2DA3">
        <w:t xml:space="preserve">to foster effective collaboration amongst regulators, </w:t>
      </w:r>
      <w:r w:rsidR="00BF0A52">
        <w:t xml:space="preserve">known and </w:t>
      </w:r>
      <w:r w:rsidR="00FD35E8">
        <w:t>potential</w:t>
      </w:r>
      <w:r w:rsidR="00BF0A52">
        <w:t xml:space="preserve"> polluters </w:t>
      </w:r>
      <w:r w:rsidR="004D2DA3">
        <w:t>and other stakeholders</w:t>
      </w:r>
      <w:r w:rsidR="00BF0A52">
        <w:t xml:space="preserve"> (e.g.</w:t>
      </w:r>
      <w:r>
        <w:t> </w:t>
      </w:r>
      <w:r w:rsidR="00BF0A52">
        <w:t>government land lessees)</w:t>
      </w:r>
      <w:r w:rsidR="004D2DA3">
        <w:t xml:space="preserve">. It </w:t>
      </w:r>
      <w:proofErr w:type="gramStart"/>
      <w:r w:rsidR="004D2DA3">
        <w:t>is designed</w:t>
      </w:r>
      <w:proofErr w:type="gramEnd"/>
      <w:r w:rsidR="004D2DA3">
        <w:t xml:space="preserve"> to provide transparency to governments, industry and communities alike about the process for determining actions and </w:t>
      </w:r>
      <w:r w:rsidR="00FD35E8">
        <w:t>roles</w:t>
      </w:r>
      <w:r w:rsidR="004D2DA3">
        <w:t xml:space="preserve">. These decisions </w:t>
      </w:r>
      <w:proofErr w:type="gramStart"/>
      <w:r w:rsidR="00FB5143">
        <w:t>should</w:t>
      </w:r>
      <w:r w:rsidR="004D2DA3">
        <w:t xml:space="preserve"> be </w:t>
      </w:r>
      <w:r w:rsidR="00FB5143">
        <w:t>made</w:t>
      </w:r>
      <w:proofErr w:type="gramEnd"/>
      <w:r w:rsidR="00FB5143">
        <w:t xml:space="preserve"> by t</w:t>
      </w:r>
      <w:r w:rsidR="00BF0A52">
        <w:t xml:space="preserve">imely </w:t>
      </w:r>
      <w:r w:rsidR="004D2DA3">
        <w:t xml:space="preserve">negotiations undertaken in good faith, with the </w:t>
      </w:r>
      <w:r w:rsidR="004A554C">
        <w:t>wellbeing of affected</w:t>
      </w:r>
      <w:r w:rsidR="004D2DA3">
        <w:t xml:space="preserve"> </w:t>
      </w:r>
      <w:r w:rsidR="004A554C">
        <w:t xml:space="preserve">communities and protection of the environment as priorities. </w:t>
      </w:r>
    </w:p>
    <w:p w14:paraId="15D23E50" w14:textId="12FBF1B3" w:rsidR="00BF0A52" w:rsidRDefault="00BF0A52" w:rsidP="007A48CE">
      <w:pPr>
        <w:spacing w:before="120" w:line="240" w:lineRule="auto"/>
        <w:jc w:val="left"/>
      </w:pPr>
      <w:r>
        <w:t xml:space="preserve">The below </w:t>
      </w:r>
      <w:r w:rsidR="001A5631">
        <w:t>figure</w:t>
      </w:r>
      <w:r>
        <w:t xml:space="preserve"> and box outline the </w:t>
      </w:r>
      <w:r w:rsidR="009C597F">
        <w:t xml:space="preserve">standard </w:t>
      </w:r>
      <w:r>
        <w:t xml:space="preserve">process for </w:t>
      </w:r>
      <w:r w:rsidR="001A5631">
        <w:t xml:space="preserve">relevant </w:t>
      </w:r>
      <w:r>
        <w:t xml:space="preserve">environment regulators, known and </w:t>
      </w:r>
      <w:r w:rsidR="00FD35E8">
        <w:t>potential</w:t>
      </w:r>
      <w:r>
        <w:t xml:space="preserve"> polluters and other stakeholders to work together to determine actions and </w:t>
      </w:r>
      <w:r w:rsidR="00F50A14">
        <w:t>roles</w:t>
      </w:r>
      <w:r>
        <w:t xml:space="preserve">. </w:t>
      </w:r>
    </w:p>
    <w:p w14:paraId="67D84DA5" w14:textId="76BC7B33" w:rsidR="00BF0A52" w:rsidRPr="006C1BCD" w:rsidRDefault="00BF0A52" w:rsidP="00BF0A52">
      <w:pPr>
        <w:pStyle w:val="Heading2"/>
        <w:spacing w:before="240" w:after="240"/>
        <w:jc w:val="left"/>
        <w:rPr>
          <w:rStyle w:val="SubtleEmphasis"/>
        </w:rPr>
      </w:pPr>
      <w:r>
        <w:rPr>
          <w:rStyle w:val="SubtleEmphasis"/>
        </w:rPr>
        <w:t>Figure B</w:t>
      </w:r>
      <w:r w:rsidRPr="006C1BCD">
        <w:rPr>
          <w:rStyle w:val="SubtleEmphasis"/>
        </w:rPr>
        <w:t xml:space="preserve">: </w:t>
      </w:r>
      <w:r w:rsidRPr="00C52D1F">
        <w:rPr>
          <w:rStyle w:val="SubtleEmphasis"/>
        </w:rPr>
        <w:t xml:space="preserve">Flow chart for determining activities and </w:t>
      </w:r>
      <w:r w:rsidR="00FD35E8">
        <w:rPr>
          <w:rStyle w:val="SubtleEmphasis"/>
        </w:rPr>
        <w:t>roles</w:t>
      </w:r>
      <w:r w:rsidRPr="00C52D1F">
        <w:rPr>
          <w:rStyle w:val="SubtleEmphasis"/>
        </w:rPr>
        <w:t xml:space="preserve"> at multi-jurisdiction / multi-entity sites</w:t>
      </w:r>
    </w:p>
    <w:p w14:paraId="1782EB32" w14:textId="1E6EFA90" w:rsidR="00BF0A52" w:rsidRDefault="00886D44" w:rsidP="007A48CE">
      <w:pPr>
        <w:spacing w:before="120" w:line="240" w:lineRule="auto"/>
        <w:jc w:val="left"/>
      </w:pPr>
      <w:r>
        <w:rPr>
          <w:noProof/>
        </w:rPr>
        <w:drawing>
          <wp:inline distT="0" distB="0" distL="0" distR="0" wp14:anchorId="30AD0F62" wp14:editId="414481ED">
            <wp:extent cx="6120130" cy="5668010"/>
            <wp:effectExtent l="0" t="0" r="0" b="8890"/>
            <wp:docPr id="9" name="Picture 9" descr="This figure shows six steps for determining activities and roles at multi-jurisdiction and multi-entity sites. &#10;The first step is to determine all relevant environmental regulators for the PFAS contamination and convene a meeting. &#10;The second step involves environmental regulators engaging to identify the lead entity or entities.&#10;The third step is: using the PFAS NEMP and the ASC NEMP, environmental regulators agree a proposed set of activities and/or outcomes (i.e. the 'response') in relation to the PFAS contamination, with a focus on protecting the environment, and as a precaution, human health.&#10;In the fourth step, environmental regulators consult with the lead entity or lead entities to agree the response and how the entity or entities will split responsibilities and costs. This relates to the three priorities discussed earlier: identifying sites, investigating and assessing risks; engaging with stakeholders; and managing risks.&#10;The fifth step involves the lead entity or entities conducting the agreed response and reporting findgins to the environmental regulators.&#10;In the sixth step, new information emerges and the process starts again.  For example, if a new jurisdiction is identified, you would revisit step 1. If a new source of contamination is identified, you would revisit step 2. If investigation results, new community information or risk advice become available, you would revist step 3." title="Flow chart for determining activities and roles at multi-jurisdiction / multi-entity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668010"/>
                    </a:xfrm>
                    <a:prstGeom prst="rect">
                      <a:avLst/>
                    </a:prstGeom>
                  </pic:spPr>
                </pic:pic>
              </a:graphicData>
            </a:graphic>
          </wp:inline>
        </w:drawing>
      </w:r>
    </w:p>
    <w:p w14:paraId="76CF579C" w14:textId="0EEDB55B" w:rsidR="00065E38" w:rsidRDefault="00065E38">
      <w:pPr>
        <w:spacing w:after="160" w:line="259" w:lineRule="auto"/>
        <w:jc w:val="left"/>
      </w:pPr>
      <w:r>
        <w:br w:type="page"/>
      </w:r>
    </w:p>
    <w:tbl>
      <w:tblPr>
        <w:tblStyle w:val="TableGrid"/>
        <w:tblW w:w="0" w:type="auto"/>
        <w:shd w:val="clear" w:color="auto" w:fill="BDD6EE" w:themeFill="accent1" w:themeFillTint="66"/>
        <w:tblLook w:val="04A0" w:firstRow="1" w:lastRow="0" w:firstColumn="1" w:lastColumn="0" w:noHBand="0" w:noVBand="1"/>
        <w:tblCaption w:val="Determining the lead entity(ies)"/>
      </w:tblPr>
      <w:tblGrid>
        <w:gridCol w:w="9628"/>
      </w:tblGrid>
      <w:tr w:rsidR="007A48CE" w14:paraId="3F1C3CCB" w14:textId="77777777" w:rsidTr="00C3516F">
        <w:tc>
          <w:tcPr>
            <w:tcW w:w="96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1A46700D" w14:textId="77E7A30E" w:rsidR="007A48CE" w:rsidRPr="00CA3F66" w:rsidRDefault="007A48CE" w:rsidP="00C3516F">
            <w:pPr>
              <w:spacing w:before="120" w:after="120"/>
              <w:jc w:val="left"/>
              <w:rPr>
                <w:b/>
                <w:bCs/>
              </w:rPr>
            </w:pPr>
            <w:r w:rsidRPr="00CA3F66">
              <w:rPr>
                <w:b/>
                <w:bCs/>
              </w:rPr>
              <w:lastRenderedPageBreak/>
              <w:t>Determining the lead entity(</w:t>
            </w:r>
            <w:proofErr w:type="spellStart"/>
            <w:r>
              <w:rPr>
                <w:b/>
                <w:bCs/>
              </w:rPr>
              <w:t>ie</w:t>
            </w:r>
            <w:r w:rsidRPr="00CA3F66">
              <w:rPr>
                <w:b/>
                <w:bCs/>
              </w:rPr>
              <w:t>s</w:t>
            </w:r>
            <w:proofErr w:type="spellEnd"/>
            <w:r w:rsidRPr="00CA3F66">
              <w:rPr>
                <w:b/>
                <w:bCs/>
              </w:rPr>
              <w:t>)</w:t>
            </w:r>
          </w:p>
          <w:p w14:paraId="7B6AF777" w14:textId="70FC87CD" w:rsidR="000D6ECE" w:rsidRDefault="004D2DA3" w:rsidP="00C3516F">
            <w:pPr>
              <w:spacing w:before="120" w:after="120"/>
              <w:jc w:val="left"/>
            </w:pPr>
            <w:r>
              <w:t xml:space="preserve">The </w:t>
            </w:r>
            <w:r w:rsidR="002E7DDC">
              <w:t xml:space="preserve">relevant </w:t>
            </w:r>
            <w:r>
              <w:t>environmental regulator(s)</w:t>
            </w:r>
            <w:r w:rsidR="00ED1B17">
              <w:rPr>
                <w:rStyle w:val="FootnoteReference"/>
              </w:rPr>
              <w:footnoteReference w:id="4"/>
            </w:r>
            <w:r>
              <w:t xml:space="preserve"> </w:t>
            </w:r>
            <w:r w:rsidR="007A48CE">
              <w:t xml:space="preserve">will </w:t>
            </w:r>
            <w:r w:rsidR="00FD35E8">
              <w:t>work together to agree on</w:t>
            </w:r>
            <w:r w:rsidR="007A48CE">
              <w:t xml:space="preserve"> the lead </w:t>
            </w:r>
            <w:proofErr w:type="gramStart"/>
            <w:r w:rsidR="007A48CE">
              <w:t>entity(</w:t>
            </w:r>
            <w:proofErr w:type="spellStart"/>
            <w:proofErr w:type="gramEnd"/>
            <w:r w:rsidR="007A48CE">
              <w:t>ies</w:t>
            </w:r>
            <w:proofErr w:type="spellEnd"/>
            <w:r w:rsidR="007A48CE">
              <w:t>)</w:t>
            </w:r>
            <w:r>
              <w:t xml:space="preserve"> where contamination is identified</w:t>
            </w:r>
            <w:r w:rsidR="007A48CE">
              <w:t>.</w:t>
            </w:r>
            <w:r>
              <w:t xml:space="preserve"> </w:t>
            </w:r>
          </w:p>
          <w:p w14:paraId="51DA083A" w14:textId="5FD8E77F" w:rsidR="007A48CE" w:rsidRDefault="007A48CE" w:rsidP="00C3516F">
            <w:pPr>
              <w:spacing w:before="120" w:after="120"/>
              <w:jc w:val="left"/>
            </w:pPr>
            <w:r>
              <w:t xml:space="preserve">Unless otherwise stipulated in legislation, the environmental regulator(s) will identify known or </w:t>
            </w:r>
            <w:r w:rsidR="00F50A14">
              <w:t>potential</w:t>
            </w:r>
            <w:r>
              <w:t xml:space="preserve"> polluters, or require another party to do so. Environmental regulator(s), or the required party, should undertake a thorough analysis to ensure all potential polluters </w:t>
            </w:r>
            <w:proofErr w:type="gramStart"/>
            <w:r>
              <w:t>are identified</w:t>
            </w:r>
            <w:proofErr w:type="gramEnd"/>
            <w:r>
              <w:t xml:space="preserve">. </w:t>
            </w:r>
          </w:p>
          <w:p w14:paraId="347A84BE" w14:textId="23AEE4B7" w:rsidR="007A48CE" w:rsidRDefault="007A48CE" w:rsidP="00C3516F">
            <w:pPr>
              <w:spacing w:before="120" w:after="120"/>
              <w:jc w:val="left"/>
            </w:pPr>
            <w:r>
              <w:t xml:space="preserve">If only one entity is known </w:t>
            </w:r>
            <w:r w:rsidR="00F50A14">
              <w:t>to</w:t>
            </w:r>
            <w:r>
              <w:t xml:space="preserve"> or </w:t>
            </w:r>
            <w:r w:rsidR="00F50A14">
              <w:t>may</w:t>
            </w:r>
            <w:r>
              <w:t xml:space="preserve"> be the polluter, </w:t>
            </w:r>
            <w:r w:rsidR="00D60BA5">
              <w:t>it</w:t>
            </w:r>
            <w:r>
              <w:t xml:space="preserve"> will be </w:t>
            </w:r>
            <w:r w:rsidR="00FD35E8">
              <w:t>deemed</w:t>
            </w:r>
            <w:r>
              <w:t xml:space="preserve"> </w:t>
            </w:r>
            <w:proofErr w:type="gramStart"/>
            <w:r>
              <w:t>to be the</w:t>
            </w:r>
            <w:proofErr w:type="gramEnd"/>
            <w:r>
              <w:t xml:space="preserve"> lead entity. Where there are multiple known or </w:t>
            </w:r>
            <w:r w:rsidR="00F50A14">
              <w:t>potential</w:t>
            </w:r>
            <w:r>
              <w:t xml:space="preserve"> polluters, the polluters will have joint responsibility to lead. A polluter may agree to undertake some or all of the responsibilities of another polluter to streamline activities</w:t>
            </w:r>
            <w:r w:rsidR="002E7DDC">
              <w:t>, in consultations with the environmental regulator(s)</w:t>
            </w:r>
            <w:r>
              <w:t xml:space="preserve">. </w:t>
            </w:r>
          </w:p>
          <w:p w14:paraId="5B434789" w14:textId="4C0931D2" w:rsidR="002E7DDC" w:rsidRPr="00CA3F66" w:rsidRDefault="007A48CE" w:rsidP="002E7DDC">
            <w:pPr>
              <w:spacing w:before="120" w:after="120"/>
              <w:jc w:val="left"/>
            </w:pPr>
            <w:r>
              <w:t>Based on new information</w:t>
            </w:r>
            <w:r w:rsidR="00FD35E8">
              <w:t xml:space="preserve"> and consultation with known and potential polluters</w:t>
            </w:r>
            <w:r>
              <w:t>, the environmental regulator(s) may determine that an entity is no longer a lead entity, or that a new entity is a lead entity, at any time.</w:t>
            </w:r>
          </w:p>
        </w:tc>
      </w:tr>
    </w:tbl>
    <w:p w14:paraId="2172277D" w14:textId="53C1DB69" w:rsidR="00A12359" w:rsidRPr="00C52D1F" w:rsidRDefault="007A48CE" w:rsidP="00C52D1F">
      <w:pPr>
        <w:spacing w:after="160" w:line="240" w:lineRule="auto"/>
        <w:jc w:val="left"/>
        <w:rPr>
          <w:color w:val="1F4D78" w:themeColor="accent1" w:themeShade="7F"/>
          <w:sz w:val="24"/>
          <w:szCs w:val="24"/>
        </w:rPr>
      </w:pPr>
      <w:r>
        <w:br/>
      </w:r>
      <w:r w:rsidR="00A12359" w:rsidRPr="00C52D1F">
        <w:rPr>
          <w:color w:val="1F4D78" w:themeColor="accent1" w:themeShade="7F"/>
          <w:sz w:val="24"/>
          <w:szCs w:val="24"/>
        </w:rPr>
        <w:t xml:space="preserve">How </w:t>
      </w:r>
      <w:r w:rsidR="00BF0A52">
        <w:rPr>
          <w:color w:val="1F4D78" w:themeColor="accent1" w:themeShade="7F"/>
          <w:sz w:val="24"/>
          <w:szCs w:val="24"/>
        </w:rPr>
        <w:t xml:space="preserve">is </w:t>
      </w:r>
      <w:r w:rsidR="00FD35E8">
        <w:rPr>
          <w:color w:val="1F4D78" w:themeColor="accent1" w:themeShade="7F"/>
          <w:sz w:val="24"/>
          <w:szCs w:val="24"/>
        </w:rPr>
        <w:t xml:space="preserve">responding to </w:t>
      </w:r>
      <w:r w:rsidR="00BF0A52">
        <w:rPr>
          <w:color w:val="1F4D78" w:themeColor="accent1" w:themeShade="7F"/>
          <w:sz w:val="24"/>
          <w:szCs w:val="24"/>
        </w:rPr>
        <w:t xml:space="preserve">a </w:t>
      </w:r>
      <w:r w:rsidR="00A12359" w:rsidRPr="00C52D1F">
        <w:rPr>
          <w:color w:val="1F4D78" w:themeColor="accent1" w:themeShade="7F"/>
          <w:sz w:val="24"/>
          <w:szCs w:val="24"/>
        </w:rPr>
        <w:t>loss of containment event</w:t>
      </w:r>
      <w:r w:rsidR="00BF0A52">
        <w:rPr>
          <w:color w:val="1F4D78" w:themeColor="accent1" w:themeShade="7F"/>
          <w:sz w:val="24"/>
          <w:szCs w:val="24"/>
        </w:rPr>
        <w:t xml:space="preserve"> different to legacy contamination</w:t>
      </w:r>
      <w:r w:rsidR="00A12359" w:rsidRPr="00C52D1F">
        <w:rPr>
          <w:color w:val="1F4D78" w:themeColor="accent1" w:themeShade="7F"/>
          <w:sz w:val="24"/>
          <w:szCs w:val="24"/>
        </w:rPr>
        <w:t>?</w:t>
      </w:r>
    </w:p>
    <w:p w14:paraId="6FA8EEBF" w14:textId="0CE86CB1" w:rsidR="00A12359" w:rsidRDefault="00BF0A52" w:rsidP="00C52D1F">
      <w:pPr>
        <w:jc w:val="left"/>
        <w:rPr>
          <w:i/>
        </w:rPr>
      </w:pPr>
      <w:r>
        <w:t xml:space="preserve">The information provided in the Protocol is applicable to both loss of containment events and legacy contamination. However, where a large amount of PFAS contamination enters the environment suddenly, such as during a loss of containment event, </w:t>
      </w:r>
      <w:r w:rsidR="00A42129">
        <w:t xml:space="preserve">polluters need to take actions quickly. </w:t>
      </w:r>
      <w:r w:rsidR="00A12359" w:rsidRPr="00152821">
        <w:t>The following contact list will assist these parties to respond rapidly and involve the appropriate regulatory bodies</w:t>
      </w:r>
      <w:r w:rsidR="00082B3C">
        <w:t>, and commence the outlined actions,</w:t>
      </w:r>
      <w:r w:rsidR="00A12359" w:rsidRPr="00152821">
        <w:t xml:space="preserve"> as soon as possible</w:t>
      </w:r>
      <w:r w:rsidR="00A12359">
        <w:rPr>
          <w:i/>
        </w:rPr>
        <w:t>.</w:t>
      </w:r>
    </w:p>
    <w:p w14:paraId="13AADB33" w14:textId="62378698" w:rsidR="00A844B8" w:rsidRPr="00152821" w:rsidRDefault="00303EE0" w:rsidP="00C52D1F">
      <w:pPr>
        <w:jc w:val="left"/>
      </w:pPr>
      <w:r>
        <w:t>For</w:t>
      </w:r>
      <w:r w:rsidR="00A844B8">
        <w:t xml:space="preserve"> Commonwealth land, polluters should contact the government agency that manages the property.</w:t>
      </w:r>
    </w:p>
    <w:tbl>
      <w:tblPr>
        <w:tblStyle w:val="TableGrid"/>
        <w:tblW w:w="0" w:type="auto"/>
        <w:tblBorders>
          <w:top w:val="none" w:sz="0" w:space="0" w:color="auto"/>
          <w:left w:val="none" w:sz="0" w:space="0" w:color="auto"/>
          <w:bottom w:val="none" w:sz="0" w:space="0" w:color="auto"/>
          <w:right w:val="none" w:sz="0" w:space="0" w:color="auto"/>
          <w:insideH w:val="single" w:sz="4" w:space="0" w:color="1F4E79" w:themeColor="accent1" w:themeShade="80"/>
          <w:insideV w:val="single" w:sz="4" w:space="0" w:color="1F4E79" w:themeColor="accent1" w:themeShade="80"/>
        </w:tblBorders>
        <w:tblLook w:val="04A0" w:firstRow="1" w:lastRow="0" w:firstColumn="1" w:lastColumn="0" w:noHBand="0" w:noVBand="1"/>
        <w:tblCaption w:val="List of property managers by state/territory"/>
      </w:tblPr>
      <w:tblGrid>
        <w:gridCol w:w="4253"/>
        <w:gridCol w:w="5375"/>
      </w:tblGrid>
      <w:tr w:rsidR="00A12359" w14:paraId="39BFB6E5" w14:textId="77777777" w:rsidTr="00C52D1F">
        <w:trPr>
          <w:trHeight w:val="1077"/>
        </w:trPr>
        <w:tc>
          <w:tcPr>
            <w:tcW w:w="4253" w:type="dxa"/>
            <w:shd w:val="clear" w:color="auto" w:fill="DEEAF6" w:themeFill="accent1" w:themeFillTint="33"/>
          </w:tcPr>
          <w:p w14:paraId="326C815F" w14:textId="6C759FC2" w:rsidR="006D4B7D" w:rsidRPr="00A12359" w:rsidRDefault="006D4B7D" w:rsidP="006D4B7D">
            <w:pPr>
              <w:spacing w:before="80" w:after="80" w:line="240" w:lineRule="auto"/>
              <w:jc w:val="left"/>
              <w:rPr>
                <w:b/>
                <w:color w:val="44546A" w:themeColor="text2"/>
              </w:rPr>
            </w:pPr>
            <w:r>
              <w:rPr>
                <w:b/>
                <w:color w:val="44546A" w:themeColor="text2"/>
              </w:rPr>
              <w:t>Australian Capital Territory</w:t>
            </w:r>
          </w:p>
          <w:p w14:paraId="1BCD9843" w14:textId="1209AADC" w:rsidR="00A12359" w:rsidRPr="00A12359" w:rsidRDefault="006D4B7D" w:rsidP="00A12359">
            <w:pPr>
              <w:spacing w:before="80" w:after="80" w:line="240" w:lineRule="auto"/>
              <w:jc w:val="left"/>
              <w:rPr>
                <w:color w:val="44546A" w:themeColor="text2"/>
              </w:rPr>
            </w:pPr>
            <w:r w:rsidRPr="00A12359">
              <w:rPr>
                <w:color w:val="44546A" w:themeColor="text2"/>
              </w:rPr>
              <w:t xml:space="preserve">Pollution Hotline </w:t>
            </w:r>
            <w:r>
              <w:rPr>
                <w:color w:val="44546A" w:themeColor="text2"/>
              </w:rPr>
              <w:br/>
            </w:r>
            <w:r w:rsidRPr="00A12359">
              <w:rPr>
                <w:b/>
                <w:color w:val="44546A" w:themeColor="text2"/>
              </w:rPr>
              <w:t>13 22 81</w:t>
            </w:r>
          </w:p>
        </w:tc>
        <w:tc>
          <w:tcPr>
            <w:tcW w:w="5375" w:type="dxa"/>
            <w:shd w:val="clear" w:color="auto" w:fill="DEEAF6" w:themeFill="accent1" w:themeFillTint="33"/>
          </w:tcPr>
          <w:p w14:paraId="19850754" w14:textId="77777777" w:rsidR="006D4B7D" w:rsidRPr="00A12359" w:rsidRDefault="006D4B7D" w:rsidP="006D4B7D">
            <w:pPr>
              <w:spacing w:before="80" w:after="80" w:line="240" w:lineRule="auto"/>
              <w:jc w:val="left"/>
              <w:rPr>
                <w:b/>
                <w:color w:val="44546A" w:themeColor="text2"/>
              </w:rPr>
            </w:pPr>
            <w:r>
              <w:rPr>
                <w:b/>
                <w:color w:val="44546A" w:themeColor="text2"/>
              </w:rPr>
              <w:t>South Australia</w:t>
            </w:r>
          </w:p>
          <w:p w14:paraId="42EE394C" w14:textId="6E8651EC" w:rsidR="00B90CB3" w:rsidRDefault="006D4B7D" w:rsidP="00A12359">
            <w:pPr>
              <w:spacing w:before="80" w:after="80" w:line="240" w:lineRule="auto"/>
              <w:jc w:val="left"/>
              <w:rPr>
                <w:b/>
                <w:color w:val="44546A" w:themeColor="text2"/>
              </w:rPr>
            </w:pPr>
            <w:r w:rsidRPr="00A12359">
              <w:rPr>
                <w:color w:val="44546A" w:themeColor="text2"/>
              </w:rPr>
              <w:t>Pollution and Environ</w:t>
            </w:r>
            <w:r w:rsidR="009C597F">
              <w:rPr>
                <w:color w:val="44546A" w:themeColor="text2"/>
              </w:rPr>
              <w:t>ment Incident Reporting Hotline</w:t>
            </w:r>
            <w:r w:rsidR="009C597F">
              <w:rPr>
                <w:color w:val="44546A" w:themeColor="text2"/>
              </w:rPr>
              <w:br/>
            </w:r>
            <w:r w:rsidR="00B90CB3">
              <w:rPr>
                <w:b/>
                <w:color w:val="44546A" w:themeColor="text2"/>
              </w:rPr>
              <w:t xml:space="preserve">(08) 8204 2004 </w:t>
            </w:r>
            <w:r w:rsidR="00B90CB3" w:rsidRPr="00C52D1F">
              <w:rPr>
                <w:color w:val="44546A" w:themeColor="text2"/>
              </w:rPr>
              <w:t>(metro callers)</w:t>
            </w:r>
          </w:p>
          <w:p w14:paraId="5857C224" w14:textId="69606D80" w:rsidR="00A12359" w:rsidRPr="00A12359" w:rsidRDefault="006D4B7D" w:rsidP="00A12359">
            <w:pPr>
              <w:spacing w:before="80" w:after="80" w:line="240" w:lineRule="auto"/>
              <w:jc w:val="left"/>
              <w:rPr>
                <w:color w:val="44546A" w:themeColor="text2"/>
              </w:rPr>
            </w:pPr>
            <w:r w:rsidRPr="00A12359">
              <w:rPr>
                <w:b/>
                <w:color w:val="44546A" w:themeColor="text2"/>
              </w:rPr>
              <w:t>1800 623 445</w:t>
            </w:r>
            <w:r w:rsidRPr="00A12359">
              <w:rPr>
                <w:color w:val="44546A" w:themeColor="text2"/>
              </w:rPr>
              <w:t xml:space="preserve"> </w:t>
            </w:r>
            <w:r w:rsidR="00B90CB3">
              <w:rPr>
                <w:color w:val="44546A" w:themeColor="text2"/>
              </w:rPr>
              <w:t xml:space="preserve"> (non-metro callers)</w:t>
            </w:r>
          </w:p>
        </w:tc>
      </w:tr>
      <w:tr w:rsidR="006D4B7D" w14:paraId="5797AC17" w14:textId="77777777" w:rsidTr="00C52D1F">
        <w:trPr>
          <w:trHeight w:val="1077"/>
        </w:trPr>
        <w:tc>
          <w:tcPr>
            <w:tcW w:w="4253" w:type="dxa"/>
            <w:shd w:val="clear" w:color="auto" w:fill="BDD6EE" w:themeFill="accent1" w:themeFillTint="66"/>
          </w:tcPr>
          <w:p w14:paraId="1A198168" w14:textId="712E32EB" w:rsidR="006D4B7D" w:rsidRPr="00C61EF8" w:rsidRDefault="006D4B7D" w:rsidP="006D4B7D">
            <w:pPr>
              <w:spacing w:before="80" w:after="80" w:line="240" w:lineRule="auto"/>
              <w:jc w:val="left"/>
              <w:rPr>
                <w:rFonts w:cs="Calibri"/>
                <w:b/>
                <w:color w:val="44546A" w:themeColor="text2"/>
                <w:sz w:val="22"/>
                <w:szCs w:val="22"/>
              </w:rPr>
            </w:pPr>
            <w:r w:rsidRPr="00A12359">
              <w:rPr>
                <w:b/>
                <w:color w:val="44546A" w:themeColor="text2"/>
              </w:rPr>
              <w:t>N</w:t>
            </w:r>
            <w:r>
              <w:rPr>
                <w:b/>
                <w:color w:val="44546A" w:themeColor="text2"/>
              </w:rPr>
              <w:t>ew South Wales</w:t>
            </w:r>
          </w:p>
          <w:p w14:paraId="25CA1157" w14:textId="3ACA201E" w:rsidR="006D4B7D" w:rsidRPr="00A12359" w:rsidRDefault="006D4B7D" w:rsidP="006D4B7D">
            <w:pPr>
              <w:spacing w:before="80" w:after="80" w:line="240" w:lineRule="auto"/>
              <w:jc w:val="left"/>
              <w:rPr>
                <w:color w:val="44546A" w:themeColor="text2"/>
              </w:rPr>
            </w:pPr>
            <w:r w:rsidRPr="00A12359">
              <w:rPr>
                <w:color w:val="44546A" w:themeColor="text2"/>
              </w:rPr>
              <w:t xml:space="preserve">Environment Line </w:t>
            </w:r>
            <w:r>
              <w:rPr>
                <w:color w:val="44546A" w:themeColor="text2"/>
              </w:rPr>
              <w:br/>
            </w:r>
            <w:r w:rsidRPr="00A12359">
              <w:rPr>
                <w:b/>
                <w:color w:val="44546A" w:themeColor="text2"/>
              </w:rPr>
              <w:t>131 555</w:t>
            </w:r>
          </w:p>
        </w:tc>
        <w:tc>
          <w:tcPr>
            <w:tcW w:w="5375" w:type="dxa"/>
            <w:shd w:val="clear" w:color="auto" w:fill="BDD6EE" w:themeFill="accent1" w:themeFillTint="66"/>
          </w:tcPr>
          <w:p w14:paraId="7E39FF1C" w14:textId="77777777" w:rsidR="006D4B7D" w:rsidRPr="00A12359" w:rsidRDefault="006D4B7D" w:rsidP="006D4B7D">
            <w:pPr>
              <w:spacing w:before="80" w:after="80" w:line="240" w:lineRule="auto"/>
              <w:jc w:val="left"/>
              <w:rPr>
                <w:b/>
                <w:color w:val="44546A" w:themeColor="text2"/>
              </w:rPr>
            </w:pPr>
            <w:r>
              <w:rPr>
                <w:b/>
                <w:color w:val="44546A" w:themeColor="text2"/>
              </w:rPr>
              <w:t>Tasmania</w:t>
            </w:r>
          </w:p>
          <w:p w14:paraId="512A1C97" w14:textId="6991AB41" w:rsidR="006D4B7D" w:rsidRPr="00A12359" w:rsidRDefault="006D4B7D" w:rsidP="006D4B7D">
            <w:pPr>
              <w:spacing w:before="80" w:after="80" w:line="240" w:lineRule="auto"/>
              <w:jc w:val="left"/>
              <w:rPr>
                <w:color w:val="44546A" w:themeColor="text2"/>
              </w:rPr>
            </w:pPr>
            <w:r w:rsidRPr="00A12359">
              <w:rPr>
                <w:color w:val="44546A" w:themeColor="text2"/>
              </w:rPr>
              <w:t>Poll</w:t>
            </w:r>
            <w:r w:rsidR="009C597F">
              <w:rPr>
                <w:color w:val="44546A" w:themeColor="text2"/>
              </w:rPr>
              <w:t xml:space="preserve">ution Incidents and Complaints </w:t>
            </w:r>
            <w:r w:rsidRPr="00A12359">
              <w:rPr>
                <w:color w:val="44546A" w:themeColor="text2"/>
              </w:rPr>
              <w:t>Hotline</w:t>
            </w:r>
            <w:r w:rsidR="009C597F">
              <w:rPr>
                <w:color w:val="44546A" w:themeColor="text2"/>
              </w:rPr>
              <w:br/>
            </w:r>
            <w:r w:rsidRPr="00A12359">
              <w:rPr>
                <w:b/>
                <w:color w:val="44546A" w:themeColor="text2"/>
              </w:rPr>
              <w:t>1800 005 171</w:t>
            </w:r>
          </w:p>
        </w:tc>
      </w:tr>
      <w:tr w:rsidR="006D4B7D" w14:paraId="1D341AD2" w14:textId="77777777" w:rsidTr="00C52D1F">
        <w:trPr>
          <w:trHeight w:val="1077"/>
        </w:trPr>
        <w:tc>
          <w:tcPr>
            <w:tcW w:w="4253" w:type="dxa"/>
            <w:shd w:val="clear" w:color="auto" w:fill="DEEAF6" w:themeFill="accent1" w:themeFillTint="33"/>
          </w:tcPr>
          <w:p w14:paraId="013465EA" w14:textId="77777777" w:rsidR="006D4B7D" w:rsidRPr="00A12359" w:rsidRDefault="006D4B7D" w:rsidP="006D4B7D">
            <w:pPr>
              <w:spacing w:before="80" w:after="80" w:line="240" w:lineRule="auto"/>
              <w:jc w:val="left"/>
              <w:rPr>
                <w:b/>
                <w:color w:val="44546A" w:themeColor="text2"/>
              </w:rPr>
            </w:pPr>
            <w:r>
              <w:rPr>
                <w:b/>
                <w:color w:val="44546A" w:themeColor="text2"/>
              </w:rPr>
              <w:t>Northern Territory</w:t>
            </w:r>
          </w:p>
          <w:p w14:paraId="6E93A0C2" w14:textId="1B68E85A" w:rsidR="006D4B7D" w:rsidRPr="00A12359" w:rsidRDefault="006D4B7D" w:rsidP="006D4B7D">
            <w:pPr>
              <w:spacing w:before="80" w:after="80" w:line="240" w:lineRule="auto"/>
              <w:jc w:val="left"/>
              <w:rPr>
                <w:color w:val="44546A" w:themeColor="text2"/>
              </w:rPr>
            </w:pPr>
            <w:r w:rsidRPr="00A12359">
              <w:rPr>
                <w:color w:val="44546A" w:themeColor="text2"/>
              </w:rPr>
              <w:t xml:space="preserve">Pollution Hotline </w:t>
            </w:r>
            <w:r>
              <w:rPr>
                <w:color w:val="44546A" w:themeColor="text2"/>
              </w:rPr>
              <w:br/>
            </w:r>
            <w:r w:rsidRPr="00A12359">
              <w:rPr>
                <w:b/>
                <w:color w:val="44546A" w:themeColor="text2"/>
              </w:rPr>
              <w:t>1800 064 567</w:t>
            </w:r>
          </w:p>
        </w:tc>
        <w:tc>
          <w:tcPr>
            <w:tcW w:w="5375" w:type="dxa"/>
            <w:shd w:val="clear" w:color="auto" w:fill="DEEAF6" w:themeFill="accent1" w:themeFillTint="33"/>
          </w:tcPr>
          <w:p w14:paraId="15BE3125" w14:textId="77777777" w:rsidR="006D4B7D" w:rsidRPr="00A12359" w:rsidRDefault="006D4B7D" w:rsidP="006D4B7D">
            <w:pPr>
              <w:spacing w:before="80" w:after="80" w:line="240" w:lineRule="auto"/>
              <w:jc w:val="left"/>
              <w:rPr>
                <w:b/>
                <w:color w:val="44546A" w:themeColor="text2"/>
              </w:rPr>
            </w:pPr>
            <w:r>
              <w:rPr>
                <w:b/>
                <w:color w:val="44546A" w:themeColor="text2"/>
              </w:rPr>
              <w:t>Victoria</w:t>
            </w:r>
          </w:p>
          <w:p w14:paraId="63B47688" w14:textId="05B9A292" w:rsidR="006D4B7D" w:rsidRPr="00A12359" w:rsidRDefault="006D4B7D" w:rsidP="006D4B7D">
            <w:pPr>
              <w:spacing w:before="80" w:after="80" w:line="240" w:lineRule="auto"/>
              <w:jc w:val="left"/>
              <w:rPr>
                <w:color w:val="44546A" w:themeColor="text2"/>
              </w:rPr>
            </w:pPr>
            <w:r w:rsidRPr="00A12359">
              <w:rPr>
                <w:color w:val="44546A" w:themeColor="text2"/>
              </w:rPr>
              <w:t xml:space="preserve">Pollution Hotline </w:t>
            </w:r>
            <w:r>
              <w:rPr>
                <w:color w:val="44546A" w:themeColor="text2"/>
              </w:rPr>
              <w:br/>
            </w:r>
            <w:r w:rsidRPr="00A12359">
              <w:rPr>
                <w:b/>
                <w:color w:val="44546A" w:themeColor="text2"/>
              </w:rPr>
              <w:t>1300 372 842</w:t>
            </w:r>
          </w:p>
        </w:tc>
      </w:tr>
      <w:tr w:rsidR="006D4B7D" w14:paraId="4B74130C" w14:textId="77777777" w:rsidTr="00C52D1F">
        <w:trPr>
          <w:trHeight w:val="1077"/>
        </w:trPr>
        <w:tc>
          <w:tcPr>
            <w:tcW w:w="4253" w:type="dxa"/>
            <w:shd w:val="clear" w:color="auto" w:fill="BDD6EE" w:themeFill="accent1" w:themeFillTint="66"/>
          </w:tcPr>
          <w:p w14:paraId="07757C7A" w14:textId="77777777" w:rsidR="006D4B7D" w:rsidRPr="00A12359" w:rsidRDefault="006D4B7D" w:rsidP="006D4B7D">
            <w:pPr>
              <w:spacing w:before="80" w:after="80" w:line="240" w:lineRule="auto"/>
              <w:jc w:val="left"/>
              <w:rPr>
                <w:b/>
                <w:color w:val="44546A" w:themeColor="text2"/>
              </w:rPr>
            </w:pPr>
            <w:r w:rsidRPr="00A12359">
              <w:rPr>
                <w:b/>
                <w:color w:val="44546A" w:themeColor="text2"/>
              </w:rPr>
              <w:t>Queensland</w:t>
            </w:r>
          </w:p>
          <w:p w14:paraId="5727920B" w14:textId="727FE78C" w:rsidR="006D4B7D" w:rsidRPr="00A12359" w:rsidRDefault="006D4B7D" w:rsidP="006D4B7D">
            <w:pPr>
              <w:spacing w:before="80" w:after="80" w:line="240" w:lineRule="auto"/>
              <w:jc w:val="left"/>
              <w:rPr>
                <w:color w:val="44546A" w:themeColor="text2"/>
              </w:rPr>
            </w:pPr>
            <w:r w:rsidRPr="00A12359">
              <w:rPr>
                <w:color w:val="44546A" w:themeColor="text2"/>
              </w:rPr>
              <w:t xml:space="preserve">Pollution Hotline </w:t>
            </w:r>
            <w:r>
              <w:rPr>
                <w:color w:val="44546A" w:themeColor="text2"/>
              </w:rPr>
              <w:br/>
            </w:r>
            <w:r w:rsidRPr="00A12359">
              <w:rPr>
                <w:b/>
                <w:color w:val="44546A" w:themeColor="text2"/>
              </w:rPr>
              <w:t>1300 130 372</w:t>
            </w:r>
          </w:p>
        </w:tc>
        <w:tc>
          <w:tcPr>
            <w:tcW w:w="5375" w:type="dxa"/>
            <w:shd w:val="clear" w:color="auto" w:fill="BDD6EE" w:themeFill="accent1" w:themeFillTint="66"/>
          </w:tcPr>
          <w:p w14:paraId="42476D68" w14:textId="77777777" w:rsidR="006D4B7D" w:rsidRPr="00A12359" w:rsidRDefault="006D4B7D" w:rsidP="006D4B7D">
            <w:pPr>
              <w:spacing w:before="80" w:after="80" w:line="240" w:lineRule="auto"/>
              <w:jc w:val="left"/>
              <w:rPr>
                <w:b/>
                <w:color w:val="44546A" w:themeColor="text2"/>
              </w:rPr>
            </w:pPr>
            <w:r>
              <w:rPr>
                <w:b/>
                <w:color w:val="44546A" w:themeColor="text2"/>
              </w:rPr>
              <w:t>Western Australia</w:t>
            </w:r>
          </w:p>
          <w:p w14:paraId="1DE3E926" w14:textId="3A692040" w:rsidR="006D4B7D" w:rsidRPr="00A12359" w:rsidRDefault="006D4B7D" w:rsidP="006D4B7D">
            <w:pPr>
              <w:spacing w:before="80" w:after="80" w:line="240" w:lineRule="auto"/>
              <w:jc w:val="left"/>
              <w:rPr>
                <w:i/>
                <w:color w:val="44546A" w:themeColor="text2"/>
              </w:rPr>
            </w:pPr>
            <w:r w:rsidRPr="00A12359">
              <w:rPr>
                <w:color w:val="44546A" w:themeColor="text2"/>
              </w:rPr>
              <w:t xml:space="preserve">Pollution Watch Hotline </w:t>
            </w:r>
            <w:r>
              <w:rPr>
                <w:color w:val="44546A" w:themeColor="text2"/>
              </w:rPr>
              <w:br/>
            </w:r>
            <w:r w:rsidRPr="00A12359">
              <w:rPr>
                <w:b/>
                <w:color w:val="44546A" w:themeColor="text2"/>
              </w:rPr>
              <w:t>1300 784 782</w:t>
            </w:r>
          </w:p>
        </w:tc>
      </w:tr>
      <w:tr w:rsidR="00C52D1F" w14:paraId="04F70274" w14:textId="77777777" w:rsidTr="00140F75">
        <w:trPr>
          <w:trHeight w:val="822"/>
        </w:trPr>
        <w:tc>
          <w:tcPr>
            <w:tcW w:w="9628" w:type="dxa"/>
            <w:gridSpan w:val="2"/>
            <w:shd w:val="clear" w:color="auto" w:fill="BDD6EE" w:themeFill="accent1" w:themeFillTint="66"/>
          </w:tcPr>
          <w:p w14:paraId="60645AA9" w14:textId="77777777" w:rsidR="00C52D1F" w:rsidRPr="00C4672B" w:rsidRDefault="00C52D1F" w:rsidP="00140F75">
            <w:pPr>
              <w:spacing w:before="80" w:after="80" w:line="240" w:lineRule="auto"/>
              <w:jc w:val="left"/>
              <w:rPr>
                <w:color w:val="44546A" w:themeColor="text2"/>
              </w:rPr>
            </w:pPr>
            <w:r>
              <w:rPr>
                <w:b/>
                <w:color w:val="44546A" w:themeColor="text2"/>
              </w:rPr>
              <w:t xml:space="preserve">Commonwealth: </w:t>
            </w:r>
            <w:r w:rsidRPr="00C4672B">
              <w:rPr>
                <w:color w:val="44546A" w:themeColor="text2"/>
              </w:rPr>
              <w:t xml:space="preserve">Where </w:t>
            </w:r>
            <w:r>
              <w:rPr>
                <w:color w:val="44546A" w:themeColor="text2"/>
              </w:rPr>
              <w:t>Australian Government</w:t>
            </w:r>
            <w:r w:rsidRPr="00C4672B">
              <w:rPr>
                <w:color w:val="44546A" w:themeColor="text2"/>
              </w:rPr>
              <w:t xml:space="preserve"> entities are involved, the relevant agency/</w:t>
            </w:r>
            <w:proofErr w:type="spellStart"/>
            <w:r w:rsidRPr="00C4672B">
              <w:rPr>
                <w:color w:val="44546A" w:themeColor="text2"/>
              </w:rPr>
              <w:t>ies</w:t>
            </w:r>
            <w:proofErr w:type="spellEnd"/>
            <w:r w:rsidRPr="00C4672B">
              <w:rPr>
                <w:color w:val="44546A" w:themeColor="text2"/>
              </w:rPr>
              <w:t xml:space="preserve"> (e.g. Defence, Infrastructure, </w:t>
            </w:r>
            <w:proofErr w:type="spellStart"/>
            <w:r w:rsidRPr="00C4672B">
              <w:rPr>
                <w:color w:val="44546A" w:themeColor="text2"/>
              </w:rPr>
              <w:t>Airservices</w:t>
            </w:r>
            <w:proofErr w:type="spellEnd"/>
            <w:r w:rsidRPr="00C4672B">
              <w:rPr>
                <w:color w:val="44546A" w:themeColor="text2"/>
              </w:rPr>
              <w:t xml:space="preserve">, </w:t>
            </w:r>
            <w:proofErr w:type="gramStart"/>
            <w:r w:rsidRPr="00C4672B">
              <w:rPr>
                <w:color w:val="44546A" w:themeColor="text2"/>
              </w:rPr>
              <w:t>Environment</w:t>
            </w:r>
            <w:proofErr w:type="gramEnd"/>
            <w:r w:rsidRPr="00C4672B">
              <w:rPr>
                <w:color w:val="44546A" w:themeColor="text2"/>
              </w:rPr>
              <w:t>) should be contacted through the usual channels</w:t>
            </w:r>
            <w:r>
              <w:rPr>
                <w:color w:val="44546A" w:themeColor="text2"/>
              </w:rPr>
              <w:t>.</w:t>
            </w:r>
          </w:p>
        </w:tc>
      </w:tr>
    </w:tbl>
    <w:p w14:paraId="6193C056" w14:textId="5A78CD01" w:rsidR="00A02EEE" w:rsidRDefault="00A02EEE" w:rsidP="00A02EEE">
      <w:pPr>
        <w:pStyle w:val="Heading2"/>
        <w:spacing w:before="240" w:after="240"/>
        <w:jc w:val="left"/>
      </w:pPr>
      <w:r>
        <w:lastRenderedPageBreak/>
        <w:t xml:space="preserve">Priority: </w:t>
      </w:r>
      <w:r w:rsidRPr="008E7519">
        <w:t xml:space="preserve">Engage with </w:t>
      </w:r>
      <w:r>
        <w:t>stakeholders</w:t>
      </w:r>
    </w:p>
    <w:p w14:paraId="7C468193" w14:textId="2AD71AC2" w:rsidR="00A02EEE" w:rsidRPr="008E3A0E" w:rsidRDefault="000D6ECE" w:rsidP="00A02EEE">
      <w:pPr>
        <w:spacing w:before="240"/>
        <w:ind w:left="1418"/>
        <w:jc w:val="left"/>
      </w:pPr>
      <w:r w:rsidRPr="008E3A0E">
        <w:rPr>
          <w:noProof/>
        </w:rPr>
        <w:drawing>
          <wp:anchor distT="0" distB="0" distL="114300" distR="114300" simplePos="0" relativeHeight="251658241" behindDoc="0" locked="0" layoutInCell="1" allowOverlap="1" wp14:anchorId="064F7C3E" wp14:editId="02264BF5">
            <wp:simplePos x="0" y="0"/>
            <wp:positionH relativeFrom="margin">
              <wp:align>left</wp:align>
            </wp:positionH>
            <wp:positionV relativeFrom="margin">
              <wp:posOffset>330200</wp:posOffset>
            </wp:positionV>
            <wp:extent cx="744855" cy="7486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jpg"/>
                    <pic:cNvPicPr/>
                  </pic:nvPicPr>
                  <pic:blipFill>
                    <a:blip r:embed="rId15">
                      <a:extLst>
                        <a:ext uri="{28A0092B-C50C-407E-A947-70E740481C1C}">
                          <a14:useLocalDpi xmlns:a14="http://schemas.microsoft.com/office/drawing/2010/main" val="0"/>
                        </a:ext>
                      </a:extLst>
                    </a:blip>
                    <a:stretch>
                      <a:fillRect/>
                    </a:stretch>
                  </pic:blipFill>
                  <pic:spPr>
                    <a:xfrm>
                      <a:off x="0" y="0"/>
                      <a:ext cx="744855" cy="748665"/>
                    </a:xfrm>
                    <a:prstGeom prst="rect">
                      <a:avLst/>
                    </a:prstGeom>
                  </pic:spPr>
                </pic:pic>
              </a:graphicData>
            </a:graphic>
            <wp14:sizeRelH relativeFrom="margin">
              <wp14:pctWidth>0</wp14:pctWidth>
            </wp14:sizeRelH>
            <wp14:sizeRelV relativeFrom="margin">
              <wp14:pctHeight>0</wp14:pctHeight>
            </wp14:sizeRelV>
          </wp:anchor>
        </w:drawing>
      </w:r>
      <w:r w:rsidR="00A02EEE" w:rsidRPr="008E3A0E">
        <w:t xml:space="preserve">Engaging with </w:t>
      </w:r>
      <w:r w:rsidR="000E3ED7">
        <w:t xml:space="preserve">local communities and </w:t>
      </w:r>
      <w:r w:rsidR="00A02EEE" w:rsidRPr="008E3A0E">
        <w:t xml:space="preserve">stakeholders is a critical part of responding to PFAS contamination. </w:t>
      </w:r>
      <w:r w:rsidR="000E3ED7">
        <w:t xml:space="preserve">Timely, open, transparent </w:t>
      </w:r>
      <w:r w:rsidR="00A02EEE">
        <w:t xml:space="preserve">and consistent </w:t>
      </w:r>
      <w:r w:rsidR="000E3ED7">
        <w:t>communication is essential to share information, address concerns, explain actions, and advise on risk management actions</w:t>
      </w:r>
      <w:r w:rsidR="00A02EEE">
        <w:t xml:space="preserve">. This </w:t>
      </w:r>
      <w:proofErr w:type="gramStart"/>
      <w:r w:rsidR="00A02EEE">
        <w:t>should be undertaken</w:t>
      </w:r>
      <w:proofErr w:type="gramEnd"/>
      <w:r w:rsidR="00A02EEE">
        <w:t xml:space="preserve"> in accordance with the </w:t>
      </w:r>
      <w:r w:rsidR="00972037">
        <w:t xml:space="preserve">PFAS </w:t>
      </w:r>
      <w:r w:rsidR="00A02EEE">
        <w:t>Information Sharing, Communication and Engagement Guideli</w:t>
      </w:r>
      <w:r w:rsidR="00B00AD7">
        <w:t>nes (Appendix C to the National Framework for Responding to PFAS Contamination</w:t>
      </w:r>
      <w:r w:rsidR="00A02EEE">
        <w:t>)</w:t>
      </w:r>
      <w:r w:rsidR="00A02EEE" w:rsidRPr="008E3A0E">
        <w:t>. This is an ongoing activity at all stages of responding to PFAS contamination.</w:t>
      </w:r>
    </w:p>
    <w:p w14:paraId="7F6599DD" w14:textId="46644A1A" w:rsidR="000D6ECE" w:rsidRDefault="000D6ECE" w:rsidP="000D6ECE">
      <w:pPr>
        <w:pStyle w:val="Heading3"/>
      </w:pPr>
      <w:r>
        <w:t xml:space="preserve">What are the </w:t>
      </w:r>
      <w:r w:rsidR="00FD35E8">
        <w:t>roles</w:t>
      </w:r>
      <w:r>
        <w:t xml:space="preserve"> of the </w:t>
      </w:r>
      <w:r w:rsidR="00C96A95">
        <w:t>key</w:t>
      </w:r>
      <w:r>
        <w:t xml:space="preserve"> entities?</w:t>
      </w:r>
    </w:p>
    <w:tbl>
      <w:tblPr>
        <w:tblStyle w:val="ListTable2-Accent5"/>
        <w:tblW w:w="5000" w:type="pct"/>
        <w:tblLook w:val="0480" w:firstRow="0" w:lastRow="0" w:firstColumn="1" w:lastColumn="0" w:noHBand="0" w:noVBand="1"/>
        <w:tblCaption w:val="What are the roles of the key entities?"/>
      </w:tblPr>
      <w:tblGrid>
        <w:gridCol w:w="2695"/>
        <w:gridCol w:w="6943"/>
      </w:tblGrid>
      <w:tr w:rsidR="000D6ECE" w14:paraId="25C98769"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14:paraId="7DB9D4B6" w14:textId="77777777" w:rsidR="000D6ECE" w:rsidRPr="003071E7" w:rsidRDefault="000D6ECE" w:rsidP="00C52D1F">
            <w:pPr>
              <w:spacing w:before="100" w:after="100" w:line="240" w:lineRule="auto"/>
              <w:jc w:val="left"/>
              <w:rPr>
                <w:b w:val="0"/>
              </w:rPr>
            </w:pPr>
            <w:r>
              <w:t>Lead entity(</w:t>
            </w:r>
            <w:proofErr w:type="spellStart"/>
            <w:r>
              <w:t>ies</w:t>
            </w:r>
            <w:proofErr w:type="spellEnd"/>
            <w:r>
              <w:t>)</w:t>
            </w:r>
          </w:p>
        </w:tc>
        <w:tc>
          <w:tcPr>
            <w:tcW w:w="3602" w:type="pct"/>
          </w:tcPr>
          <w:p w14:paraId="5D225602" w14:textId="4F2A59D1" w:rsidR="000D6ECE" w:rsidRPr="00ED1B17" w:rsidRDefault="000D6ECE"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Lead prompt, open and transparent stakeholder engagement about responding to PFAS contamination.</w:t>
            </w:r>
          </w:p>
          <w:p w14:paraId="094A695D" w14:textId="545B4FB5" w:rsidR="000D6ECE" w:rsidRPr="00ED1B17" w:rsidRDefault="000D6ECE"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 xml:space="preserve">Share information and data about investigations, risk management and planned engagement activities with relevant environmental regulator(s), health, </w:t>
            </w:r>
            <w:r w:rsidR="00567B9F" w:rsidRPr="00ED1B17">
              <w:t xml:space="preserve">food, </w:t>
            </w:r>
            <w:r w:rsidRPr="00ED1B17">
              <w:t xml:space="preserve">primary industry and agriculture </w:t>
            </w:r>
            <w:r w:rsidR="00E84089" w:rsidRPr="00ED1B17">
              <w:t>agencies</w:t>
            </w:r>
            <w:r w:rsidRPr="00ED1B17">
              <w:t xml:space="preserve">, other key agencies and relevant entities. </w:t>
            </w:r>
          </w:p>
          <w:p w14:paraId="06B8D813" w14:textId="535CF96D" w:rsidR="000D6ECE" w:rsidRPr="00ED1B17" w:rsidRDefault="000D6ECE"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Seek and consider advice from relevant environmental regulator(s), health, primary industry and agriculture departments</w:t>
            </w:r>
            <w:r w:rsidR="00401025" w:rsidRPr="00ED1B17">
              <w:t>,</w:t>
            </w:r>
            <w:r w:rsidRPr="00ED1B17">
              <w:t xml:space="preserve"> other relevant entities (e.g. government land lessees)</w:t>
            </w:r>
            <w:r w:rsidR="00401025" w:rsidRPr="00ED1B17">
              <w:t xml:space="preserve"> and expert advisers</w:t>
            </w:r>
            <w:r w:rsidRPr="00ED1B17">
              <w:t xml:space="preserve"> on engagement activities.</w:t>
            </w:r>
          </w:p>
          <w:p w14:paraId="7C4608B8" w14:textId="77777777" w:rsidR="000D6ECE" w:rsidRDefault="000D6ECE" w:rsidP="00C52D1F">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rsidRPr="00ED1B17">
              <w:t>Engage with communities potentially affected by PFAS contamination and key influencers.</w:t>
            </w:r>
          </w:p>
        </w:tc>
      </w:tr>
      <w:tr w:rsidR="000D6ECE" w14:paraId="1651B44B" w14:textId="77777777" w:rsidTr="00C52D1F">
        <w:tc>
          <w:tcPr>
            <w:cnfStyle w:val="001000000000" w:firstRow="0" w:lastRow="0" w:firstColumn="1" w:lastColumn="0" w:oddVBand="0" w:evenVBand="0" w:oddHBand="0" w:evenHBand="0" w:firstRowFirstColumn="0" w:firstRowLastColumn="0" w:lastRowFirstColumn="0" w:lastRowLastColumn="0"/>
            <w:tcW w:w="1398" w:type="pct"/>
          </w:tcPr>
          <w:p w14:paraId="3F5C97B1" w14:textId="6FC788C9" w:rsidR="000D6ECE" w:rsidRDefault="000D6ECE" w:rsidP="00C52D1F">
            <w:pPr>
              <w:spacing w:before="100" w:after="100" w:line="240" w:lineRule="auto"/>
              <w:jc w:val="left"/>
            </w:pPr>
            <w:r>
              <w:t>Environmental regulator(s) of the relevant jurisdiction(s)</w:t>
            </w:r>
            <w:r w:rsidR="00ED1B17">
              <w:rPr>
                <w:rStyle w:val="FootnoteReference"/>
              </w:rPr>
              <w:footnoteReference w:id="5"/>
            </w:r>
          </w:p>
        </w:tc>
        <w:tc>
          <w:tcPr>
            <w:tcW w:w="3602" w:type="pct"/>
          </w:tcPr>
          <w:p w14:paraId="5E344541" w14:textId="77777777" w:rsidR="000D6ECE" w:rsidRDefault="000D6ECE"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 xml:space="preserve">Advise the lead </w:t>
            </w:r>
            <w:proofErr w:type="gramStart"/>
            <w:r>
              <w:t>entity(</w:t>
            </w:r>
            <w:proofErr w:type="spellStart"/>
            <w:proofErr w:type="gramEnd"/>
            <w:r>
              <w:t>ies</w:t>
            </w:r>
            <w:proofErr w:type="spellEnd"/>
            <w:r>
              <w:t>) and stakeholders affected by PFAS contamination about regulatory activities and possible environmental impacts as appropriate.</w:t>
            </w:r>
          </w:p>
        </w:tc>
      </w:tr>
      <w:tr w:rsidR="000D6ECE" w14:paraId="6215A5E7"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14:paraId="577E6761" w14:textId="3D325B88" w:rsidR="000D6ECE" w:rsidRDefault="000D6ECE" w:rsidP="00C52D1F">
            <w:pPr>
              <w:spacing w:before="100" w:after="100" w:line="240" w:lineRule="auto"/>
              <w:jc w:val="left"/>
            </w:pPr>
            <w:r>
              <w:t xml:space="preserve">Health, </w:t>
            </w:r>
            <w:r w:rsidR="00567B9F">
              <w:t xml:space="preserve">food, </w:t>
            </w:r>
            <w:r>
              <w:t xml:space="preserve">primary industry and agriculture </w:t>
            </w:r>
            <w:r w:rsidR="00E84089">
              <w:t>agencies</w:t>
            </w:r>
            <w:r>
              <w:t xml:space="preserve"> of the relevant jurisdiction(s)</w:t>
            </w:r>
          </w:p>
        </w:tc>
        <w:tc>
          <w:tcPr>
            <w:tcW w:w="3602" w:type="pct"/>
          </w:tcPr>
          <w:p w14:paraId="2750CEAE" w14:textId="408DFCB4" w:rsidR="000D6ECE" w:rsidRDefault="00886D44" w:rsidP="00CA3DFE">
            <w:pPr>
              <w:spacing w:before="100" w:after="100" w:line="240" w:lineRule="auto"/>
              <w:jc w:val="left"/>
              <w:cnfStyle w:val="000000100000" w:firstRow="0" w:lastRow="0" w:firstColumn="0" w:lastColumn="0" w:oddVBand="0" w:evenVBand="0" w:oddHBand="1" w:evenHBand="0" w:firstRowFirstColumn="0" w:firstRowLastColumn="0" w:lastRowFirstColumn="0" w:lastRowLastColumn="0"/>
            </w:pPr>
            <w:r>
              <w:t>Support</w:t>
            </w:r>
            <w:r w:rsidR="000D6ECE">
              <w:t xml:space="preserve"> the lead </w:t>
            </w:r>
            <w:proofErr w:type="gramStart"/>
            <w:r w:rsidR="000D6ECE">
              <w:t>entity(</w:t>
            </w:r>
            <w:proofErr w:type="spellStart"/>
            <w:proofErr w:type="gramEnd"/>
            <w:r w:rsidR="000D6ECE">
              <w:t>ies</w:t>
            </w:r>
            <w:proofErr w:type="spellEnd"/>
            <w:r w:rsidR="000D6ECE">
              <w:t>) and stakeholders affected by PFAS contamination</w:t>
            </w:r>
            <w:r w:rsidR="00CA3DFE">
              <w:t xml:space="preserve"> by providing advice</w:t>
            </w:r>
            <w:r w:rsidR="000D6ECE">
              <w:t xml:space="preserve"> on matters including</w:t>
            </w:r>
            <w:r w:rsidR="00F977C0">
              <w:t xml:space="preserve"> health,</w:t>
            </w:r>
            <w:r w:rsidR="000D6ECE">
              <w:t xml:space="preserve"> human health risk assessments, hydrology, food, trade and market access, as appropriate, in consultation with relevant environmental regulator(s).</w:t>
            </w:r>
          </w:p>
        </w:tc>
      </w:tr>
      <w:tr w:rsidR="00187AE6" w14:paraId="11695CF3" w14:textId="77777777" w:rsidTr="00C52D1F">
        <w:tc>
          <w:tcPr>
            <w:cnfStyle w:val="001000000000" w:firstRow="0" w:lastRow="0" w:firstColumn="1" w:lastColumn="0" w:oddVBand="0" w:evenVBand="0" w:oddHBand="0" w:evenHBand="0" w:firstRowFirstColumn="0" w:firstRowLastColumn="0" w:lastRowFirstColumn="0" w:lastRowLastColumn="0"/>
            <w:tcW w:w="1398" w:type="pct"/>
          </w:tcPr>
          <w:p w14:paraId="0696DA2F" w14:textId="437602AF" w:rsidR="00187AE6" w:rsidRDefault="000E3ED7" w:rsidP="00C52D1F">
            <w:pPr>
              <w:spacing w:before="100" w:after="100" w:line="240" w:lineRule="auto"/>
              <w:jc w:val="left"/>
            </w:pPr>
            <w:r>
              <w:t>First Minister(s’) department(s)</w:t>
            </w:r>
          </w:p>
        </w:tc>
        <w:tc>
          <w:tcPr>
            <w:tcW w:w="3602" w:type="pct"/>
          </w:tcPr>
          <w:p w14:paraId="4BD88F00" w14:textId="096704AF" w:rsidR="00187AE6" w:rsidRDefault="00B90CB3"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Monitor</w:t>
            </w:r>
            <w:r w:rsidR="000E3ED7">
              <w:t xml:space="preserve"> and, where necessary, </w:t>
            </w:r>
            <w:r w:rsidR="00262F5E">
              <w:t>facilitate</w:t>
            </w:r>
            <w:r w:rsidR="000E3ED7">
              <w:t xml:space="preserve"> participation in engagement activities.</w:t>
            </w:r>
          </w:p>
          <w:p w14:paraId="643CF3FF" w14:textId="746A139F" w:rsidR="00262F5E" w:rsidRDefault="00262F5E" w:rsidP="00C52D1F">
            <w:pPr>
              <w:spacing w:before="100" w:after="100" w:line="240" w:lineRule="auto"/>
              <w:jc w:val="left"/>
              <w:cnfStyle w:val="000000000000" w:firstRow="0" w:lastRow="0" w:firstColumn="0" w:lastColumn="0" w:oddVBand="0" w:evenVBand="0" w:oddHBand="0" w:evenHBand="0" w:firstRowFirstColumn="0" w:firstRowLastColumn="0" w:lastRowFirstColumn="0" w:lastRowLastColumn="0"/>
            </w:pPr>
            <w:r>
              <w:t>Work with other jurisdictions to facilitate consistency.</w:t>
            </w:r>
          </w:p>
        </w:tc>
      </w:tr>
    </w:tbl>
    <w:p w14:paraId="093200CB" w14:textId="77777777" w:rsidR="000D6ECE" w:rsidRDefault="000D6ECE" w:rsidP="00C52D1F">
      <w:pPr>
        <w:rPr>
          <w:rFonts w:asciiTheme="majorHAnsi" w:eastAsiaTheme="majorEastAsia" w:hAnsiTheme="majorHAnsi" w:cstheme="majorBidi"/>
          <w:color w:val="2E74B5" w:themeColor="accent1" w:themeShade="BF"/>
          <w:sz w:val="26"/>
          <w:szCs w:val="26"/>
        </w:rPr>
      </w:pPr>
      <w:r>
        <w:br w:type="page"/>
      </w:r>
    </w:p>
    <w:p w14:paraId="37E5D88B" w14:textId="2DE93815" w:rsidR="00A02EEE" w:rsidRDefault="00A02EEE" w:rsidP="00A02EEE">
      <w:pPr>
        <w:pStyle w:val="Heading2"/>
        <w:spacing w:before="240" w:after="240"/>
        <w:jc w:val="left"/>
      </w:pPr>
      <w:r>
        <w:lastRenderedPageBreak/>
        <w:t xml:space="preserve">Priority: </w:t>
      </w:r>
      <w:r w:rsidRPr="008E7519">
        <w:t>M</w:t>
      </w:r>
      <w:r>
        <w:t>anage risks</w:t>
      </w:r>
    </w:p>
    <w:p w14:paraId="79E9FCD5" w14:textId="5B34DB60" w:rsidR="000E3ED7" w:rsidRDefault="000E3ED7" w:rsidP="00A20673">
      <w:pPr>
        <w:pStyle w:val="ScheduleNumberedPara"/>
        <w:numPr>
          <w:ilvl w:val="0"/>
          <w:numId w:val="0"/>
        </w:numPr>
        <w:spacing w:before="240"/>
        <w:ind w:left="1440"/>
        <w:jc w:val="left"/>
        <w:rPr>
          <w:rFonts w:ascii="Corbel" w:hAnsi="Corbel"/>
        </w:rPr>
      </w:pPr>
      <w:r w:rsidRPr="008E3A0E">
        <w:rPr>
          <w:rFonts w:ascii="Corbel" w:hAnsi="Corbel"/>
          <w:b/>
          <w:noProof/>
          <w:color w:val="44546A" w:themeColor="text2"/>
        </w:rPr>
        <w:drawing>
          <wp:anchor distT="0" distB="0" distL="114300" distR="114300" simplePos="0" relativeHeight="251658242" behindDoc="0" locked="0" layoutInCell="1" allowOverlap="1" wp14:anchorId="5C4B03D3" wp14:editId="0DE0DCC7">
            <wp:simplePos x="0" y="0"/>
            <wp:positionH relativeFrom="margin">
              <wp:align>left</wp:align>
            </wp:positionH>
            <wp:positionV relativeFrom="margin">
              <wp:posOffset>331470</wp:posOffset>
            </wp:positionV>
            <wp:extent cx="749300" cy="7924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jpg"/>
                    <pic:cNvPicPr/>
                  </pic:nvPicPr>
                  <pic:blipFill>
                    <a:blip r:embed="rId16">
                      <a:extLst>
                        <a:ext uri="{28A0092B-C50C-407E-A947-70E740481C1C}">
                          <a14:useLocalDpi xmlns:a14="http://schemas.microsoft.com/office/drawing/2010/main" val="0"/>
                        </a:ext>
                      </a:extLst>
                    </a:blip>
                    <a:stretch>
                      <a:fillRect/>
                    </a:stretch>
                  </pic:blipFill>
                  <pic:spPr>
                    <a:xfrm>
                      <a:off x="0" y="0"/>
                      <a:ext cx="749300" cy="792480"/>
                    </a:xfrm>
                    <a:prstGeom prst="rect">
                      <a:avLst/>
                    </a:prstGeom>
                  </pic:spPr>
                </pic:pic>
              </a:graphicData>
            </a:graphic>
          </wp:anchor>
        </w:drawing>
      </w:r>
      <w:r w:rsidR="00A02EEE" w:rsidRPr="008E3A0E">
        <w:rPr>
          <w:rFonts w:ascii="Corbel" w:hAnsi="Corbel"/>
        </w:rPr>
        <w:t>As soon as an understanding of the risks begins to emerge</w:t>
      </w:r>
      <w:r w:rsidR="00A02EEE">
        <w:rPr>
          <w:rFonts w:ascii="Corbel" w:hAnsi="Corbel"/>
        </w:rPr>
        <w:t xml:space="preserve">, </w:t>
      </w:r>
      <w:r w:rsidR="00A02EEE" w:rsidRPr="008E3A0E">
        <w:rPr>
          <w:rFonts w:ascii="Corbel" w:hAnsi="Corbel"/>
        </w:rPr>
        <w:t xml:space="preserve">governments should </w:t>
      </w:r>
      <w:r>
        <w:rPr>
          <w:rFonts w:ascii="Corbel" w:hAnsi="Corbel"/>
        </w:rPr>
        <w:t xml:space="preserve">ensure that they </w:t>
      </w:r>
      <w:proofErr w:type="gramStart"/>
      <w:r>
        <w:rPr>
          <w:rFonts w:ascii="Corbel" w:hAnsi="Corbel"/>
        </w:rPr>
        <w:t>are managed</w:t>
      </w:r>
      <w:proofErr w:type="gramEnd"/>
      <w:r>
        <w:rPr>
          <w:rFonts w:ascii="Corbel" w:hAnsi="Corbel"/>
        </w:rPr>
        <w:t xml:space="preserve"> in </w:t>
      </w:r>
      <w:r w:rsidR="00A02EEE">
        <w:rPr>
          <w:rFonts w:ascii="Corbel" w:hAnsi="Corbel"/>
        </w:rPr>
        <w:t>a consistent way</w:t>
      </w:r>
      <w:r w:rsidR="00A02EEE" w:rsidRPr="008E3A0E">
        <w:rPr>
          <w:rFonts w:ascii="Corbel" w:hAnsi="Corbel"/>
        </w:rPr>
        <w:t>. Any response to risks resulting from PFAS contamination</w:t>
      </w:r>
      <w:r>
        <w:rPr>
          <w:rFonts w:ascii="Corbel" w:hAnsi="Corbel"/>
        </w:rPr>
        <w:t>, including remedial actions,</w:t>
      </w:r>
      <w:r w:rsidR="00A02EEE" w:rsidRPr="008E3A0E">
        <w:rPr>
          <w:rFonts w:ascii="Corbel" w:hAnsi="Corbel"/>
        </w:rPr>
        <w:t xml:space="preserve"> should be based on evidence and commensurate with the level of risk</w:t>
      </w:r>
      <w:r w:rsidR="00A20673">
        <w:rPr>
          <w:rFonts w:ascii="Corbel" w:hAnsi="Corbel"/>
        </w:rPr>
        <w:t>.</w:t>
      </w:r>
    </w:p>
    <w:p w14:paraId="3FF440F4" w14:textId="77777777" w:rsidR="00886D44" w:rsidRDefault="00886D44" w:rsidP="000E3ED7">
      <w:pPr>
        <w:pStyle w:val="Heading3"/>
      </w:pPr>
    </w:p>
    <w:p w14:paraId="3D8E9402" w14:textId="4F6F33E8" w:rsidR="000E3ED7" w:rsidRDefault="000E3ED7" w:rsidP="000E3ED7">
      <w:pPr>
        <w:pStyle w:val="Heading3"/>
      </w:pPr>
      <w:r>
        <w:t xml:space="preserve">What are the </w:t>
      </w:r>
      <w:r w:rsidR="00FD35E8">
        <w:t>roles</w:t>
      </w:r>
      <w:r>
        <w:t xml:space="preserve"> of the </w:t>
      </w:r>
      <w:r w:rsidR="00C96A95">
        <w:t>key</w:t>
      </w:r>
      <w:r>
        <w:t xml:space="preserve"> entities?</w:t>
      </w:r>
    </w:p>
    <w:tbl>
      <w:tblPr>
        <w:tblStyle w:val="ListTable2-Accent5"/>
        <w:tblW w:w="5000" w:type="pct"/>
        <w:tblLook w:val="0480" w:firstRow="0" w:lastRow="0" w:firstColumn="1" w:lastColumn="0" w:noHBand="0" w:noVBand="1"/>
        <w:tblCaption w:val="What are the roles of the key entities?"/>
      </w:tblPr>
      <w:tblGrid>
        <w:gridCol w:w="2695"/>
        <w:gridCol w:w="6943"/>
      </w:tblGrid>
      <w:tr w:rsidR="000A7E4B" w14:paraId="4B79677E"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14:paraId="5884C004" w14:textId="6C4DD915" w:rsidR="000A7E4B" w:rsidRPr="003071E7" w:rsidRDefault="000A7E4B" w:rsidP="000A7E4B">
            <w:pPr>
              <w:spacing w:after="60" w:line="240" w:lineRule="auto"/>
              <w:jc w:val="left"/>
              <w:rPr>
                <w:b w:val="0"/>
              </w:rPr>
            </w:pPr>
            <w:r>
              <w:t>Lead entity</w:t>
            </w:r>
            <w:r w:rsidR="00CA3F66">
              <w:t>(</w:t>
            </w:r>
            <w:proofErr w:type="spellStart"/>
            <w:r w:rsidR="00082B72">
              <w:t>ie</w:t>
            </w:r>
            <w:r w:rsidR="00CA3F66">
              <w:t>s</w:t>
            </w:r>
            <w:proofErr w:type="spellEnd"/>
            <w:r w:rsidR="00CA3F66">
              <w:t>)</w:t>
            </w:r>
          </w:p>
        </w:tc>
        <w:tc>
          <w:tcPr>
            <w:tcW w:w="3602" w:type="pct"/>
          </w:tcPr>
          <w:p w14:paraId="1AE5BEF7" w14:textId="16E395C0" w:rsidR="00CA3F66" w:rsidRDefault="00CA3F66" w:rsidP="00645738">
            <w:pPr>
              <w:jc w:val="left"/>
              <w:cnfStyle w:val="000000100000" w:firstRow="0" w:lastRow="0" w:firstColumn="0" w:lastColumn="0" w:oddVBand="0" w:evenVBand="0" w:oddHBand="1" w:evenHBand="0" w:firstRowFirstColumn="0" w:firstRowLastColumn="0" w:lastRowFirstColumn="0" w:lastRowLastColumn="0"/>
            </w:pPr>
            <w:r>
              <w:t>Consider advice provided by</w:t>
            </w:r>
            <w:r w:rsidR="00C63507">
              <w:t xml:space="preserve"> relevant</w:t>
            </w:r>
            <w:r>
              <w:t xml:space="preserve"> </w:t>
            </w:r>
            <w:r w:rsidR="00645738">
              <w:t>environmental regulator</w:t>
            </w:r>
            <w:r w:rsidR="00161677">
              <w:t>(</w:t>
            </w:r>
            <w:r w:rsidR="00645738">
              <w:t>s</w:t>
            </w:r>
            <w:r w:rsidR="00161677">
              <w:t>)</w:t>
            </w:r>
            <w:r w:rsidR="00645738">
              <w:t>, health</w:t>
            </w:r>
            <w:r>
              <w:t>, primary industry</w:t>
            </w:r>
            <w:r w:rsidR="00645738">
              <w:t xml:space="preserve"> and </w:t>
            </w:r>
            <w:r>
              <w:t>agriculture departments</w:t>
            </w:r>
            <w:r w:rsidR="00401025">
              <w:t>,</w:t>
            </w:r>
            <w:r>
              <w:t xml:space="preserve"> other key agencies </w:t>
            </w:r>
            <w:r w:rsidR="00401025">
              <w:t xml:space="preserve">and expert advisers </w:t>
            </w:r>
            <w:r>
              <w:t>on risk management actions.</w:t>
            </w:r>
          </w:p>
          <w:p w14:paraId="79018C89" w14:textId="4752B761" w:rsidR="00262F5E" w:rsidRDefault="000A7E4B">
            <w:pPr>
              <w:jc w:val="left"/>
              <w:cnfStyle w:val="000000100000" w:firstRow="0" w:lastRow="0" w:firstColumn="0" w:lastColumn="0" w:oddVBand="0" w:evenVBand="0" w:oddHBand="1" w:evenHBand="0" w:firstRowFirstColumn="0" w:firstRowLastColumn="0" w:lastRowFirstColumn="0" w:lastRowLastColumn="0"/>
            </w:pPr>
            <w:r>
              <w:t xml:space="preserve">Conduct activities as </w:t>
            </w:r>
            <w:r w:rsidR="000339CD">
              <w:t>appropriate</w:t>
            </w:r>
            <w:r>
              <w:t xml:space="preserve"> to manage the risks identified in the investigation process</w:t>
            </w:r>
            <w:r w:rsidR="00262F5E">
              <w:t>, in consultation with relevant environmental regulator(s)</w:t>
            </w:r>
            <w:r>
              <w:t>.</w:t>
            </w:r>
          </w:p>
        </w:tc>
      </w:tr>
      <w:tr w:rsidR="00696BBA" w14:paraId="666E55DD" w14:textId="77777777" w:rsidTr="00C52D1F">
        <w:tc>
          <w:tcPr>
            <w:cnfStyle w:val="001000000000" w:firstRow="0" w:lastRow="0" w:firstColumn="1" w:lastColumn="0" w:oddVBand="0" w:evenVBand="0" w:oddHBand="0" w:evenHBand="0" w:firstRowFirstColumn="0" w:firstRowLastColumn="0" w:lastRowFirstColumn="0" w:lastRowLastColumn="0"/>
            <w:tcW w:w="1398" w:type="pct"/>
            <w:shd w:val="clear" w:color="auto" w:fill="D9E2F3" w:themeFill="accent5" w:themeFillTint="33"/>
          </w:tcPr>
          <w:p w14:paraId="0B843334" w14:textId="132320D7" w:rsidR="00696BBA" w:rsidRDefault="009624A6" w:rsidP="00A20673">
            <w:pPr>
              <w:spacing w:after="60" w:line="240" w:lineRule="auto"/>
              <w:jc w:val="left"/>
            </w:pPr>
            <w:r>
              <w:t>Environmental regulator</w:t>
            </w:r>
            <w:r w:rsidR="00FE53F6">
              <w:t>(</w:t>
            </w:r>
            <w:r>
              <w:t>s</w:t>
            </w:r>
            <w:r w:rsidR="00FE53F6">
              <w:t>)</w:t>
            </w:r>
            <w:r>
              <w:t xml:space="preserve"> of the relevant jurisdiction</w:t>
            </w:r>
            <w:r w:rsidR="00FE53F6">
              <w:t>(</w:t>
            </w:r>
            <w:r>
              <w:t>s</w:t>
            </w:r>
            <w:r w:rsidR="00A20673">
              <w:t>)</w:t>
            </w:r>
            <w:r w:rsidR="00A20673">
              <w:rPr>
                <w:rStyle w:val="FootnoteReference"/>
              </w:rPr>
              <w:footnoteReference w:id="6"/>
            </w:r>
          </w:p>
        </w:tc>
        <w:tc>
          <w:tcPr>
            <w:tcW w:w="3602" w:type="pct"/>
            <w:shd w:val="clear" w:color="auto" w:fill="D9E2F3" w:themeFill="accent5" w:themeFillTint="33"/>
          </w:tcPr>
          <w:p w14:paraId="7B04DE0A" w14:textId="77777777" w:rsidR="00696BBA" w:rsidRDefault="00696BBA" w:rsidP="00696BBA">
            <w:pPr>
              <w:spacing w:after="120" w:line="240" w:lineRule="auto"/>
              <w:jc w:val="left"/>
              <w:cnfStyle w:val="000000000000" w:firstRow="0" w:lastRow="0" w:firstColumn="0" w:lastColumn="0" w:oddVBand="0" w:evenVBand="0" w:oddHBand="0" w:evenHBand="0" w:firstRowFirstColumn="0" w:firstRowLastColumn="0" w:lastRowFirstColumn="0" w:lastRowLastColumn="0"/>
            </w:pPr>
            <w:r>
              <w:t xml:space="preserve">Monitor activities of the lead </w:t>
            </w:r>
            <w:proofErr w:type="gramStart"/>
            <w:r>
              <w:t>entity</w:t>
            </w:r>
            <w:r w:rsidR="00550354">
              <w:t>(</w:t>
            </w:r>
            <w:proofErr w:type="spellStart"/>
            <w:proofErr w:type="gramEnd"/>
            <w:r w:rsidR="00082B72">
              <w:t>ie</w:t>
            </w:r>
            <w:r w:rsidR="00550354">
              <w:t>s</w:t>
            </w:r>
            <w:proofErr w:type="spellEnd"/>
            <w:r w:rsidR="00550354">
              <w:t>)</w:t>
            </w:r>
            <w:r>
              <w:t xml:space="preserve"> and conduct relevant regulatory activities</w:t>
            </w:r>
            <w:r w:rsidR="008846B7">
              <w:t xml:space="preserve"> as appropriate</w:t>
            </w:r>
            <w:r>
              <w:t>.</w:t>
            </w:r>
          </w:p>
          <w:p w14:paraId="276846BC" w14:textId="2B0941FB" w:rsidR="00262F5E" w:rsidRDefault="00262F5E" w:rsidP="00696BBA">
            <w:pPr>
              <w:spacing w:after="120" w:line="240" w:lineRule="auto"/>
              <w:jc w:val="left"/>
              <w:cnfStyle w:val="000000000000" w:firstRow="0" w:lastRow="0" w:firstColumn="0" w:lastColumn="0" w:oddVBand="0" w:evenVBand="0" w:oddHBand="0" w:evenHBand="0" w:firstRowFirstColumn="0" w:firstRowLastColumn="0" w:lastRowFirstColumn="0" w:lastRowLastColumn="0"/>
            </w:pPr>
            <w:r>
              <w:t xml:space="preserve">Where necessary, coordinate regulatory and compliance actions. </w:t>
            </w:r>
          </w:p>
        </w:tc>
      </w:tr>
      <w:tr w:rsidR="00696BBA" w14:paraId="604F9734" w14:textId="77777777" w:rsidTr="00C5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14:paraId="31E0E8A3" w14:textId="584AE04D" w:rsidR="00696BBA" w:rsidRDefault="0067413B" w:rsidP="00B213F1">
            <w:pPr>
              <w:spacing w:after="60" w:line="240" w:lineRule="auto"/>
              <w:jc w:val="left"/>
            </w:pPr>
            <w:r>
              <w:t xml:space="preserve">Health, </w:t>
            </w:r>
            <w:r w:rsidR="00567B9F">
              <w:t xml:space="preserve">food, </w:t>
            </w:r>
            <w:r>
              <w:t xml:space="preserve">primary industry and agriculture </w:t>
            </w:r>
            <w:r w:rsidR="00E84089">
              <w:t xml:space="preserve">agencies </w:t>
            </w:r>
            <w:r>
              <w:t>of the relevant jurisdiction</w:t>
            </w:r>
            <w:r w:rsidR="00FE53F6">
              <w:t>(</w:t>
            </w:r>
            <w:r>
              <w:t>s</w:t>
            </w:r>
            <w:r w:rsidR="00FE53F6">
              <w:t>)</w:t>
            </w:r>
          </w:p>
        </w:tc>
        <w:tc>
          <w:tcPr>
            <w:tcW w:w="3602" w:type="pct"/>
          </w:tcPr>
          <w:p w14:paraId="6A7FE21F" w14:textId="77777777" w:rsidR="00696BBA" w:rsidRDefault="00696BBA" w:rsidP="0067413B">
            <w:pPr>
              <w:spacing w:after="120" w:line="240" w:lineRule="auto"/>
              <w:jc w:val="left"/>
              <w:cnfStyle w:val="000000100000" w:firstRow="0" w:lastRow="0" w:firstColumn="0" w:lastColumn="0" w:oddVBand="0" w:evenVBand="0" w:oddHBand="1" w:evenHBand="0" w:firstRowFirstColumn="0" w:firstRowLastColumn="0" w:lastRowFirstColumn="0" w:lastRowLastColumn="0"/>
            </w:pPr>
            <w:r>
              <w:t xml:space="preserve">Advise the lead </w:t>
            </w:r>
            <w:proofErr w:type="gramStart"/>
            <w:r>
              <w:t>entity</w:t>
            </w:r>
            <w:r w:rsidR="00550354">
              <w:t>(</w:t>
            </w:r>
            <w:proofErr w:type="spellStart"/>
            <w:proofErr w:type="gramEnd"/>
            <w:r w:rsidR="00082B72">
              <w:t>ie</w:t>
            </w:r>
            <w:r w:rsidR="00550354">
              <w:t>s</w:t>
            </w:r>
            <w:proofErr w:type="spellEnd"/>
            <w:r w:rsidR="00550354">
              <w:t>)</w:t>
            </w:r>
            <w:r>
              <w:t xml:space="preserve"> and stakeholders affected by PFAS contamination on risk mitigation as appropriate</w:t>
            </w:r>
            <w:r w:rsidR="00350C36">
              <w:t>, in consultation with relevant environment</w:t>
            </w:r>
            <w:r w:rsidR="0067413B">
              <w:t>al regulator</w:t>
            </w:r>
            <w:r w:rsidR="00161677">
              <w:t>(</w:t>
            </w:r>
            <w:r w:rsidR="0067413B">
              <w:t>s</w:t>
            </w:r>
            <w:r w:rsidR="00161677">
              <w:t>)</w:t>
            </w:r>
            <w:r w:rsidR="00350C36">
              <w:t>.</w:t>
            </w:r>
          </w:p>
          <w:p w14:paraId="19475333" w14:textId="7FA14A30" w:rsidR="00696BBA" w:rsidRDefault="00115B58" w:rsidP="0067413B">
            <w:pPr>
              <w:spacing w:after="120" w:line="240" w:lineRule="auto"/>
              <w:jc w:val="left"/>
              <w:cnfStyle w:val="000000100000" w:firstRow="0" w:lastRow="0" w:firstColumn="0" w:lastColumn="0" w:oddVBand="0" w:evenVBand="0" w:oddHBand="1" w:evenHBand="0" w:firstRowFirstColumn="0" w:firstRowLastColumn="0" w:lastRowFirstColumn="0" w:lastRowLastColumn="0"/>
            </w:pPr>
            <w:r>
              <w:t>Where necessary, coordinate regulatory and compliance actions.</w:t>
            </w:r>
          </w:p>
        </w:tc>
      </w:tr>
      <w:tr w:rsidR="0067413B" w14:paraId="0D9E4BE6" w14:textId="77777777" w:rsidTr="00C52D1F">
        <w:tc>
          <w:tcPr>
            <w:cnfStyle w:val="001000000000" w:firstRow="0" w:lastRow="0" w:firstColumn="1" w:lastColumn="0" w:oddVBand="0" w:evenVBand="0" w:oddHBand="0" w:evenHBand="0" w:firstRowFirstColumn="0" w:firstRowLastColumn="0" w:lastRowFirstColumn="0" w:lastRowLastColumn="0"/>
            <w:tcW w:w="1398" w:type="pct"/>
            <w:shd w:val="clear" w:color="auto" w:fill="D9E2F3" w:themeFill="accent5" w:themeFillTint="33"/>
          </w:tcPr>
          <w:p w14:paraId="141FA515" w14:textId="6F2FF7B4" w:rsidR="0067413B" w:rsidRDefault="0067413B" w:rsidP="0067413B">
            <w:pPr>
              <w:spacing w:after="60" w:line="240" w:lineRule="auto"/>
              <w:jc w:val="left"/>
            </w:pPr>
            <w:r>
              <w:t>First Minister</w:t>
            </w:r>
            <w:r w:rsidR="00FE53F6">
              <w:t>(</w:t>
            </w:r>
            <w:r>
              <w:t>s</w:t>
            </w:r>
            <w:r w:rsidR="00FE53F6">
              <w:t>’)</w:t>
            </w:r>
            <w:r>
              <w:t xml:space="preserve"> department</w:t>
            </w:r>
            <w:r w:rsidR="00FE53F6">
              <w:t>(</w:t>
            </w:r>
            <w:r>
              <w:t>s</w:t>
            </w:r>
            <w:r w:rsidR="00FE53F6">
              <w:t>)</w:t>
            </w:r>
          </w:p>
        </w:tc>
        <w:tc>
          <w:tcPr>
            <w:tcW w:w="3602" w:type="pct"/>
            <w:shd w:val="clear" w:color="auto" w:fill="D9E2F3" w:themeFill="accent5" w:themeFillTint="33"/>
          </w:tcPr>
          <w:p w14:paraId="45E621C4" w14:textId="4B8BDEEF" w:rsidR="0067413B" w:rsidRDefault="00B90CB3" w:rsidP="0067413B">
            <w:pPr>
              <w:spacing w:after="120" w:line="240" w:lineRule="auto"/>
              <w:jc w:val="left"/>
              <w:cnfStyle w:val="000000000000" w:firstRow="0" w:lastRow="0" w:firstColumn="0" w:lastColumn="0" w:oddVBand="0" w:evenVBand="0" w:oddHBand="0" w:evenHBand="0" w:firstRowFirstColumn="0" w:firstRowLastColumn="0" w:lastRowFirstColumn="0" w:lastRowLastColumn="0"/>
            </w:pPr>
            <w:r>
              <w:t xml:space="preserve">Monitor </w:t>
            </w:r>
            <w:r w:rsidR="0067413B">
              <w:t>and, where necessary, coordinate relevant agencies in managing PFAS contamination.</w:t>
            </w:r>
          </w:p>
          <w:p w14:paraId="1D0CC2EA" w14:textId="621675FC" w:rsidR="00262F5E" w:rsidRDefault="00262F5E" w:rsidP="0067413B">
            <w:pPr>
              <w:spacing w:after="120" w:line="240" w:lineRule="auto"/>
              <w:jc w:val="left"/>
              <w:cnfStyle w:val="000000000000" w:firstRow="0" w:lastRow="0" w:firstColumn="0" w:lastColumn="0" w:oddVBand="0" w:evenVBand="0" w:oddHBand="0" w:evenHBand="0" w:firstRowFirstColumn="0" w:firstRowLastColumn="0" w:lastRowFirstColumn="0" w:lastRowLastColumn="0"/>
            </w:pPr>
            <w:r>
              <w:t>Work with other jurisdictions to facilitate consistency.</w:t>
            </w:r>
          </w:p>
        </w:tc>
      </w:tr>
    </w:tbl>
    <w:p w14:paraId="320D6693" w14:textId="77777777" w:rsidR="00A20673" w:rsidRDefault="00A20673" w:rsidP="00C52D1F">
      <w:pPr>
        <w:pStyle w:val="Heading3"/>
        <w:spacing w:after="240"/>
      </w:pPr>
    </w:p>
    <w:p w14:paraId="4D86B14F" w14:textId="5D4819AA" w:rsidR="000A773D" w:rsidRPr="000A773D" w:rsidRDefault="000A773D" w:rsidP="00C52D1F">
      <w:pPr>
        <w:pStyle w:val="Heading3"/>
        <w:spacing w:after="240"/>
      </w:pPr>
      <w:r w:rsidRPr="000A773D">
        <w:t>What are some examples of risk management responses?</w:t>
      </w:r>
    </w:p>
    <w:p w14:paraId="386A19DE" w14:textId="77777777" w:rsidR="00FD35E8" w:rsidRDefault="00FD35E8" w:rsidP="00FD35E8">
      <w:pPr>
        <w:pStyle w:val="ScheduleNumberedPara"/>
        <w:numPr>
          <w:ilvl w:val="0"/>
          <w:numId w:val="0"/>
        </w:numPr>
        <w:spacing w:after="120" w:line="240" w:lineRule="auto"/>
        <w:jc w:val="left"/>
        <w:rPr>
          <w:rFonts w:ascii="Corbel" w:hAnsi="Corbel"/>
        </w:rPr>
      </w:pPr>
      <w:r w:rsidRPr="00150DF5">
        <w:rPr>
          <w:rFonts w:ascii="Corbel" w:hAnsi="Corbel"/>
        </w:rPr>
        <w:t xml:space="preserve">Risk </w:t>
      </w:r>
      <w:r>
        <w:rPr>
          <w:rFonts w:ascii="Corbel" w:hAnsi="Corbel"/>
        </w:rPr>
        <w:t xml:space="preserve">management </w:t>
      </w:r>
      <w:r w:rsidRPr="00150DF5">
        <w:rPr>
          <w:rFonts w:ascii="Corbel" w:hAnsi="Corbel"/>
        </w:rPr>
        <w:t>responses will vary depending on a range of factors including</w:t>
      </w:r>
      <w:r>
        <w:rPr>
          <w:rFonts w:ascii="Corbel" w:hAnsi="Corbel"/>
        </w:rPr>
        <w:t>:</w:t>
      </w:r>
    </w:p>
    <w:p w14:paraId="596F38CE" w14:textId="4F8DA7B8" w:rsidR="00FD35E8" w:rsidRDefault="00FD35E8" w:rsidP="00FD35E8">
      <w:pPr>
        <w:pStyle w:val="ScheduleNumberedPara"/>
        <w:numPr>
          <w:ilvl w:val="0"/>
          <w:numId w:val="45"/>
        </w:numPr>
        <w:spacing w:after="120" w:line="240" w:lineRule="auto"/>
        <w:jc w:val="left"/>
        <w:rPr>
          <w:rFonts w:ascii="Corbel" w:hAnsi="Corbel"/>
        </w:rPr>
      </w:pPr>
      <w:r>
        <w:rPr>
          <w:rFonts w:ascii="Corbel" w:hAnsi="Corbel"/>
        </w:rPr>
        <w:t xml:space="preserve">Technical considerations (e.g. </w:t>
      </w:r>
      <w:r w:rsidRPr="00150DF5">
        <w:rPr>
          <w:rFonts w:ascii="Corbel" w:hAnsi="Corbel"/>
        </w:rPr>
        <w:t>the level of contamination, hydrogeology, exposure pathways</w:t>
      </w:r>
      <w:r>
        <w:rPr>
          <w:rFonts w:ascii="Corbel" w:hAnsi="Corbel"/>
        </w:rPr>
        <w:t>, available technology)</w:t>
      </w:r>
    </w:p>
    <w:p w14:paraId="1AE32AE7" w14:textId="77777777" w:rsidR="00FD35E8" w:rsidRDefault="00FD35E8" w:rsidP="00FD35E8">
      <w:pPr>
        <w:pStyle w:val="ScheduleNumberedPara"/>
        <w:numPr>
          <w:ilvl w:val="0"/>
          <w:numId w:val="45"/>
        </w:numPr>
        <w:spacing w:after="120" w:line="240" w:lineRule="auto"/>
        <w:jc w:val="left"/>
        <w:rPr>
          <w:rFonts w:ascii="Corbel" w:hAnsi="Corbel"/>
        </w:rPr>
      </w:pPr>
      <w:r>
        <w:rPr>
          <w:rFonts w:ascii="Corbel" w:hAnsi="Corbel"/>
        </w:rPr>
        <w:t>C</w:t>
      </w:r>
      <w:r w:rsidRPr="00150DF5">
        <w:rPr>
          <w:rFonts w:ascii="Corbel" w:hAnsi="Corbel"/>
        </w:rPr>
        <w:t>ommunity needs</w:t>
      </w:r>
    </w:p>
    <w:p w14:paraId="17F1A142" w14:textId="77777777" w:rsidR="00FD35E8" w:rsidRDefault="00FD35E8" w:rsidP="00FD35E8">
      <w:pPr>
        <w:pStyle w:val="ScheduleNumberedPara"/>
        <w:numPr>
          <w:ilvl w:val="0"/>
          <w:numId w:val="45"/>
        </w:numPr>
        <w:spacing w:after="120" w:line="240" w:lineRule="auto"/>
        <w:jc w:val="left"/>
        <w:rPr>
          <w:rFonts w:ascii="Corbel" w:hAnsi="Corbel"/>
        </w:rPr>
      </w:pPr>
      <w:r>
        <w:rPr>
          <w:rFonts w:ascii="Corbel" w:hAnsi="Corbel"/>
        </w:rPr>
        <w:t>Financial and logistical feasibility</w:t>
      </w:r>
    </w:p>
    <w:p w14:paraId="2BC42371" w14:textId="77777777" w:rsidR="00FD35E8" w:rsidRDefault="00FD35E8" w:rsidP="00FD35E8">
      <w:pPr>
        <w:pStyle w:val="ScheduleNumberedPara"/>
        <w:numPr>
          <w:ilvl w:val="0"/>
          <w:numId w:val="45"/>
        </w:numPr>
        <w:spacing w:after="120" w:line="240" w:lineRule="auto"/>
        <w:jc w:val="left"/>
        <w:rPr>
          <w:rFonts w:ascii="Corbel" w:hAnsi="Corbel"/>
        </w:rPr>
      </w:pPr>
      <w:r>
        <w:rPr>
          <w:rFonts w:ascii="Corbel" w:hAnsi="Corbel"/>
        </w:rPr>
        <w:t>Provision of critical public services</w:t>
      </w:r>
      <w:r w:rsidRPr="00150DF5">
        <w:rPr>
          <w:rFonts w:ascii="Corbel" w:hAnsi="Corbel"/>
        </w:rPr>
        <w:t xml:space="preserve">. </w:t>
      </w:r>
    </w:p>
    <w:p w14:paraId="1E905DF3" w14:textId="2C927D16" w:rsidR="00FD35E8" w:rsidRPr="000A773D" w:rsidRDefault="00FD35E8" w:rsidP="00FD35E8">
      <w:pPr>
        <w:pStyle w:val="ScheduleNumberedPara"/>
        <w:numPr>
          <w:ilvl w:val="0"/>
          <w:numId w:val="0"/>
        </w:numPr>
        <w:spacing w:after="120" w:line="240" w:lineRule="auto"/>
        <w:jc w:val="left"/>
        <w:rPr>
          <w:rFonts w:ascii="Corbel" w:hAnsi="Corbel"/>
        </w:rPr>
      </w:pPr>
      <w:r>
        <w:rPr>
          <w:rFonts w:ascii="Corbel" w:hAnsi="Corbel"/>
        </w:rPr>
        <w:t xml:space="preserve">Any response </w:t>
      </w:r>
      <w:proofErr w:type="gramStart"/>
      <w:r>
        <w:rPr>
          <w:rFonts w:ascii="Corbel" w:hAnsi="Corbel"/>
        </w:rPr>
        <w:t>should be tailored</w:t>
      </w:r>
      <w:proofErr w:type="gramEnd"/>
      <w:r>
        <w:rPr>
          <w:rFonts w:ascii="Corbel" w:hAnsi="Corbel"/>
        </w:rPr>
        <w:t xml:space="preserve"> for individual circumstances, based on evidence, and commensurate with the level of risk. </w:t>
      </w:r>
      <w:r w:rsidRPr="00DF19C9">
        <w:rPr>
          <w:rFonts w:ascii="Corbel" w:hAnsi="Corbel"/>
        </w:rPr>
        <w:t xml:space="preserve">Agencies </w:t>
      </w:r>
      <w:r w:rsidR="00F50A14">
        <w:rPr>
          <w:rFonts w:ascii="Corbel" w:hAnsi="Corbel"/>
        </w:rPr>
        <w:t>can</w:t>
      </w:r>
      <w:r w:rsidRPr="00DF19C9">
        <w:rPr>
          <w:rFonts w:ascii="Corbel" w:hAnsi="Corbel"/>
        </w:rPr>
        <w:t xml:space="preserve"> consult the documents identified in Attachment A for further information on appropriate responses</w:t>
      </w:r>
      <w:r w:rsidRPr="000A773D">
        <w:rPr>
          <w:rFonts w:ascii="Corbel" w:hAnsi="Corbel"/>
        </w:rPr>
        <w:t xml:space="preserve">. </w:t>
      </w:r>
    </w:p>
    <w:p w14:paraId="790C36D1" w14:textId="0FE7867C" w:rsidR="000A773D" w:rsidRDefault="00FD35E8" w:rsidP="000A773D">
      <w:pPr>
        <w:pStyle w:val="ScheduleNumberedPara"/>
        <w:numPr>
          <w:ilvl w:val="0"/>
          <w:numId w:val="0"/>
        </w:numPr>
        <w:spacing w:after="120" w:line="240" w:lineRule="auto"/>
        <w:jc w:val="left"/>
        <w:rPr>
          <w:rFonts w:ascii="Corbel" w:hAnsi="Corbel"/>
        </w:rPr>
      </w:pPr>
      <w:r>
        <w:rPr>
          <w:rFonts w:ascii="Corbel" w:hAnsi="Corbel"/>
        </w:rPr>
        <w:t>R</w:t>
      </w:r>
      <w:r w:rsidR="000A773D">
        <w:rPr>
          <w:rFonts w:ascii="Corbel" w:hAnsi="Corbel"/>
        </w:rPr>
        <w:t xml:space="preserve">esponses can be categorised as source management, pathway management or receptor management. </w:t>
      </w:r>
      <w:r w:rsidR="00F42419">
        <w:rPr>
          <w:rFonts w:ascii="Corbel" w:hAnsi="Corbel"/>
        </w:rPr>
        <w:t xml:space="preserve">Generally, source management is preferable to pathway management, and pathway management is preferable to receptor management. </w:t>
      </w:r>
      <w:r w:rsidR="000A773D">
        <w:rPr>
          <w:rFonts w:ascii="Corbel" w:hAnsi="Corbel"/>
        </w:rPr>
        <w:t>Some examples of risk management responses that may be appropriate to manage the risk posed by PFAS contamination include:</w:t>
      </w:r>
    </w:p>
    <w:p w14:paraId="649FDC0C" w14:textId="77777777" w:rsidR="000A773D" w:rsidRDefault="000A773D" w:rsidP="00C52D1F">
      <w:pPr>
        <w:pStyle w:val="Heading4"/>
      </w:pPr>
      <w:r>
        <w:lastRenderedPageBreak/>
        <w:t>Source management</w:t>
      </w:r>
    </w:p>
    <w:p w14:paraId="63C99664" w14:textId="04A3AE31" w:rsidR="000A773D" w:rsidRPr="00DE6202" w:rsidRDefault="000A773D" w:rsidP="000A773D">
      <w:pPr>
        <w:pStyle w:val="ScheduleNumberedPara"/>
        <w:numPr>
          <w:ilvl w:val="0"/>
          <w:numId w:val="0"/>
        </w:numPr>
        <w:spacing w:after="120" w:line="240" w:lineRule="auto"/>
        <w:jc w:val="left"/>
        <w:rPr>
          <w:rStyle w:val="SubtleEmphasis"/>
        </w:rPr>
      </w:pPr>
      <w:r>
        <w:rPr>
          <w:rStyle w:val="SubtleEmphasis"/>
        </w:rPr>
        <w:t xml:space="preserve">Measures that </w:t>
      </w:r>
      <w:r w:rsidR="00FD35E8">
        <w:rPr>
          <w:rStyle w:val="SubtleEmphasis"/>
        </w:rPr>
        <w:t>may</w:t>
      </w:r>
      <w:r w:rsidR="00204305">
        <w:rPr>
          <w:rStyle w:val="SubtleEmphasis"/>
        </w:rPr>
        <w:t xml:space="preserve"> </w:t>
      </w:r>
      <w:r w:rsidR="00D60BA5">
        <w:rPr>
          <w:rStyle w:val="SubtleEmphasis"/>
        </w:rPr>
        <w:t>remove</w:t>
      </w:r>
      <w:r>
        <w:rPr>
          <w:rStyle w:val="SubtleEmphasis"/>
        </w:rPr>
        <w:t xml:space="preserve"> the source of contamination</w:t>
      </w:r>
      <w:r w:rsidR="00D60BA5">
        <w:rPr>
          <w:rStyle w:val="SubtleEmphasis"/>
        </w:rPr>
        <w:t>.</w:t>
      </w:r>
      <w:r>
        <w:rPr>
          <w:rStyle w:val="SubtleEmphasis"/>
        </w:rPr>
        <w:t xml:space="preserve"> </w:t>
      </w:r>
    </w:p>
    <w:p w14:paraId="479B78F5" w14:textId="77777777" w:rsidR="000A773D" w:rsidRDefault="000A773D" w:rsidP="000A773D">
      <w:pPr>
        <w:pStyle w:val="ScheduleNumberedPara"/>
        <w:numPr>
          <w:ilvl w:val="0"/>
          <w:numId w:val="35"/>
        </w:numPr>
        <w:spacing w:after="120" w:line="240" w:lineRule="auto"/>
        <w:jc w:val="left"/>
        <w:rPr>
          <w:rFonts w:ascii="Corbel" w:hAnsi="Corbel"/>
        </w:rPr>
      </w:pPr>
      <w:r>
        <w:rPr>
          <w:rFonts w:ascii="Corbel" w:hAnsi="Corbel"/>
        </w:rPr>
        <w:t>Substituting</w:t>
      </w:r>
      <w:r w:rsidRPr="00150DF5">
        <w:rPr>
          <w:rFonts w:ascii="Corbel" w:hAnsi="Corbel"/>
        </w:rPr>
        <w:t xml:space="preserve"> products containing PFAS </w:t>
      </w:r>
      <w:r>
        <w:rPr>
          <w:rFonts w:ascii="Corbel" w:hAnsi="Corbel"/>
        </w:rPr>
        <w:t xml:space="preserve">(particularly PFOS, PFOA or </w:t>
      </w:r>
      <w:proofErr w:type="spellStart"/>
      <w:r>
        <w:rPr>
          <w:rFonts w:ascii="Corbel" w:hAnsi="Corbel"/>
        </w:rPr>
        <w:t>PFHxS</w:t>
      </w:r>
      <w:proofErr w:type="spellEnd"/>
      <w:r>
        <w:rPr>
          <w:rFonts w:ascii="Corbel" w:hAnsi="Corbel"/>
        </w:rPr>
        <w:t xml:space="preserve">) </w:t>
      </w:r>
      <w:r w:rsidRPr="00150DF5">
        <w:rPr>
          <w:rFonts w:ascii="Corbel" w:hAnsi="Corbel"/>
        </w:rPr>
        <w:t>with alternative products, ensuring alternative products meet the requirements of relevant international conventions and relevant guidance.</w:t>
      </w:r>
    </w:p>
    <w:p w14:paraId="327C27CC" w14:textId="77777777" w:rsidR="000A773D" w:rsidRDefault="000A773D" w:rsidP="000A773D">
      <w:pPr>
        <w:pStyle w:val="ScheduleNumberedPara"/>
        <w:numPr>
          <w:ilvl w:val="0"/>
          <w:numId w:val="35"/>
        </w:numPr>
        <w:spacing w:after="120" w:line="240" w:lineRule="auto"/>
        <w:jc w:val="left"/>
        <w:rPr>
          <w:rFonts w:ascii="Corbel" w:hAnsi="Corbel"/>
        </w:rPr>
      </w:pPr>
      <w:r>
        <w:rPr>
          <w:rFonts w:ascii="Corbel" w:hAnsi="Corbel"/>
        </w:rPr>
        <w:t>R</w:t>
      </w:r>
      <w:r w:rsidRPr="00150DF5">
        <w:rPr>
          <w:rFonts w:ascii="Corbel" w:hAnsi="Corbel"/>
        </w:rPr>
        <w:t>eplacing contaminated infrastructure.</w:t>
      </w:r>
    </w:p>
    <w:p w14:paraId="600F79F3" w14:textId="77777777" w:rsidR="000A773D" w:rsidRPr="00150DF5" w:rsidRDefault="000A773D" w:rsidP="000A773D">
      <w:pPr>
        <w:pStyle w:val="ScheduleNumberedPara"/>
        <w:numPr>
          <w:ilvl w:val="0"/>
          <w:numId w:val="35"/>
        </w:numPr>
        <w:spacing w:after="120" w:line="240" w:lineRule="auto"/>
        <w:jc w:val="left"/>
        <w:rPr>
          <w:rFonts w:ascii="Corbel" w:hAnsi="Corbel"/>
        </w:rPr>
      </w:pPr>
      <w:r w:rsidRPr="00150DF5">
        <w:rPr>
          <w:rFonts w:ascii="Corbel" w:hAnsi="Corbel"/>
        </w:rPr>
        <w:t>Containing and preventing run-off from sites where PFAS-containing products are, or have been, used.</w:t>
      </w:r>
    </w:p>
    <w:p w14:paraId="4CC64BFF" w14:textId="77777777" w:rsidR="000A773D" w:rsidRPr="00150DF5" w:rsidRDefault="000A773D" w:rsidP="000A773D">
      <w:pPr>
        <w:pStyle w:val="ScheduleNumberedPara"/>
        <w:numPr>
          <w:ilvl w:val="0"/>
          <w:numId w:val="35"/>
        </w:numPr>
        <w:spacing w:after="120" w:line="240" w:lineRule="auto"/>
        <w:jc w:val="left"/>
        <w:rPr>
          <w:rFonts w:ascii="Corbel" w:hAnsi="Corbel"/>
        </w:rPr>
      </w:pPr>
      <w:r w:rsidRPr="00150DF5">
        <w:rPr>
          <w:rFonts w:ascii="Corbel" w:hAnsi="Corbel"/>
        </w:rPr>
        <w:t>Disposing of PFAS stocks, or waste/infrastructure contaminated by PFAS with consideration of:</w:t>
      </w:r>
    </w:p>
    <w:p w14:paraId="68CB22CF" w14:textId="55F68E1A" w:rsidR="00FD35E8" w:rsidRDefault="00FD35E8" w:rsidP="000A773D">
      <w:pPr>
        <w:pStyle w:val="ScheduleNumberedPara"/>
        <w:numPr>
          <w:ilvl w:val="1"/>
          <w:numId w:val="35"/>
        </w:numPr>
        <w:spacing w:after="120" w:line="240" w:lineRule="auto"/>
        <w:jc w:val="left"/>
        <w:rPr>
          <w:rFonts w:ascii="Corbel" w:hAnsi="Corbel"/>
        </w:rPr>
      </w:pPr>
      <w:r>
        <w:rPr>
          <w:rFonts w:ascii="Corbel" w:hAnsi="Corbel"/>
        </w:rPr>
        <w:t>availability of disposal sites and technologies</w:t>
      </w:r>
    </w:p>
    <w:p w14:paraId="6E5E64FA" w14:textId="13E58FD2" w:rsidR="000A773D" w:rsidRPr="00150DF5" w:rsidRDefault="000A773D" w:rsidP="000A773D">
      <w:pPr>
        <w:pStyle w:val="ScheduleNumberedPara"/>
        <w:numPr>
          <w:ilvl w:val="1"/>
          <w:numId w:val="35"/>
        </w:numPr>
        <w:spacing w:after="120" w:line="240" w:lineRule="auto"/>
        <w:jc w:val="left"/>
        <w:rPr>
          <w:rFonts w:ascii="Corbel" w:hAnsi="Corbel"/>
        </w:rPr>
      </w:pPr>
      <w:r w:rsidRPr="00150DF5">
        <w:rPr>
          <w:rFonts w:ascii="Corbel" w:hAnsi="Corbel"/>
        </w:rPr>
        <w:t>guidance from the relevant state/territory regulator responsible for environmental protection, including in relation to transport and disposal</w:t>
      </w:r>
    </w:p>
    <w:p w14:paraId="3654C7E0" w14:textId="77777777" w:rsidR="000A773D" w:rsidRPr="00150DF5" w:rsidRDefault="000A773D" w:rsidP="000A773D">
      <w:pPr>
        <w:pStyle w:val="ScheduleNumberedPara"/>
        <w:numPr>
          <w:ilvl w:val="1"/>
          <w:numId w:val="35"/>
        </w:numPr>
        <w:spacing w:after="120" w:line="240" w:lineRule="auto"/>
        <w:jc w:val="left"/>
        <w:rPr>
          <w:rFonts w:ascii="Corbel" w:hAnsi="Corbel"/>
        </w:rPr>
      </w:pPr>
      <w:r w:rsidRPr="00150DF5">
        <w:rPr>
          <w:rFonts w:ascii="Corbel" w:hAnsi="Corbel"/>
        </w:rPr>
        <w:t xml:space="preserve">the </w:t>
      </w:r>
      <w:hyperlink r:id="rId17" w:history="1">
        <w:r w:rsidRPr="00D573B9">
          <w:rPr>
            <w:rFonts w:ascii="Corbel" w:hAnsi="Corbel"/>
            <w:i/>
          </w:rPr>
          <w:t>Stockholm Convention on Persistent Organic Pollutants</w:t>
        </w:r>
      </w:hyperlink>
    </w:p>
    <w:p w14:paraId="6D84BC5B" w14:textId="77777777" w:rsidR="000A773D" w:rsidRPr="00DE6202" w:rsidRDefault="000A773D" w:rsidP="000A773D">
      <w:pPr>
        <w:pStyle w:val="ScheduleNumberedPara"/>
        <w:numPr>
          <w:ilvl w:val="1"/>
          <w:numId w:val="35"/>
        </w:numPr>
        <w:spacing w:after="120" w:line="240" w:lineRule="auto"/>
        <w:jc w:val="left"/>
        <w:rPr>
          <w:rFonts w:ascii="Corbel" w:hAnsi="Corbel"/>
        </w:rPr>
      </w:pPr>
      <w:proofErr w:type="gramStart"/>
      <w:r w:rsidRPr="00150DF5">
        <w:rPr>
          <w:rFonts w:ascii="Corbel" w:hAnsi="Corbel"/>
        </w:rPr>
        <w:t>the</w:t>
      </w:r>
      <w:proofErr w:type="gramEnd"/>
      <w:r w:rsidRPr="00150DF5">
        <w:rPr>
          <w:rFonts w:ascii="Corbel" w:hAnsi="Corbel"/>
        </w:rPr>
        <w:t xml:space="preserve"> </w:t>
      </w:r>
      <w:hyperlink r:id="rId18" w:history="1">
        <w:r w:rsidRPr="00D573B9">
          <w:rPr>
            <w:rFonts w:ascii="Corbel" w:hAnsi="Corbel"/>
            <w:i/>
          </w:rPr>
          <w:t>Basel Convention on the Control of Transboundary Movements of Hazardous Wastes and Their Disposal</w:t>
        </w:r>
      </w:hyperlink>
      <w:r w:rsidRPr="00150DF5">
        <w:rPr>
          <w:rFonts w:ascii="Corbel" w:hAnsi="Corbel"/>
        </w:rPr>
        <w:t>.</w:t>
      </w:r>
    </w:p>
    <w:p w14:paraId="183AE30D" w14:textId="77777777" w:rsidR="000A773D" w:rsidRDefault="000A773D" w:rsidP="00C52D1F">
      <w:pPr>
        <w:pStyle w:val="Heading4"/>
      </w:pPr>
      <w:r>
        <w:t>Pathway management</w:t>
      </w:r>
    </w:p>
    <w:p w14:paraId="26252418" w14:textId="165E5210" w:rsidR="000A773D" w:rsidRPr="00DE6202" w:rsidRDefault="000A773D" w:rsidP="000A773D">
      <w:pPr>
        <w:pStyle w:val="ScheduleNumberedPara"/>
        <w:numPr>
          <w:ilvl w:val="0"/>
          <w:numId w:val="0"/>
        </w:numPr>
        <w:spacing w:after="120" w:line="240" w:lineRule="auto"/>
        <w:jc w:val="left"/>
        <w:rPr>
          <w:rStyle w:val="SubtleEmphasis"/>
        </w:rPr>
      </w:pPr>
      <w:r>
        <w:rPr>
          <w:rStyle w:val="SubtleEmphasis"/>
        </w:rPr>
        <w:t xml:space="preserve">Measures that </w:t>
      </w:r>
      <w:r w:rsidR="00FD35E8">
        <w:rPr>
          <w:rStyle w:val="SubtleEmphasis"/>
        </w:rPr>
        <w:t>may</w:t>
      </w:r>
      <w:r w:rsidR="00AA1279">
        <w:rPr>
          <w:rStyle w:val="SubtleEmphasis"/>
        </w:rPr>
        <w:t xml:space="preserve"> </w:t>
      </w:r>
      <w:r>
        <w:rPr>
          <w:rStyle w:val="SubtleEmphasis"/>
        </w:rPr>
        <w:t xml:space="preserve">prevent the contamination </w:t>
      </w:r>
      <w:r w:rsidR="00D60BA5">
        <w:rPr>
          <w:rStyle w:val="SubtleEmphasis"/>
        </w:rPr>
        <w:t>reaching</w:t>
      </w:r>
      <w:r>
        <w:rPr>
          <w:rStyle w:val="SubtleEmphasis"/>
        </w:rPr>
        <w:t xml:space="preserve"> an exposure pathway.</w:t>
      </w:r>
    </w:p>
    <w:p w14:paraId="79E6734C" w14:textId="77777777" w:rsidR="000A773D" w:rsidRDefault="000A773D" w:rsidP="000A773D">
      <w:pPr>
        <w:pStyle w:val="ScheduleNumberedPara"/>
        <w:numPr>
          <w:ilvl w:val="0"/>
          <w:numId w:val="35"/>
        </w:numPr>
        <w:spacing w:after="120" w:line="240" w:lineRule="auto"/>
        <w:jc w:val="left"/>
        <w:rPr>
          <w:rFonts w:ascii="Corbel" w:hAnsi="Corbel"/>
        </w:rPr>
      </w:pPr>
      <w:r>
        <w:rPr>
          <w:rFonts w:ascii="Corbel" w:hAnsi="Corbel"/>
        </w:rPr>
        <w:t>Immobilising the contaminant to prevent migration or leaching.</w:t>
      </w:r>
    </w:p>
    <w:p w14:paraId="18E22EDC" w14:textId="77777777" w:rsidR="000A773D" w:rsidRPr="00350C36" w:rsidRDefault="000A773D" w:rsidP="000A773D">
      <w:pPr>
        <w:pStyle w:val="ScheduleNumberedPara"/>
        <w:numPr>
          <w:ilvl w:val="0"/>
          <w:numId w:val="35"/>
        </w:numPr>
        <w:spacing w:after="120" w:line="240" w:lineRule="auto"/>
        <w:jc w:val="left"/>
        <w:rPr>
          <w:rFonts w:ascii="Corbel" w:hAnsi="Corbel"/>
        </w:rPr>
      </w:pPr>
      <w:r>
        <w:rPr>
          <w:rFonts w:ascii="Corbel" w:hAnsi="Corbel"/>
        </w:rPr>
        <w:t>Storing contaminated soil or other material in a contained facility.</w:t>
      </w:r>
    </w:p>
    <w:p w14:paraId="382C7854" w14:textId="77777777" w:rsidR="000A773D" w:rsidRPr="00350C36" w:rsidRDefault="000A773D" w:rsidP="000A773D">
      <w:pPr>
        <w:pStyle w:val="ScheduleNumberedPara"/>
        <w:numPr>
          <w:ilvl w:val="0"/>
          <w:numId w:val="35"/>
        </w:numPr>
        <w:spacing w:after="120" w:line="240" w:lineRule="auto"/>
        <w:jc w:val="left"/>
        <w:rPr>
          <w:rFonts w:ascii="Corbel" w:hAnsi="Corbel"/>
        </w:rPr>
      </w:pPr>
      <w:r>
        <w:rPr>
          <w:rFonts w:ascii="Corbel" w:hAnsi="Corbel"/>
        </w:rPr>
        <w:t>Filtering/treating water.</w:t>
      </w:r>
    </w:p>
    <w:p w14:paraId="1D10F028" w14:textId="77777777" w:rsidR="000A773D" w:rsidRDefault="000A773D" w:rsidP="000A773D">
      <w:pPr>
        <w:pStyle w:val="ScheduleNumberedPara"/>
        <w:numPr>
          <w:ilvl w:val="0"/>
          <w:numId w:val="35"/>
        </w:numPr>
        <w:spacing w:after="120" w:line="240" w:lineRule="auto"/>
        <w:jc w:val="left"/>
        <w:rPr>
          <w:rFonts w:ascii="Corbel" w:hAnsi="Corbel"/>
        </w:rPr>
      </w:pPr>
      <w:r>
        <w:rPr>
          <w:rFonts w:ascii="Corbel" w:hAnsi="Corbel"/>
        </w:rPr>
        <w:t>Capping groundwater bores.</w:t>
      </w:r>
    </w:p>
    <w:p w14:paraId="2DD9E681" w14:textId="77777777" w:rsidR="000A773D" w:rsidRDefault="000A773D" w:rsidP="00C52D1F">
      <w:pPr>
        <w:pStyle w:val="Heading4"/>
      </w:pPr>
      <w:r>
        <w:t xml:space="preserve">Receptor management </w:t>
      </w:r>
    </w:p>
    <w:p w14:paraId="1B6CB0A4" w14:textId="7711EAA2" w:rsidR="000A773D" w:rsidRPr="00DE6202" w:rsidRDefault="000A773D" w:rsidP="000A773D">
      <w:pPr>
        <w:pStyle w:val="ScheduleNumberedPara"/>
        <w:numPr>
          <w:ilvl w:val="0"/>
          <w:numId w:val="0"/>
        </w:numPr>
        <w:spacing w:after="120" w:line="240" w:lineRule="auto"/>
        <w:jc w:val="left"/>
        <w:rPr>
          <w:rStyle w:val="SubtleEmphasis"/>
        </w:rPr>
      </w:pPr>
      <w:r w:rsidRPr="00DE6202">
        <w:rPr>
          <w:rStyle w:val="SubtleEmphasis"/>
        </w:rPr>
        <w:t>Measures focussed on the receptor of the contamination</w:t>
      </w:r>
      <w:r w:rsidR="00CB16BA">
        <w:rPr>
          <w:rStyle w:val="SubtleEmphasis"/>
        </w:rPr>
        <w:t xml:space="preserve"> (people such as those in surrounding communities, and the environment)</w:t>
      </w:r>
      <w:r w:rsidRPr="00DE6202">
        <w:rPr>
          <w:rStyle w:val="SubtleEmphasis"/>
        </w:rPr>
        <w:t xml:space="preserve">, where harm may occur. </w:t>
      </w:r>
    </w:p>
    <w:p w14:paraId="33C14BE3" w14:textId="6DCAC5C7" w:rsidR="000A773D" w:rsidRDefault="000A773D" w:rsidP="000A773D">
      <w:pPr>
        <w:pStyle w:val="ScheduleNumberedPara"/>
        <w:numPr>
          <w:ilvl w:val="0"/>
          <w:numId w:val="35"/>
        </w:numPr>
        <w:spacing w:after="120" w:line="240" w:lineRule="auto"/>
        <w:jc w:val="left"/>
        <w:rPr>
          <w:rFonts w:ascii="Corbel" w:hAnsi="Corbel"/>
        </w:rPr>
      </w:pPr>
      <w:r w:rsidRPr="00150DF5">
        <w:rPr>
          <w:rFonts w:ascii="Corbel" w:hAnsi="Corbel"/>
        </w:rPr>
        <w:t>Providing informatio</w:t>
      </w:r>
      <w:r>
        <w:rPr>
          <w:rFonts w:ascii="Corbel" w:hAnsi="Corbel"/>
        </w:rPr>
        <w:t xml:space="preserve">n </w:t>
      </w:r>
      <w:r w:rsidR="00BC6A4B">
        <w:rPr>
          <w:rFonts w:ascii="Corbel" w:hAnsi="Corbel"/>
        </w:rPr>
        <w:t xml:space="preserve">to people </w:t>
      </w:r>
      <w:r>
        <w:rPr>
          <w:rFonts w:ascii="Corbel" w:hAnsi="Corbel"/>
        </w:rPr>
        <w:t>about exposure pathways and</w:t>
      </w:r>
      <w:r w:rsidRPr="00150DF5">
        <w:rPr>
          <w:rFonts w:ascii="Corbel" w:hAnsi="Corbel"/>
        </w:rPr>
        <w:t xml:space="preserve"> risks</w:t>
      </w:r>
      <w:r>
        <w:rPr>
          <w:rFonts w:ascii="Corbel" w:hAnsi="Corbel"/>
        </w:rPr>
        <w:t xml:space="preserve"> of exposure to PFAS</w:t>
      </w:r>
      <w:r w:rsidRPr="00150DF5">
        <w:rPr>
          <w:rFonts w:ascii="Corbel" w:hAnsi="Corbel"/>
        </w:rPr>
        <w:t>.</w:t>
      </w:r>
    </w:p>
    <w:p w14:paraId="198901CF" w14:textId="18E1907E" w:rsidR="000A773D" w:rsidRPr="00150DF5" w:rsidRDefault="000A773D" w:rsidP="000A773D">
      <w:pPr>
        <w:pStyle w:val="ScheduleNumberedPara"/>
        <w:numPr>
          <w:ilvl w:val="0"/>
          <w:numId w:val="35"/>
        </w:numPr>
        <w:spacing w:after="120" w:line="240" w:lineRule="auto"/>
        <w:jc w:val="left"/>
        <w:rPr>
          <w:rFonts w:ascii="Corbel" w:hAnsi="Corbel"/>
        </w:rPr>
      </w:pPr>
      <w:r>
        <w:rPr>
          <w:rFonts w:ascii="Corbel" w:hAnsi="Corbel"/>
        </w:rPr>
        <w:t xml:space="preserve">Providing food advisories to </w:t>
      </w:r>
      <w:r w:rsidR="00BC6A4B">
        <w:rPr>
          <w:rFonts w:ascii="Corbel" w:hAnsi="Corbel"/>
        </w:rPr>
        <w:t>people likely to</w:t>
      </w:r>
      <w:r>
        <w:rPr>
          <w:rFonts w:ascii="Corbel" w:hAnsi="Corbel"/>
        </w:rPr>
        <w:t xml:space="preserve"> consum</w:t>
      </w:r>
      <w:r w:rsidR="00BC6A4B">
        <w:rPr>
          <w:rFonts w:ascii="Corbel" w:hAnsi="Corbel"/>
        </w:rPr>
        <w:t>e</w:t>
      </w:r>
      <w:r>
        <w:rPr>
          <w:rFonts w:ascii="Corbel" w:hAnsi="Corbel"/>
        </w:rPr>
        <w:t xml:space="preserve"> commodities produced on PFAS contaminated land or water. </w:t>
      </w:r>
    </w:p>
    <w:p w14:paraId="38171A79" w14:textId="1BAEFB2B" w:rsidR="000A773D" w:rsidRPr="003C1C01" w:rsidRDefault="000A773D">
      <w:pPr>
        <w:pStyle w:val="ScheduleNumberedPara"/>
        <w:numPr>
          <w:ilvl w:val="0"/>
          <w:numId w:val="35"/>
        </w:numPr>
        <w:spacing w:after="120" w:line="240" w:lineRule="auto"/>
        <w:jc w:val="left"/>
        <w:rPr>
          <w:rFonts w:ascii="Corbel" w:hAnsi="Corbel"/>
        </w:rPr>
      </w:pPr>
      <w:r w:rsidRPr="003C1C01">
        <w:rPr>
          <w:rFonts w:ascii="Corbel" w:hAnsi="Corbel"/>
        </w:rPr>
        <w:t xml:space="preserve">Providing alternative drinking water for a specified </w:t>
      </w:r>
      <w:proofErr w:type="gramStart"/>
      <w:r w:rsidRPr="003C1C01">
        <w:rPr>
          <w:rFonts w:ascii="Corbel" w:hAnsi="Corbel"/>
        </w:rPr>
        <w:t>period of time</w:t>
      </w:r>
      <w:proofErr w:type="gramEnd"/>
      <w:r w:rsidRPr="003C1C01">
        <w:rPr>
          <w:rFonts w:ascii="Corbel" w:hAnsi="Corbel"/>
        </w:rPr>
        <w:t xml:space="preserve"> to people whose drinking water source consistently exceeds the tolerable daily intake</w:t>
      </w:r>
      <w:r w:rsidR="003C1C01">
        <w:rPr>
          <w:rFonts w:ascii="Corbel" w:hAnsi="Corbel"/>
        </w:rPr>
        <w:t xml:space="preserve"> </w:t>
      </w:r>
      <w:r w:rsidRPr="003C1C01">
        <w:rPr>
          <w:rFonts w:ascii="Corbel" w:hAnsi="Corbel"/>
        </w:rPr>
        <w:t xml:space="preserve">for PFAS, where the tolerable daily intake has been determined. </w:t>
      </w:r>
    </w:p>
    <w:p w14:paraId="4982294C" w14:textId="7F95445D" w:rsidR="00F87A44" w:rsidRPr="003C1C01" w:rsidRDefault="00F87A44" w:rsidP="00FA13C8">
      <w:pPr>
        <w:pStyle w:val="ScheduleNumberedPara"/>
        <w:numPr>
          <w:ilvl w:val="0"/>
          <w:numId w:val="35"/>
        </w:numPr>
        <w:spacing w:after="120" w:line="240" w:lineRule="auto"/>
        <w:jc w:val="left"/>
        <w:rPr>
          <w:rFonts w:ascii="Corbel" w:hAnsi="Corbel"/>
        </w:rPr>
      </w:pPr>
      <w:r>
        <w:rPr>
          <w:rFonts w:ascii="Corbel" w:hAnsi="Corbel"/>
        </w:rPr>
        <w:t xml:space="preserve">Restricting animal access to contaminated </w:t>
      </w:r>
      <w:r w:rsidR="0050208A">
        <w:rPr>
          <w:rFonts w:ascii="Corbel" w:hAnsi="Corbel"/>
        </w:rPr>
        <w:t>land or water</w:t>
      </w:r>
      <w:r>
        <w:rPr>
          <w:rFonts w:ascii="Corbel" w:hAnsi="Corbel"/>
        </w:rPr>
        <w:t>.</w:t>
      </w:r>
    </w:p>
    <w:p w14:paraId="25D0E73F" w14:textId="531EBB67" w:rsidR="00421522" w:rsidRDefault="00421522" w:rsidP="00696BBA">
      <w:pPr>
        <w:pStyle w:val="Subtitle"/>
        <w:spacing w:after="240"/>
        <w:rPr>
          <w:b w:val="0"/>
          <w:bCs w:val="0"/>
          <w:caps w:val="0"/>
          <w:color w:val="1F497D"/>
          <w:sz w:val="32"/>
        </w:rPr>
      </w:pPr>
      <w:r>
        <w:rPr>
          <w:color w:val="1F497D"/>
          <w:sz w:val="32"/>
        </w:rPr>
        <w:br w:type="page"/>
      </w:r>
    </w:p>
    <w:p w14:paraId="54CE8A81" w14:textId="7A1DE339" w:rsidR="000D683B" w:rsidRPr="000D683B" w:rsidRDefault="00E00351" w:rsidP="000D683B">
      <w:pPr>
        <w:pStyle w:val="Subtitle"/>
        <w:spacing w:after="240"/>
        <w:rPr>
          <w:color w:val="1F497D"/>
          <w:sz w:val="32"/>
        </w:rPr>
      </w:pPr>
      <w:r>
        <w:rPr>
          <w:color w:val="1F497D"/>
          <w:sz w:val="32"/>
        </w:rPr>
        <w:lastRenderedPageBreak/>
        <w:t xml:space="preserve">ATTACHMENT </w:t>
      </w:r>
      <w:r w:rsidR="000A773D">
        <w:rPr>
          <w:color w:val="1F497D"/>
          <w:sz w:val="32"/>
        </w:rPr>
        <w:t>A</w:t>
      </w:r>
      <w:r>
        <w:rPr>
          <w:color w:val="1F497D"/>
          <w:sz w:val="32"/>
        </w:rPr>
        <w:t xml:space="preserve">: </w:t>
      </w:r>
      <w:r w:rsidR="004030B0" w:rsidRPr="008E7519">
        <w:rPr>
          <w:color w:val="1F497D"/>
          <w:sz w:val="32"/>
        </w:rPr>
        <w:t>Guidance</w:t>
      </w:r>
      <w:r w:rsidR="000E0FEA">
        <w:rPr>
          <w:color w:val="1F497D"/>
          <w:sz w:val="32"/>
        </w:rPr>
        <w:t xml:space="preserve"> DOCUMENTS</w:t>
      </w:r>
    </w:p>
    <w:tbl>
      <w:tblPr>
        <w:tblStyle w:val="GridTable1Light-Accent5"/>
        <w:tblW w:w="5000" w:type="pct"/>
        <w:tblLook w:val="04A0" w:firstRow="1" w:lastRow="0" w:firstColumn="1" w:lastColumn="0" w:noHBand="0" w:noVBand="1"/>
        <w:tblCaption w:val="Guidance documents"/>
        <w:tblDescription w:val="A list of guidance, with each guidance being followed by a checkbox for 'Identify sites, investigate and assess risks', 'engage with stakeholders' and 'manage risks'."/>
      </w:tblPr>
      <w:tblGrid>
        <w:gridCol w:w="5654"/>
        <w:gridCol w:w="1452"/>
        <w:gridCol w:w="1496"/>
        <w:gridCol w:w="1026"/>
      </w:tblGrid>
      <w:tr w:rsidR="00186649" w14:paraId="7F7E8B08" w14:textId="77777777" w:rsidTr="00886D44">
        <w:trPr>
          <w:cnfStyle w:val="100000000000" w:firstRow="1" w:lastRow="0" w:firstColumn="0" w:lastColumn="0" w:oddVBand="0" w:evenVBand="0" w:oddHBand="0" w:evenHBand="0" w:firstRowFirstColumn="0" w:firstRowLastColumn="0" w:lastRowFirstColumn="0" w:lastRowLastColumn="0"/>
          <w:cantSplit/>
          <w:trHeight w:val="1121"/>
          <w:tblHeader/>
        </w:trPr>
        <w:tc>
          <w:tcPr>
            <w:cnfStyle w:val="001000000000" w:firstRow="0" w:lastRow="0" w:firstColumn="1" w:lastColumn="0" w:oddVBand="0" w:evenVBand="0" w:oddHBand="0" w:evenHBand="0" w:firstRowFirstColumn="0" w:firstRowLastColumn="0" w:lastRowFirstColumn="0" w:lastRowLastColumn="0"/>
            <w:tcW w:w="2936" w:type="pct"/>
          </w:tcPr>
          <w:p w14:paraId="55AFC776" w14:textId="77777777" w:rsidR="00186649" w:rsidRDefault="00186649" w:rsidP="00140F75">
            <w:pPr>
              <w:spacing w:after="0"/>
              <w:jc w:val="center"/>
            </w:pPr>
          </w:p>
          <w:p w14:paraId="5383D91A" w14:textId="77777777" w:rsidR="00186649" w:rsidRPr="00D573B9" w:rsidRDefault="00186649" w:rsidP="00140F75">
            <w:pPr>
              <w:spacing w:after="0"/>
              <w:jc w:val="center"/>
              <w:rPr>
                <w:sz w:val="28"/>
                <w:szCs w:val="28"/>
              </w:rPr>
            </w:pPr>
            <w:r w:rsidRPr="00D573B9">
              <w:rPr>
                <w:sz w:val="28"/>
                <w:szCs w:val="28"/>
              </w:rPr>
              <w:t>Guidance</w:t>
            </w:r>
          </w:p>
        </w:tc>
        <w:tc>
          <w:tcPr>
            <w:tcW w:w="754" w:type="pct"/>
          </w:tcPr>
          <w:p w14:paraId="042C8F1E" w14:textId="77777777" w:rsidR="00186649" w:rsidRPr="007E227A" w:rsidRDefault="00186649" w:rsidP="00140F75">
            <w:pPr>
              <w:spacing w:after="0"/>
              <w:jc w:val="center"/>
              <w:cnfStyle w:val="100000000000" w:firstRow="1" w:lastRow="0" w:firstColumn="0" w:lastColumn="0" w:oddVBand="0" w:evenVBand="0" w:oddHBand="0" w:evenHBand="0" w:firstRowFirstColumn="0" w:firstRowLastColumn="0" w:lastRowFirstColumn="0" w:lastRowLastColumn="0"/>
            </w:pPr>
            <w:r>
              <w:t>Identify sites, investigate &amp; assess risks</w:t>
            </w:r>
            <w:r>
              <w:rPr>
                <w:noProof/>
                <w:color w:val="44546A" w:themeColor="text2"/>
              </w:rPr>
              <w:t xml:space="preserve"> </w:t>
            </w:r>
            <w:r>
              <w:rPr>
                <w:noProof/>
                <w:color w:val="44546A" w:themeColor="text2"/>
              </w:rPr>
              <w:drawing>
                <wp:anchor distT="0" distB="0" distL="114300" distR="114300" simplePos="0" relativeHeight="251658245" behindDoc="0" locked="0" layoutInCell="1" allowOverlap="1" wp14:anchorId="3A0478AB" wp14:editId="58961987">
                  <wp:simplePos x="0" y="0"/>
                  <wp:positionH relativeFrom="margin">
                    <wp:posOffset>144780</wp:posOffset>
                  </wp:positionH>
                  <wp:positionV relativeFrom="margin">
                    <wp:posOffset>0</wp:posOffset>
                  </wp:positionV>
                  <wp:extent cx="540000" cy="571388"/>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3.jpg"/>
                          <pic:cNvPicPr/>
                        </pic:nvPicPr>
                        <pic:blipFill>
                          <a:blip r:embed="rId12">
                            <a:extLst>
                              <a:ext uri="{28A0092B-C50C-407E-A947-70E740481C1C}">
                                <a14:useLocalDpi xmlns:a14="http://schemas.microsoft.com/office/drawing/2010/main" val="0"/>
                              </a:ext>
                            </a:extLst>
                          </a:blip>
                          <a:stretch>
                            <a:fillRect/>
                          </a:stretch>
                        </pic:blipFill>
                        <pic:spPr>
                          <a:xfrm>
                            <a:off x="0" y="0"/>
                            <a:ext cx="540000" cy="571388"/>
                          </a:xfrm>
                          <a:prstGeom prst="rect">
                            <a:avLst/>
                          </a:prstGeom>
                        </pic:spPr>
                      </pic:pic>
                    </a:graphicData>
                  </a:graphic>
                  <wp14:sizeRelH relativeFrom="margin">
                    <wp14:pctWidth>0</wp14:pctWidth>
                  </wp14:sizeRelH>
                  <wp14:sizeRelV relativeFrom="margin">
                    <wp14:pctHeight>0</wp14:pctHeight>
                  </wp14:sizeRelV>
                </wp:anchor>
              </w:drawing>
            </w:r>
          </w:p>
        </w:tc>
        <w:tc>
          <w:tcPr>
            <w:tcW w:w="777" w:type="pct"/>
          </w:tcPr>
          <w:p w14:paraId="3C7B2F1E" w14:textId="77777777" w:rsidR="00186649" w:rsidRPr="007E227A" w:rsidRDefault="00186649" w:rsidP="00140F75">
            <w:pPr>
              <w:spacing w:after="0"/>
              <w:jc w:val="center"/>
              <w:cnfStyle w:val="100000000000" w:firstRow="1" w:lastRow="0" w:firstColumn="0" w:lastColumn="0" w:oddVBand="0" w:evenVBand="0" w:oddHBand="0" w:evenHBand="0" w:firstRowFirstColumn="0" w:firstRowLastColumn="0" w:lastRowFirstColumn="0" w:lastRowLastColumn="0"/>
            </w:pPr>
            <w:r>
              <w:t>Engage with stakeholders</w:t>
            </w:r>
            <w:r>
              <w:rPr>
                <w:noProof/>
                <w:color w:val="44546A" w:themeColor="text2"/>
              </w:rPr>
              <w:t xml:space="preserve"> </w:t>
            </w:r>
            <w:r>
              <w:rPr>
                <w:noProof/>
                <w:color w:val="44546A" w:themeColor="text2"/>
              </w:rPr>
              <w:drawing>
                <wp:anchor distT="0" distB="0" distL="114300" distR="114300" simplePos="0" relativeHeight="251658244" behindDoc="0" locked="0" layoutInCell="1" allowOverlap="1" wp14:anchorId="115E2EFB" wp14:editId="653D0BFA">
                  <wp:simplePos x="0" y="0"/>
                  <wp:positionH relativeFrom="margin">
                    <wp:posOffset>120015</wp:posOffset>
                  </wp:positionH>
                  <wp:positionV relativeFrom="margin">
                    <wp:posOffset>0</wp:posOffset>
                  </wp:positionV>
                  <wp:extent cx="539750" cy="5441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jpg"/>
                          <pic:cNvPicPr/>
                        </pic:nvPicPr>
                        <pic:blipFill>
                          <a:blip r:embed="rId15">
                            <a:extLst>
                              <a:ext uri="{28A0092B-C50C-407E-A947-70E740481C1C}">
                                <a14:useLocalDpi xmlns:a14="http://schemas.microsoft.com/office/drawing/2010/main" val="0"/>
                              </a:ext>
                            </a:extLst>
                          </a:blip>
                          <a:stretch>
                            <a:fillRect/>
                          </a:stretch>
                        </pic:blipFill>
                        <pic:spPr>
                          <a:xfrm>
                            <a:off x="0" y="0"/>
                            <a:ext cx="539750" cy="544195"/>
                          </a:xfrm>
                          <a:prstGeom prst="rect">
                            <a:avLst/>
                          </a:prstGeom>
                        </pic:spPr>
                      </pic:pic>
                    </a:graphicData>
                  </a:graphic>
                  <wp14:sizeRelH relativeFrom="margin">
                    <wp14:pctWidth>0</wp14:pctWidth>
                  </wp14:sizeRelH>
                  <wp14:sizeRelV relativeFrom="margin">
                    <wp14:pctHeight>0</wp14:pctHeight>
                  </wp14:sizeRelV>
                </wp:anchor>
              </w:drawing>
            </w:r>
          </w:p>
        </w:tc>
        <w:tc>
          <w:tcPr>
            <w:tcW w:w="533" w:type="pct"/>
          </w:tcPr>
          <w:p w14:paraId="5CCB54BC" w14:textId="77777777" w:rsidR="00186649" w:rsidRPr="007E227A" w:rsidRDefault="00186649" w:rsidP="00140F75">
            <w:pPr>
              <w:spacing w:after="0"/>
              <w:jc w:val="center"/>
              <w:cnfStyle w:val="100000000000" w:firstRow="1"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8246" behindDoc="0" locked="0" layoutInCell="1" allowOverlap="1" wp14:anchorId="720169E2" wp14:editId="3B47EACE">
                  <wp:simplePos x="0" y="0"/>
                  <wp:positionH relativeFrom="margin">
                    <wp:posOffset>8255</wp:posOffset>
                  </wp:positionH>
                  <wp:positionV relativeFrom="margin">
                    <wp:posOffset>9525</wp:posOffset>
                  </wp:positionV>
                  <wp:extent cx="510336" cy="540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k.jpg"/>
                          <pic:cNvPicPr/>
                        </pic:nvPicPr>
                        <pic:blipFill>
                          <a:blip r:embed="rId16">
                            <a:extLst>
                              <a:ext uri="{28A0092B-C50C-407E-A947-70E740481C1C}">
                                <a14:useLocalDpi xmlns:a14="http://schemas.microsoft.com/office/drawing/2010/main" val="0"/>
                              </a:ext>
                            </a:extLst>
                          </a:blip>
                          <a:stretch>
                            <a:fillRect/>
                          </a:stretch>
                        </pic:blipFill>
                        <pic:spPr>
                          <a:xfrm>
                            <a:off x="0" y="0"/>
                            <a:ext cx="510336" cy="540000"/>
                          </a:xfrm>
                          <a:prstGeom prst="rect">
                            <a:avLst/>
                          </a:prstGeom>
                        </pic:spPr>
                      </pic:pic>
                    </a:graphicData>
                  </a:graphic>
                  <wp14:sizeRelH relativeFrom="margin">
                    <wp14:pctWidth>0</wp14:pctWidth>
                  </wp14:sizeRelH>
                  <wp14:sizeRelV relativeFrom="margin">
                    <wp14:pctHeight>0</wp14:pctHeight>
                  </wp14:sizeRelV>
                </wp:anchor>
              </w:drawing>
            </w:r>
            <w:r>
              <w:t>Manage risks</w:t>
            </w:r>
          </w:p>
        </w:tc>
      </w:tr>
      <w:tr w:rsidR="00186649" w14:paraId="4694D031" w14:textId="77777777" w:rsidTr="00140F75">
        <w:trPr>
          <w:cantSplit/>
          <w:trHeight w:val="337"/>
        </w:trPr>
        <w:tc>
          <w:tcPr>
            <w:cnfStyle w:val="001000000000" w:firstRow="0" w:lastRow="0" w:firstColumn="1" w:lastColumn="0" w:oddVBand="0" w:evenVBand="0" w:oddHBand="0" w:evenHBand="0" w:firstRowFirstColumn="0" w:firstRowLastColumn="0" w:lastRowFirstColumn="0" w:lastRowLastColumn="0"/>
            <w:tcW w:w="5000" w:type="pct"/>
            <w:gridSpan w:val="4"/>
          </w:tcPr>
          <w:p w14:paraId="34A8B0D6" w14:textId="0395B7F8" w:rsidR="00186649" w:rsidRPr="00645738" w:rsidRDefault="00B00AD7" w:rsidP="00140F75">
            <w:pPr>
              <w:spacing w:after="60" w:line="240" w:lineRule="auto"/>
              <w:jc w:val="left"/>
              <w:rPr>
                <w:b w:val="0"/>
                <w:bCs w:val="0"/>
              </w:rPr>
            </w:pPr>
            <w:r>
              <w:t>Appendices to the National Framework for Responding to PFAS Contamination</w:t>
            </w:r>
          </w:p>
        </w:tc>
      </w:tr>
      <w:tr w:rsidR="00186649" w14:paraId="1DFAF02B"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5603C875" w14:textId="24AA976E" w:rsidR="00186649" w:rsidRDefault="00186649" w:rsidP="00B00AD7">
            <w:pPr>
              <w:spacing w:after="60" w:line="240" w:lineRule="auto"/>
              <w:jc w:val="left"/>
              <w:rPr>
                <w:b w:val="0"/>
              </w:rPr>
            </w:pPr>
            <w:r w:rsidRPr="0067413B">
              <w:rPr>
                <w:b w:val="0"/>
              </w:rPr>
              <w:t xml:space="preserve">The PFAS National Environmental Management Plan –  Appendix </w:t>
            </w:r>
            <w:r>
              <w:rPr>
                <w:b w:val="0"/>
              </w:rPr>
              <w:t>B</w:t>
            </w:r>
          </w:p>
        </w:tc>
        <w:tc>
          <w:tcPr>
            <w:tcW w:w="754" w:type="pct"/>
            <w:shd w:val="clear" w:color="auto" w:fill="auto"/>
            <w:vAlign w:val="center"/>
          </w:tcPr>
          <w:p w14:paraId="6A2E167B" w14:textId="77777777" w:rsidR="00186649" w:rsidRPr="00236DAD"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777" w:type="pct"/>
            <w:shd w:val="clear" w:color="auto" w:fill="auto"/>
            <w:vAlign w:val="center"/>
          </w:tcPr>
          <w:p w14:paraId="05214EB2"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69D4A641"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391AF104"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3EDC7252" w14:textId="474EF3C8" w:rsidR="00186649" w:rsidRPr="0067413B" w:rsidRDefault="00186649" w:rsidP="00140F75">
            <w:pPr>
              <w:spacing w:after="60" w:line="240" w:lineRule="auto"/>
              <w:jc w:val="left"/>
              <w:rPr>
                <w:b w:val="0"/>
              </w:rPr>
            </w:pPr>
            <w:r>
              <w:rPr>
                <w:b w:val="0"/>
              </w:rPr>
              <w:t xml:space="preserve">PFAS </w:t>
            </w:r>
            <w:r w:rsidRPr="0067413B">
              <w:rPr>
                <w:b w:val="0"/>
              </w:rPr>
              <w:t xml:space="preserve">Information Sharing, Communication and Engagement Guidelines –  Appendix </w:t>
            </w:r>
            <w:r>
              <w:rPr>
                <w:b w:val="0"/>
              </w:rPr>
              <w:t>C</w:t>
            </w:r>
          </w:p>
        </w:tc>
        <w:tc>
          <w:tcPr>
            <w:tcW w:w="754" w:type="pct"/>
            <w:shd w:val="clear" w:color="auto" w:fill="auto"/>
            <w:vAlign w:val="center"/>
          </w:tcPr>
          <w:p w14:paraId="2A1A7F52"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77" w:type="pct"/>
            <w:shd w:val="clear" w:color="auto" w:fill="auto"/>
            <w:vAlign w:val="center"/>
          </w:tcPr>
          <w:p w14:paraId="559323DC"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236DAD">
              <w:rPr>
                <w:sz w:val="40"/>
              </w:rPr>
              <w:sym w:font="Wingdings 2" w:char="F050"/>
            </w:r>
          </w:p>
        </w:tc>
        <w:tc>
          <w:tcPr>
            <w:tcW w:w="533" w:type="pct"/>
            <w:shd w:val="clear" w:color="auto" w:fill="auto"/>
            <w:vAlign w:val="center"/>
          </w:tcPr>
          <w:p w14:paraId="08D39C2C"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186649" w14:paraId="5EECFB08"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599D06A9" w14:textId="3819CFB7" w:rsidR="00186649" w:rsidRPr="0067413B" w:rsidRDefault="00186649" w:rsidP="00140F75">
            <w:pPr>
              <w:spacing w:after="60" w:line="240" w:lineRule="auto"/>
              <w:jc w:val="left"/>
              <w:rPr>
                <w:b w:val="0"/>
              </w:rPr>
            </w:pPr>
            <w:r w:rsidRPr="0067413B">
              <w:rPr>
                <w:b w:val="0"/>
              </w:rPr>
              <w:t xml:space="preserve">Health Based Guidance Values for PFAS </w:t>
            </w:r>
            <w:r>
              <w:rPr>
                <w:b w:val="0"/>
              </w:rPr>
              <w:t xml:space="preserve">for </w:t>
            </w:r>
            <w:r w:rsidRPr="0067413B">
              <w:rPr>
                <w:b w:val="0"/>
              </w:rPr>
              <w:t>use in site investigations in Australi</w:t>
            </w:r>
            <w:r w:rsidR="00B00AD7">
              <w:rPr>
                <w:b w:val="0"/>
              </w:rPr>
              <w:t>a – Appendix D</w:t>
            </w:r>
          </w:p>
        </w:tc>
        <w:tc>
          <w:tcPr>
            <w:tcW w:w="754" w:type="pct"/>
            <w:shd w:val="clear" w:color="auto" w:fill="auto"/>
            <w:vAlign w:val="center"/>
          </w:tcPr>
          <w:p w14:paraId="781563EC"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67A74F7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18A07674"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186649" w14:paraId="74916603"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44675944" w14:textId="33367587" w:rsidR="00186649" w:rsidRPr="0067413B" w:rsidRDefault="00186649" w:rsidP="00140F75">
            <w:pPr>
              <w:spacing w:after="60" w:line="240" w:lineRule="auto"/>
              <w:jc w:val="left"/>
              <w:rPr>
                <w:b w:val="0"/>
              </w:rPr>
            </w:pPr>
            <w:r>
              <w:rPr>
                <w:b w:val="0"/>
              </w:rPr>
              <w:t>Environmental Health Standing Committee (</w:t>
            </w:r>
            <w:proofErr w:type="spellStart"/>
            <w:r w:rsidRPr="0067413B">
              <w:rPr>
                <w:b w:val="0"/>
              </w:rPr>
              <w:t>enHealth</w:t>
            </w:r>
            <w:proofErr w:type="spellEnd"/>
            <w:r>
              <w:rPr>
                <w:b w:val="0"/>
              </w:rPr>
              <w:t>)</w:t>
            </w:r>
            <w:r w:rsidRPr="0067413B">
              <w:rPr>
                <w:b w:val="0"/>
              </w:rPr>
              <w:t xml:space="preserve"> Guidance Statements on PFA</w:t>
            </w:r>
            <w:r w:rsidR="00B00AD7">
              <w:rPr>
                <w:b w:val="0"/>
              </w:rPr>
              <w:t>S – Appendix E</w:t>
            </w:r>
          </w:p>
        </w:tc>
        <w:tc>
          <w:tcPr>
            <w:tcW w:w="754" w:type="pct"/>
            <w:shd w:val="clear" w:color="auto" w:fill="auto"/>
            <w:vAlign w:val="center"/>
          </w:tcPr>
          <w:p w14:paraId="4BD86D1B"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48DE71C2"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18BF0E39"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77BD9C3F"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090381F8" w14:textId="3A4DB403" w:rsidR="00186649" w:rsidRPr="0067413B" w:rsidRDefault="00186649" w:rsidP="00140F75">
            <w:pPr>
              <w:spacing w:after="60" w:line="240" w:lineRule="auto"/>
              <w:jc w:val="left"/>
              <w:rPr>
                <w:b w:val="0"/>
              </w:rPr>
            </w:pPr>
            <w:r w:rsidRPr="0067413B">
              <w:rPr>
                <w:b w:val="0"/>
              </w:rPr>
              <w:t>Australian Health Protection Principal Committee PFAS Factsheet</w:t>
            </w:r>
            <w:r w:rsidR="00B00AD7">
              <w:rPr>
                <w:b w:val="0"/>
              </w:rPr>
              <w:t xml:space="preserve"> – Appendix F</w:t>
            </w:r>
          </w:p>
        </w:tc>
        <w:tc>
          <w:tcPr>
            <w:tcW w:w="754" w:type="pct"/>
            <w:shd w:val="clear" w:color="auto" w:fill="auto"/>
            <w:vAlign w:val="center"/>
          </w:tcPr>
          <w:p w14:paraId="669DCAC1"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77" w:type="pct"/>
            <w:shd w:val="clear" w:color="auto" w:fill="auto"/>
            <w:vAlign w:val="center"/>
          </w:tcPr>
          <w:p w14:paraId="4E7828C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72C12BE3"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29187EDB"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40201599" w14:textId="605C8E36" w:rsidR="00186649" w:rsidRPr="0067413B" w:rsidRDefault="00186649" w:rsidP="00140F75">
            <w:pPr>
              <w:spacing w:after="60" w:line="240" w:lineRule="auto"/>
              <w:jc w:val="left"/>
              <w:rPr>
                <w:b w:val="0"/>
              </w:rPr>
            </w:pPr>
            <w:r w:rsidRPr="0067413B">
              <w:rPr>
                <w:b w:val="0"/>
              </w:rPr>
              <w:t xml:space="preserve">Food Regulation Standing Committee Statement PFAS and the general food supply – Appendix </w:t>
            </w:r>
            <w:r>
              <w:rPr>
                <w:b w:val="0"/>
              </w:rPr>
              <w:t>G</w:t>
            </w:r>
          </w:p>
        </w:tc>
        <w:tc>
          <w:tcPr>
            <w:tcW w:w="754" w:type="pct"/>
            <w:shd w:val="clear" w:color="auto" w:fill="auto"/>
            <w:vAlign w:val="center"/>
          </w:tcPr>
          <w:p w14:paraId="29E95A09"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777" w:type="pct"/>
            <w:shd w:val="clear" w:color="auto" w:fill="auto"/>
            <w:vAlign w:val="center"/>
          </w:tcPr>
          <w:p w14:paraId="782FE1BC"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5FF3DAA9"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r>
      <w:tr w:rsidR="00186649" w14:paraId="1A1D2CD8" w14:textId="77777777" w:rsidTr="00140F75">
        <w:trPr>
          <w:cantSplit/>
          <w:trHeight w:val="363"/>
        </w:trPr>
        <w:tc>
          <w:tcPr>
            <w:cnfStyle w:val="001000000000" w:firstRow="0" w:lastRow="0" w:firstColumn="1" w:lastColumn="0" w:oddVBand="0" w:evenVBand="0" w:oddHBand="0" w:evenHBand="0" w:firstRowFirstColumn="0" w:firstRowLastColumn="0" w:lastRowFirstColumn="0" w:lastRowLastColumn="0"/>
            <w:tcW w:w="5000" w:type="pct"/>
            <w:gridSpan w:val="4"/>
          </w:tcPr>
          <w:p w14:paraId="2BC75BE5" w14:textId="77777777" w:rsidR="00186649" w:rsidRDefault="00186649" w:rsidP="00140F75">
            <w:pPr>
              <w:spacing w:after="60" w:line="240" w:lineRule="auto"/>
              <w:jc w:val="left"/>
            </w:pPr>
            <w:r>
              <w:t>Additional guidance on environmental health</w:t>
            </w:r>
          </w:p>
        </w:tc>
      </w:tr>
      <w:tr w:rsidR="00186649" w14:paraId="2270F8C5"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6C4E2D56" w14:textId="77777777" w:rsidR="00186649" w:rsidRPr="0067413B" w:rsidRDefault="00186649" w:rsidP="00140F75">
            <w:pPr>
              <w:spacing w:after="60" w:line="240" w:lineRule="auto"/>
              <w:jc w:val="left"/>
              <w:rPr>
                <w:b w:val="0"/>
              </w:rPr>
            </w:pPr>
            <w:r w:rsidRPr="0067413B">
              <w:rPr>
                <w:b w:val="0"/>
              </w:rPr>
              <w:t>The Environmental Health Risk Assessment guidelines for assessing human health risks from environmental hazards and associated Australian Exposure Factor Guide 2012, developed by the Environmental Health Standing Committee (</w:t>
            </w:r>
            <w:proofErr w:type="spellStart"/>
            <w:r w:rsidRPr="0067413B">
              <w:rPr>
                <w:b w:val="0"/>
              </w:rPr>
              <w:t>enHealth</w:t>
            </w:r>
            <w:proofErr w:type="spellEnd"/>
            <w:r w:rsidRPr="0067413B">
              <w:rPr>
                <w:b w:val="0"/>
              </w:rPr>
              <w:t>)</w:t>
            </w:r>
          </w:p>
        </w:tc>
        <w:tc>
          <w:tcPr>
            <w:tcW w:w="754" w:type="pct"/>
            <w:shd w:val="clear" w:color="auto" w:fill="auto"/>
            <w:vAlign w:val="center"/>
          </w:tcPr>
          <w:p w14:paraId="0E2E386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1E367A26"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2AF8B628"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186649" w14:paraId="3B185CF7" w14:textId="77777777" w:rsidTr="00140F75">
        <w:trPr>
          <w:cantSplit/>
          <w:trHeight w:val="358"/>
        </w:trPr>
        <w:tc>
          <w:tcPr>
            <w:cnfStyle w:val="001000000000" w:firstRow="0" w:lastRow="0" w:firstColumn="1" w:lastColumn="0" w:oddVBand="0" w:evenVBand="0" w:oddHBand="0" w:evenHBand="0" w:firstRowFirstColumn="0" w:firstRowLastColumn="0" w:lastRowFirstColumn="0" w:lastRowLastColumn="0"/>
            <w:tcW w:w="5000" w:type="pct"/>
            <w:gridSpan w:val="4"/>
          </w:tcPr>
          <w:p w14:paraId="6304680B" w14:textId="77777777" w:rsidR="00186649" w:rsidRPr="00645738" w:rsidRDefault="00186649" w:rsidP="00140F75">
            <w:pPr>
              <w:spacing w:after="60" w:line="240" w:lineRule="auto"/>
              <w:jc w:val="left"/>
              <w:rPr>
                <w:b w:val="0"/>
                <w:bCs w:val="0"/>
              </w:rPr>
            </w:pPr>
            <w:r>
              <w:t>Additional guidance on environmental protection</w:t>
            </w:r>
          </w:p>
        </w:tc>
      </w:tr>
      <w:tr w:rsidR="00186649" w14:paraId="51B151BD"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30B349F2" w14:textId="77777777" w:rsidR="00186649" w:rsidRPr="0067413B" w:rsidRDefault="00186649" w:rsidP="00140F75">
            <w:pPr>
              <w:spacing w:after="60" w:line="240" w:lineRule="auto"/>
              <w:jc w:val="left"/>
              <w:rPr>
                <w:b w:val="0"/>
              </w:rPr>
            </w:pPr>
            <w:r w:rsidRPr="0067413B">
              <w:rPr>
                <w:b w:val="0"/>
              </w:rPr>
              <w:t xml:space="preserve">The </w:t>
            </w:r>
            <w:r w:rsidRPr="0067413B">
              <w:rPr>
                <w:b w:val="0"/>
                <w:i/>
              </w:rPr>
              <w:t>Environment Protection and Biodiversity Conservation Act 1999</w:t>
            </w:r>
          </w:p>
        </w:tc>
        <w:tc>
          <w:tcPr>
            <w:tcW w:w="754" w:type="pct"/>
            <w:shd w:val="clear" w:color="auto" w:fill="auto"/>
            <w:vAlign w:val="center"/>
          </w:tcPr>
          <w:p w14:paraId="69289710"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55382BF6"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533" w:type="pct"/>
            <w:shd w:val="clear" w:color="auto" w:fill="auto"/>
            <w:vAlign w:val="center"/>
          </w:tcPr>
          <w:p w14:paraId="66FB4C7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186649" w14:paraId="115D9847" w14:textId="77777777" w:rsidTr="00140F75">
        <w:trPr>
          <w:cantSplit/>
          <w:trHeight w:val="357"/>
        </w:trPr>
        <w:tc>
          <w:tcPr>
            <w:cnfStyle w:val="001000000000" w:firstRow="0" w:lastRow="0" w:firstColumn="1" w:lastColumn="0" w:oddVBand="0" w:evenVBand="0" w:oddHBand="0" w:evenHBand="0" w:firstRowFirstColumn="0" w:firstRowLastColumn="0" w:lastRowFirstColumn="0" w:lastRowLastColumn="0"/>
            <w:tcW w:w="5000" w:type="pct"/>
            <w:gridSpan w:val="4"/>
          </w:tcPr>
          <w:p w14:paraId="1A9997B4" w14:textId="77777777" w:rsidR="00186649" w:rsidRPr="00645738" w:rsidRDefault="00186649" w:rsidP="00140F75">
            <w:pPr>
              <w:spacing w:after="60" w:line="240" w:lineRule="auto"/>
              <w:jc w:val="left"/>
              <w:rPr>
                <w:b w:val="0"/>
                <w:bCs w:val="0"/>
              </w:rPr>
            </w:pPr>
            <w:r>
              <w:t>Additional g</w:t>
            </w:r>
            <w:r w:rsidRPr="00645738">
              <w:t>uidance on food</w:t>
            </w:r>
          </w:p>
        </w:tc>
      </w:tr>
      <w:tr w:rsidR="00186649" w14:paraId="47190230"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4EA7A4FF" w14:textId="77777777" w:rsidR="00186649" w:rsidRPr="0067413B" w:rsidRDefault="00186649" w:rsidP="00140F75">
            <w:pPr>
              <w:spacing w:after="60" w:line="240" w:lineRule="auto"/>
              <w:jc w:val="left"/>
              <w:rPr>
                <w:b w:val="0"/>
              </w:rPr>
            </w:pPr>
            <w:r w:rsidRPr="0067413B">
              <w:rPr>
                <w:b w:val="0"/>
              </w:rPr>
              <w:t>The Food Regulation Agreement (2008), and Australia’s regulatory systems for food</w:t>
            </w:r>
          </w:p>
        </w:tc>
        <w:tc>
          <w:tcPr>
            <w:tcW w:w="754" w:type="pct"/>
            <w:shd w:val="clear" w:color="auto" w:fill="auto"/>
            <w:vAlign w:val="center"/>
          </w:tcPr>
          <w:p w14:paraId="1071B63D"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7568EF5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55B2CAC0"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337F968F" w14:textId="77777777" w:rsidTr="00140F75">
        <w:trPr>
          <w:cantSplit/>
          <w:trHeight w:val="284"/>
        </w:trPr>
        <w:tc>
          <w:tcPr>
            <w:cnfStyle w:val="001000000000" w:firstRow="0" w:lastRow="0" w:firstColumn="1" w:lastColumn="0" w:oddVBand="0" w:evenVBand="0" w:oddHBand="0" w:evenHBand="0" w:firstRowFirstColumn="0" w:firstRowLastColumn="0" w:lastRowFirstColumn="0" w:lastRowLastColumn="0"/>
            <w:tcW w:w="5000" w:type="pct"/>
            <w:gridSpan w:val="4"/>
          </w:tcPr>
          <w:p w14:paraId="2575CE7F" w14:textId="77777777" w:rsidR="00186649" w:rsidRPr="003C6F11" w:rsidRDefault="00186649" w:rsidP="00140F75">
            <w:pPr>
              <w:spacing w:after="60" w:line="240" w:lineRule="auto"/>
              <w:jc w:val="left"/>
              <w:rPr>
                <w:sz w:val="40"/>
              </w:rPr>
            </w:pPr>
            <w:r>
              <w:t>Additional guidance on chemicals management</w:t>
            </w:r>
          </w:p>
        </w:tc>
      </w:tr>
      <w:tr w:rsidR="00186649" w14:paraId="39784F2E"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40BFBD2C" w14:textId="77777777" w:rsidR="00186649" w:rsidRPr="0067413B" w:rsidRDefault="00186649" w:rsidP="00140F75">
            <w:pPr>
              <w:spacing w:after="60" w:line="240" w:lineRule="auto"/>
              <w:jc w:val="left"/>
              <w:rPr>
                <w:b w:val="0"/>
              </w:rPr>
            </w:pPr>
            <w:r w:rsidRPr="0067413B">
              <w:rPr>
                <w:b w:val="0"/>
              </w:rPr>
              <w:t xml:space="preserve">The </w:t>
            </w:r>
            <w:r w:rsidRPr="0067413B">
              <w:rPr>
                <w:b w:val="0"/>
                <w:i/>
              </w:rPr>
              <w:t xml:space="preserve">Industrial Chemicals (Notification and Assessment) Act 1989 </w:t>
            </w:r>
            <w:r w:rsidRPr="0067413B">
              <w:rPr>
                <w:b w:val="0"/>
              </w:rPr>
              <w:t>and its proposed replacement, the Industrial Chemicals Bill 2017, and state and territory regulatory systems for chemicals</w:t>
            </w:r>
          </w:p>
        </w:tc>
        <w:tc>
          <w:tcPr>
            <w:tcW w:w="754" w:type="pct"/>
            <w:shd w:val="clear" w:color="auto" w:fill="auto"/>
            <w:vAlign w:val="center"/>
          </w:tcPr>
          <w:p w14:paraId="16C916EE"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77" w:type="pct"/>
            <w:shd w:val="clear" w:color="auto" w:fill="auto"/>
            <w:vAlign w:val="center"/>
          </w:tcPr>
          <w:p w14:paraId="3B81690D"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533" w:type="pct"/>
            <w:shd w:val="clear" w:color="auto" w:fill="auto"/>
            <w:vAlign w:val="center"/>
          </w:tcPr>
          <w:p w14:paraId="6EA7E13A"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5EA2FDA3"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57825AC5" w14:textId="77777777" w:rsidR="00186649" w:rsidRPr="0067413B" w:rsidRDefault="00186649" w:rsidP="00140F75">
            <w:pPr>
              <w:spacing w:after="60" w:line="240" w:lineRule="auto"/>
              <w:jc w:val="left"/>
              <w:rPr>
                <w:b w:val="0"/>
              </w:rPr>
            </w:pPr>
            <w:r w:rsidRPr="0067413B">
              <w:rPr>
                <w:b w:val="0"/>
              </w:rPr>
              <w:t xml:space="preserve">The National Industrial Chemicals Notification and Assessment Scheme (NICNAS) Information Sheet on PFAS </w:t>
            </w:r>
          </w:p>
        </w:tc>
        <w:tc>
          <w:tcPr>
            <w:tcW w:w="754" w:type="pct"/>
            <w:shd w:val="clear" w:color="auto" w:fill="auto"/>
            <w:vAlign w:val="center"/>
          </w:tcPr>
          <w:p w14:paraId="3EE12736"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5EAA0ED1"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3D075DB7"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r>
      <w:tr w:rsidR="00186649" w14:paraId="3707AE00"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2DE92CFC" w14:textId="77777777" w:rsidR="00186649" w:rsidRPr="0067413B" w:rsidRDefault="00186649" w:rsidP="00140F75">
            <w:pPr>
              <w:spacing w:after="60" w:line="240" w:lineRule="auto"/>
              <w:jc w:val="left"/>
              <w:rPr>
                <w:b w:val="0"/>
              </w:rPr>
            </w:pPr>
            <w:r w:rsidRPr="0067413B">
              <w:rPr>
                <w:b w:val="0"/>
              </w:rPr>
              <w:t>The NICNAS Alerts on PFAS</w:t>
            </w:r>
          </w:p>
        </w:tc>
        <w:tc>
          <w:tcPr>
            <w:tcW w:w="754" w:type="pct"/>
            <w:shd w:val="clear" w:color="auto" w:fill="auto"/>
            <w:vAlign w:val="center"/>
          </w:tcPr>
          <w:p w14:paraId="656F800F"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0190A85A"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25974390"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r>
      <w:tr w:rsidR="00186649" w14:paraId="09508F78" w14:textId="77777777" w:rsidTr="00140F75">
        <w:trPr>
          <w:cantSplit/>
          <w:trHeight w:val="374"/>
        </w:trPr>
        <w:tc>
          <w:tcPr>
            <w:cnfStyle w:val="001000000000" w:firstRow="0" w:lastRow="0" w:firstColumn="1" w:lastColumn="0" w:oddVBand="0" w:evenVBand="0" w:oddHBand="0" w:evenHBand="0" w:firstRowFirstColumn="0" w:firstRowLastColumn="0" w:lastRowFirstColumn="0" w:lastRowLastColumn="0"/>
            <w:tcW w:w="5000" w:type="pct"/>
            <w:gridSpan w:val="4"/>
          </w:tcPr>
          <w:p w14:paraId="3CAB0E4E" w14:textId="77777777" w:rsidR="00186649" w:rsidRPr="003C6F11" w:rsidRDefault="00186649" w:rsidP="00140F75">
            <w:pPr>
              <w:spacing w:after="60" w:line="240" w:lineRule="auto"/>
              <w:jc w:val="left"/>
              <w:rPr>
                <w:sz w:val="40"/>
              </w:rPr>
            </w:pPr>
            <w:r>
              <w:t>Additional g</w:t>
            </w:r>
            <w:r w:rsidRPr="00E71BE5">
              <w:t>uidance on contaminated sites</w:t>
            </w:r>
          </w:p>
        </w:tc>
      </w:tr>
      <w:tr w:rsidR="00186649" w14:paraId="6803E47E"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7FA04B96" w14:textId="0BED0F99" w:rsidR="00186649" w:rsidRPr="0067413B" w:rsidRDefault="00186649" w:rsidP="00140F75">
            <w:pPr>
              <w:spacing w:after="60" w:line="240" w:lineRule="auto"/>
              <w:jc w:val="left"/>
              <w:rPr>
                <w:b w:val="0"/>
              </w:rPr>
            </w:pPr>
            <w:r w:rsidRPr="0067413B">
              <w:rPr>
                <w:b w:val="0"/>
                <w:i/>
              </w:rPr>
              <w:lastRenderedPageBreak/>
              <w:t>National Environment Protection (Assessment of Site Contamination) Measure 1999 (ASC NEPM)</w:t>
            </w:r>
            <w:r w:rsidRPr="0067413B">
              <w:rPr>
                <w:b w:val="0"/>
              </w:rPr>
              <w:t>, and state and territory regulatory systems for contaminated sites and environmental protection</w:t>
            </w:r>
          </w:p>
        </w:tc>
        <w:tc>
          <w:tcPr>
            <w:tcW w:w="754" w:type="pct"/>
            <w:shd w:val="clear" w:color="auto" w:fill="auto"/>
            <w:vAlign w:val="center"/>
          </w:tcPr>
          <w:p w14:paraId="4380A769"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39A352F8"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49B2B62E"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520BA8FE" w14:textId="77777777" w:rsidTr="00140F75">
        <w:trPr>
          <w:cantSplit/>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7861912F" w14:textId="77777777" w:rsidR="00186649" w:rsidRPr="003C6F11" w:rsidRDefault="00186649" w:rsidP="00140F75">
            <w:pPr>
              <w:spacing w:after="0" w:line="240" w:lineRule="auto"/>
              <w:jc w:val="left"/>
              <w:rPr>
                <w:sz w:val="40"/>
              </w:rPr>
            </w:pPr>
            <w:r>
              <w:t>Additional guidance on waste management</w:t>
            </w:r>
          </w:p>
        </w:tc>
      </w:tr>
      <w:tr w:rsidR="00186649" w14:paraId="09EF3932"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245EE7ED" w14:textId="77777777" w:rsidR="00186649" w:rsidRPr="0067413B" w:rsidRDefault="00186649" w:rsidP="00140F75">
            <w:pPr>
              <w:spacing w:after="60" w:line="240" w:lineRule="auto"/>
              <w:jc w:val="left"/>
              <w:rPr>
                <w:b w:val="0"/>
              </w:rPr>
            </w:pPr>
            <w:r w:rsidRPr="0067413B">
              <w:rPr>
                <w:b w:val="0"/>
              </w:rPr>
              <w:t>The National Waste Policy, and state and territory regulatory systems for waste management, and in particular, hazardous waste</w:t>
            </w:r>
          </w:p>
        </w:tc>
        <w:tc>
          <w:tcPr>
            <w:tcW w:w="754" w:type="pct"/>
            <w:shd w:val="clear" w:color="auto" w:fill="auto"/>
            <w:vAlign w:val="center"/>
          </w:tcPr>
          <w:p w14:paraId="67F425CB"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777" w:type="pct"/>
            <w:shd w:val="clear" w:color="auto" w:fill="auto"/>
            <w:vAlign w:val="center"/>
          </w:tcPr>
          <w:p w14:paraId="1C5ACD84"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533" w:type="pct"/>
            <w:shd w:val="clear" w:color="auto" w:fill="auto"/>
            <w:vAlign w:val="center"/>
          </w:tcPr>
          <w:p w14:paraId="628B0297"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5FDB2812" w14:textId="77777777" w:rsidTr="00140F75">
        <w:trPr>
          <w:cantSplit/>
          <w:trHeight w:val="348"/>
        </w:trPr>
        <w:tc>
          <w:tcPr>
            <w:cnfStyle w:val="001000000000" w:firstRow="0" w:lastRow="0" w:firstColumn="1" w:lastColumn="0" w:oddVBand="0" w:evenVBand="0" w:oddHBand="0" w:evenHBand="0" w:firstRowFirstColumn="0" w:firstRowLastColumn="0" w:lastRowFirstColumn="0" w:lastRowLastColumn="0"/>
            <w:tcW w:w="5000" w:type="pct"/>
            <w:gridSpan w:val="4"/>
          </w:tcPr>
          <w:p w14:paraId="3971DA94" w14:textId="77777777" w:rsidR="00186649" w:rsidRPr="00E71BE5" w:rsidRDefault="00186649" w:rsidP="00140F75">
            <w:pPr>
              <w:spacing w:after="60" w:line="240" w:lineRule="auto"/>
              <w:jc w:val="left"/>
              <w:rPr>
                <w:b w:val="0"/>
                <w:bCs w:val="0"/>
              </w:rPr>
            </w:pPr>
            <w:r>
              <w:t>Additional guidance on water standards</w:t>
            </w:r>
          </w:p>
        </w:tc>
      </w:tr>
      <w:tr w:rsidR="00186649" w14:paraId="7175E92E"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759D1F3D" w14:textId="77777777" w:rsidR="00186649" w:rsidRPr="0067413B" w:rsidRDefault="00186649" w:rsidP="00140F75">
            <w:pPr>
              <w:spacing w:after="60" w:line="240" w:lineRule="auto"/>
              <w:jc w:val="left"/>
              <w:rPr>
                <w:b w:val="0"/>
              </w:rPr>
            </w:pPr>
            <w:r w:rsidRPr="0067413B">
              <w:rPr>
                <w:b w:val="0"/>
              </w:rPr>
              <w:t>The National Water Quality Management Strategy, including</w:t>
            </w:r>
          </w:p>
          <w:p w14:paraId="27C46C29"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Australian Drinking Water Guidelines</w:t>
            </w:r>
          </w:p>
          <w:p w14:paraId="35762442"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Australian and New Zealand Guidelines for Fresh and Marine Water Quality</w:t>
            </w:r>
          </w:p>
          <w:p w14:paraId="1059B6C5"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Australian Guidelines for Water Quality Monitoring and Reporting</w:t>
            </w:r>
          </w:p>
          <w:p w14:paraId="5CC55F48"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Australian Guidelines for Water Recycling</w:t>
            </w:r>
          </w:p>
          <w:p w14:paraId="1AE54472"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Guidelines for Managing Risks in Recreational Water</w:t>
            </w:r>
          </w:p>
          <w:p w14:paraId="687F837B" w14:textId="77777777" w:rsidR="00186649" w:rsidRPr="0067413B" w:rsidRDefault="00186649" w:rsidP="00140F75">
            <w:pPr>
              <w:numPr>
                <w:ilvl w:val="0"/>
                <w:numId w:val="6"/>
              </w:numPr>
              <w:spacing w:after="0" w:line="240" w:lineRule="auto"/>
              <w:ind w:left="714" w:hanging="357"/>
              <w:jc w:val="left"/>
              <w:rPr>
                <w:b w:val="0"/>
              </w:rPr>
            </w:pPr>
            <w:r w:rsidRPr="0067413B">
              <w:rPr>
                <w:b w:val="0"/>
              </w:rPr>
              <w:t>The Guidelines for Groundwater Quality Protection in Australia.</w:t>
            </w:r>
          </w:p>
        </w:tc>
        <w:tc>
          <w:tcPr>
            <w:tcW w:w="754" w:type="pct"/>
            <w:shd w:val="clear" w:color="auto" w:fill="auto"/>
            <w:vAlign w:val="center"/>
          </w:tcPr>
          <w:p w14:paraId="7EE3FD1E"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777" w:type="pct"/>
            <w:shd w:val="clear" w:color="auto" w:fill="auto"/>
            <w:vAlign w:val="center"/>
          </w:tcPr>
          <w:p w14:paraId="0B725645"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c>
          <w:tcPr>
            <w:tcW w:w="533" w:type="pct"/>
            <w:shd w:val="clear" w:color="auto" w:fill="auto"/>
            <w:vAlign w:val="center"/>
          </w:tcPr>
          <w:p w14:paraId="3C645DF9"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3C6F11">
              <w:rPr>
                <w:sz w:val="40"/>
              </w:rPr>
              <w:sym w:font="Wingdings 2" w:char="F050"/>
            </w:r>
          </w:p>
        </w:tc>
      </w:tr>
      <w:tr w:rsidR="00186649" w14:paraId="5AA1D861" w14:textId="77777777" w:rsidTr="00140F75">
        <w:trPr>
          <w:cantSplit/>
          <w:trHeight w:val="309"/>
        </w:trPr>
        <w:tc>
          <w:tcPr>
            <w:cnfStyle w:val="001000000000" w:firstRow="0" w:lastRow="0" w:firstColumn="1" w:lastColumn="0" w:oddVBand="0" w:evenVBand="0" w:oddHBand="0" w:evenHBand="0" w:firstRowFirstColumn="0" w:firstRowLastColumn="0" w:lastRowFirstColumn="0" w:lastRowLastColumn="0"/>
            <w:tcW w:w="5000" w:type="pct"/>
            <w:gridSpan w:val="4"/>
          </w:tcPr>
          <w:p w14:paraId="537F6DBD" w14:textId="77777777" w:rsidR="00186649" w:rsidRPr="00F84E4D" w:rsidRDefault="00186649" w:rsidP="00140F75">
            <w:pPr>
              <w:spacing w:after="60" w:line="240" w:lineRule="auto"/>
              <w:jc w:val="left"/>
              <w:rPr>
                <w:bCs w:val="0"/>
              </w:rPr>
            </w:pPr>
            <w:r w:rsidRPr="00F84E4D">
              <w:t>Additional g</w:t>
            </w:r>
            <w:r w:rsidRPr="00F84E4D">
              <w:rPr>
                <w:bCs w:val="0"/>
              </w:rPr>
              <w:t>uidance on community engagement</w:t>
            </w:r>
          </w:p>
        </w:tc>
      </w:tr>
      <w:tr w:rsidR="00186649" w14:paraId="13D3A8EE" w14:textId="77777777" w:rsidTr="00886D44">
        <w:trPr>
          <w:cantSplit/>
        </w:trPr>
        <w:tc>
          <w:tcPr>
            <w:cnfStyle w:val="001000000000" w:firstRow="0" w:lastRow="0" w:firstColumn="1" w:lastColumn="0" w:oddVBand="0" w:evenVBand="0" w:oddHBand="0" w:evenHBand="0" w:firstRowFirstColumn="0" w:firstRowLastColumn="0" w:lastRowFirstColumn="0" w:lastRowLastColumn="0"/>
            <w:tcW w:w="2936" w:type="pct"/>
          </w:tcPr>
          <w:p w14:paraId="0DF6F096" w14:textId="77777777" w:rsidR="00186649" w:rsidRPr="00F84E4D" w:rsidRDefault="00186649" w:rsidP="00140F75">
            <w:pPr>
              <w:spacing w:after="60" w:line="240" w:lineRule="auto"/>
              <w:jc w:val="left"/>
              <w:rPr>
                <w:b w:val="0"/>
              </w:rPr>
            </w:pPr>
            <w:r w:rsidRPr="00F84E4D">
              <w:rPr>
                <w:b w:val="0"/>
              </w:rPr>
              <w:t xml:space="preserve">Responding to Environmental Health Incidents - Community Engagement Handbook, developed by </w:t>
            </w:r>
            <w:proofErr w:type="spellStart"/>
            <w:r w:rsidRPr="00F84E4D">
              <w:rPr>
                <w:b w:val="0"/>
              </w:rPr>
              <w:t>enHealth</w:t>
            </w:r>
            <w:proofErr w:type="spellEnd"/>
          </w:p>
        </w:tc>
        <w:tc>
          <w:tcPr>
            <w:tcW w:w="754" w:type="pct"/>
            <w:shd w:val="clear" w:color="auto" w:fill="auto"/>
            <w:vAlign w:val="center"/>
          </w:tcPr>
          <w:p w14:paraId="55785AD2"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p>
        </w:tc>
        <w:tc>
          <w:tcPr>
            <w:tcW w:w="777" w:type="pct"/>
            <w:shd w:val="clear" w:color="auto" w:fill="auto"/>
            <w:vAlign w:val="center"/>
          </w:tcPr>
          <w:p w14:paraId="05410A34" w14:textId="77777777" w:rsidR="00186649" w:rsidRPr="003C6F11"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r w:rsidRPr="003C6F11">
              <w:rPr>
                <w:sz w:val="40"/>
              </w:rPr>
              <w:sym w:font="Wingdings 2" w:char="F050"/>
            </w:r>
          </w:p>
        </w:tc>
        <w:tc>
          <w:tcPr>
            <w:tcW w:w="533" w:type="pct"/>
            <w:shd w:val="clear" w:color="auto" w:fill="auto"/>
            <w:vAlign w:val="center"/>
          </w:tcPr>
          <w:p w14:paraId="2B310D30" w14:textId="77777777" w:rsidR="00186649" w:rsidRDefault="00186649" w:rsidP="00140F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40"/>
              </w:rPr>
            </w:pPr>
          </w:p>
        </w:tc>
      </w:tr>
    </w:tbl>
    <w:p w14:paraId="3C09A8F6" w14:textId="03F26FD5" w:rsidR="00B4687F" w:rsidRPr="00782AEE" w:rsidRDefault="00B4687F" w:rsidP="00C52D1F"/>
    <w:sectPr w:rsidR="00B4687F" w:rsidRPr="00782AEE" w:rsidSect="00186649">
      <w:headerReference w:type="default" r:id="rId19"/>
      <w:footerReference w:type="default" r:id="rId20"/>
      <w:headerReference w:type="first" r:id="rId21"/>
      <w:type w:val="continuous"/>
      <w:pgSz w:w="11906" w:h="16838" w:code="9"/>
      <w:pgMar w:top="1134" w:right="1134" w:bottom="1134" w:left="1134" w:header="709" w:footer="709"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04F2" w14:textId="77777777" w:rsidR="00E52541" w:rsidRDefault="00E52541">
      <w:pPr>
        <w:spacing w:after="0" w:line="240" w:lineRule="auto"/>
      </w:pPr>
      <w:r>
        <w:separator/>
      </w:r>
    </w:p>
  </w:endnote>
  <w:endnote w:type="continuationSeparator" w:id="0">
    <w:p w14:paraId="2C582C8A" w14:textId="77777777" w:rsidR="00E52541" w:rsidRDefault="00E52541">
      <w:pPr>
        <w:spacing w:after="0" w:line="240" w:lineRule="auto"/>
      </w:pPr>
      <w:r>
        <w:continuationSeparator/>
      </w:r>
    </w:p>
  </w:endnote>
  <w:endnote w:type="continuationNotice" w:id="1">
    <w:p w14:paraId="2E461773" w14:textId="77777777" w:rsidR="00E52541" w:rsidRDefault="00E52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D5F6" w14:textId="4D4B10DB" w:rsidR="00140F75" w:rsidRDefault="00DF79EC" w:rsidP="00DF79EC">
    <w:pPr>
      <w:pStyle w:val="Footer"/>
      <w:jc w:val="center"/>
    </w:pPr>
    <w:r>
      <w:t xml:space="preserve">Page </w:t>
    </w:r>
    <w:sdt>
      <w:sdtPr>
        <w:id w:val="919372095"/>
        <w:docPartObj>
          <w:docPartGallery w:val="Page Numbers (Bottom of Page)"/>
          <w:docPartUnique/>
        </w:docPartObj>
      </w:sdtPr>
      <w:sdtEndPr>
        <w:rPr>
          <w:noProof/>
        </w:rPr>
      </w:sdtEndPr>
      <w:sdtContent>
        <w:r w:rsidR="00140F75">
          <w:fldChar w:fldCharType="begin"/>
        </w:r>
        <w:r w:rsidR="00140F75">
          <w:instrText xml:space="preserve"> PAGE   \* MERGEFORMAT </w:instrText>
        </w:r>
        <w:r w:rsidR="00140F75">
          <w:fldChar w:fldCharType="separate"/>
        </w:r>
        <w:r w:rsidR="00E979A3">
          <w:rPr>
            <w:noProof/>
          </w:rPr>
          <w:t>1</w:t>
        </w:r>
        <w:r w:rsidR="00140F75">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979A3">
          <w:rPr>
            <w:noProof/>
          </w:rPr>
          <w:t>11</w:t>
        </w:r>
        <w:r>
          <w:rPr>
            <w:noProof/>
          </w:rPr>
          <w:fldChar w:fldCharType="end"/>
        </w:r>
      </w:sdtContent>
    </w:sdt>
  </w:p>
  <w:p w14:paraId="4D9FBE22" w14:textId="77777777" w:rsidR="00140F75" w:rsidRDefault="0014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1BB8" w14:textId="77777777" w:rsidR="00E52541" w:rsidRDefault="00E52541">
      <w:pPr>
        <w:spacing w:after="0" w:line="240" w:lineRule="auto"/>
      </w:pPr>
      <w:r>
        <w:separator/>
      </w:r>
    </w:p>
  </w:footnote>
  <w:footnote w:type="continuationSeparator" w:id="0">
    <w:p w14:paraId="4A1E5301" w14:textId="77777777" w:rsidR="00E52541" w:rsidRDefault="00E52541">
      <w:pPr>
        <w:spacing w:after="0" w:line="240" w:lineRule="auto"/>
      </w:pPr>
      <w:r>
        <w:continuationSeparator/>
      </w:r>
    </w:p>
  </w:footnote>
  <w:footnote w:type="continuationNotice" w:id="1">
    <w:p w14:paraId="61D7C58C" w14:textId="77777777" w:rsidR="00E52541" w:rsidRDefault="00E52541">
      <w:pPr>
        <w:spacing w:after="0" w:line="240" w:lineRule="auto"/>
      </w:pPr>
    </w:p>
  </w:footnote>
  <w:footnote w:id="2">
    <w:p w14:paraId="3CDE4841" w14:textId="3EE8C893" w:rsidR="00140F75" w:rsidRPr="00A20673" w:rsidRDefault="00140F75">
      <w:pPr>
        <w:pStyle w:val="FootnoteText"/>
        <w:rPr>
          <w:lang w:val="en-US"/>
        </w:rPr>
      </w:pPr>
      <w:r>
        <w:rPr>
          <w:rStyle w:val="FootnoteReference"/>
        </w:rPr>
        <w:footnoteRef/>
      </w:r>
      <w:r>
        <w:t xml:space="preserve"> </w:t>
      </w:r>
      <w:proofErr w:type="gramStart"/>
      <w:r w:rsidRPr="00B21646">
        <w:t>For example, the Department of Infrastructure and Regional Development is responsible for</w:t>
      </w:r>
      <w:r>
        <w:t xml:space="preserve"> the regulation of</w:t>
      </w:r>
      <w:r w:rsidRPr="00B21646">
        <w:t xml:space="preserve"> environmental protection at most federally leased</w:t>
      </w:r>
      <w:r>
        <w:t xml:space="preserve"> (owned)</w:t>
      </w:r>
      <w:r w:rsidRPr="00B21646">
        <w:t xml:space="preserve"> airports</w:t>
      </w:r>
      <w:r>
        <w:t xml:space="preserve"> (Adelaide, Alice Springs, Archerfield, Canberra, Bankstown, Brisbane, Camden, Darwin, Essendon, Gold Coast, Hobart, Jandakot, Launceston, Melbourne Tullamarine, Moorabbin, Parafield, Perth, Sydney Kingsford Smith and Townsville)</w:t>
      </w:r>
      <w:r w:rsidRPr="00B21646">
        <w:t>, and the Department of Defence is responsible for environmental management on Defence land.</w:t>
      </w:r>
      <w:proofErr w:type="gramEnd"/>
      <w:r w:rsidRPr="00B21646">
        <w:t xml:space="preserve"> The Department of the Environment and Energy is also responsible for the protection of matters of national environmental significance</w:t>
      </w:r>
      <w:r>
        <w:t xml:space="preserve"> as defined in the </w:t>
      </w:r>
      <w:r>
        <w:rPr>
          <w:i/>
        </w:rPr>
        <w:t>Environment Protection and Biodiversity Conservation Act 1999</w:t>
      </w:r>
      <w:r w:rsidRPr="00B65AE2">
        <w:t xml:space="preserve"> (</w:t>
      </w:r>
      <w:proofErr w:type="spellStart"/>
      <w:r w:rsidRPr="00B65AE2">
        <w:t>Cth</w:t>
      </w:r>
      <w:proofErr w:type="spellEnd"/>
      <w:r w:rsidRPr="00B65AE2">
        <w:t>)</w:t>
      </w:r>
      <w:r w:rsidRPr="00B21646">
        <w:t>.</w:t>
      </w:r>
    </w:p>
  </w:footnote>
  <w:footnote w:id="3">
    <w:p w14:paraId="41A3ECC6" w14:textId="3613592E" w:rsidR="00140F75" w:rsidRPr="00C52D1F" w:rsidRDefault="00140F75">
      <w:pPr>
        <w:pStyle w:val="FootnoteText"/>
        <w:rPr>
          <w:lang w:val="en-US"/>
        </w:rPr>
      </w:pPr>
      <w:r>
        <w:rPr>
          <w:rStyle w:val="FootnoteReference"/>
        </w:rPr>
        <w:footnoteRef/>
      </w:r>
      <w:r>
        <w:t xml:space="preserve"> </w:t>
      </w:r>
      <w:r>
        <w:rPr>
          <w:lang w:val="en-US"/>
        </w:rPr>
        <w:t>See Key Entities section for further information on environmental regulators</w:t>
      </w:r>
    </w:p>
  </w:footnote>
  <w:footnote w:id="4">
    <w:p w14:paraId="54592892" w14:textId="4C43445F" w:rsidR="00140F75" w:rsidRPr="00C52D1F" w:rsidRDefault="00140F75" w:rsidP="00ED1B17">
      <w:pPr>
        <w:pStyle w:val="FootnoteText"/>
        <w:rPr>
          <w:lang w:val="en-US"/>
        </w:rPr>
      </w:pPr>
      <w:r>
        <w:rPr>
          <w:rStyle w:val="FootnoteReference"/>
        </w:rPr>
        <w:footnoteRef/>
      </w:r>
      <w:r>
        <w:t xml:space="preserve"> </w:t>
      </w:r>
      <w:r>
        <w:rPr>
          <w:lang w:val="en-US"/>
        </w:rPr>
        <w:t>See Key Entities section for further information on environmental regulators.</w:t>
      </w:r>
    </w:p>
  </w:footnote>
  <w:footnote w:id="5">
    <w:p w14:paraId="54D76906" w14:textId="6AACED3F" w:rsidR="00140F75" w:rsidRPr="00C52D1F" w:rsidRDefault="00140F75">
      <w:pPr>
        <w:pStyle w:val="FootnoteText"/>
        <w:rPr>
          <w:lang w:val="en-US"/>
        </w:rPr>
      </w:pPr>
      <w:r>
        <w:rPr>
          <w:rStyle w:val="FootnoteReference"/>
        </w:rPr>
        <w:footnoteRef/>
      </w:r>
      <w:r>
        <w:t xml:space="preserve"> </w:t>
      </w:r>
      <w:r>
        <w:rPr>
          <w:lang w:val="en-US"/>
        </w:rPr>
        <w:t>See Key Entities section for further information on environmental regulators.</w:t>
      </w:r>
    </w:p>
  </w:footnote>
  <w:footnote w:id="6">
    <w:p w14:paraId="0505587E" w14:textId="3E1D9A0C" w:rsidR="00140F75" w:rsidRPr="00A20673" w:rsidRDefault="00140F75">
      <w:pPr>
        <w:pStyle w:val="FootnoteText"/>
        <w:rPr>
          <w:lang w:val="en-US"/>
        </w:rPr>
      </w:pPr>
      <w:r>
        <w:rPr>
          <w:rStyle w:val="FootnoteReference"/>
        </w:rPr>
        <w:footnoteRef/>
      </w:r>
      <w:r>
        <w:t xml:space="preserve"> </w:t>
      </w:r>
      <w:r>
        <w:rPr>
          <w:lang w:val="en-US"/>
        </w:rPr>
        <w:t>See Key Entities section for further information on environmental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3317" w14:textId="049F17DA" w:rsidR="00140F75" w:rsidRDefault="00140F75" w:rsidP="008E7519">
    <w:pPr>
      <w:pStyle w:val="HeaderOdd"/>
      <w:tabs>
        <w:tab w:val="num" w:pos="1134"/>
      </w:tabs>
      <w:jc w:val="left"/>
      <w:rPr>
        <w:rFonts w:ascii="Calibri" w:hAnsi="Calibri"/>
        <w:color w:val="8DB3E2"/>
      </w:rPr>
    </w:pPr>
    <w:r>
      <w:rPr>
        <w:rFonts w:ascii="Calibri" w:hAnsi="Calibri"/>
        <w:color w:val="8DB3E2"/>
      </w:rPr>
      <w:t>Contamination Response Protocol</w:t>
    </w:r>
  </w:p>
  <w:p w14:paraId="3FF3D345" w14:textId="053D276E" w:rsidR="00140F75" w:rsidRPr="00030234" w:rsidRDefault="00140F75" w:rsidP="008E7519">
    <w:pPr>
      <w:pStyle w:val="HeaderOdd"/>
      <w:tabs>
        <w:tab w:val="num" w:pos="1134"/>
      </w:tabs>
      <w:jc w:val="left"/>
      <w:rPr>
        <w:rFonts w:ascii="Calibri" w:hAnsi="Calibri"/>
        <w:color w:val="8DB3E2"/>
      </w:rPr>
    </w:pPr>
    <w:r>
      <w:rPr>
        <w:rFonts w:ascii="Calibri" w:hAnsi="Calibri"/>
        <w:color w:val="8DB3E2"/>
      </w:rPr>
      <w:t>National Framework for Responding to PFAS Contamination</w:t>
    </w:r>
  </w:p>
  <w:p w14:paraId="07FCD6B6" w14:textId="77777777" w:rsidR="00140F75" w:rsidRPr="00FC5F92" w:rsidRDefault="00140F75" w:rsidP="008E7519">
    <w:pPr>
      <w:pStyle w:val="HeaderOdd"/>
      <w:tabs>
        <w:tab w:val="num" w:pos="1134"/>
      </w:tabs>
      <w:jc w:val="lef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0DF7" w14:textId="77777777" w:rsidR="00140F75" w:rsidRDefault="00140F75" w:rsidP="008E7519">
    <w:pPr>
      <w:pStyle w:val="HeaderOdd"/>
      <w:tabs>
        <w:tab w:val="num" w:pos="1134"/>
      </w:tabs>
      <w:rPr>
        <w:rFonts w:ascii="Calibri" w:hAnsi="Calibri"/>
        <w:color w:val="8DB3E2"/>
      </w:rPr>
    </w:pPr>
    <w:r>
      <w:rPr>
        <w:rFonts w:ascii="Calibri" w:hAnsi="Calibri"/>
        <w:color w:val="8DB3E2"/>
      </w:rPr>
      <w:t>Contamination Response Protocol</w:t>
    </w:r>
  </w:p>
  <w:p w14:paraId="3403B118" w14:textId="77777777" w:rsidR="00140F75" w:rsidRPr="00030234" w:rsidRDefault="00140F75" w:rsidP="008E7519">
    <w:pPr>
      <w:pStyle w:val="HeaderOdd"/>
      <w:tabs>
        <w:tab w:val="num" w:pos="1134"/>
      </w:tabs>
      <w:rPr>
        <w:rFonts w:ascii="Calibri" w:hAnsi="Calibri"/>
        <w:color w:val="8DB3E2"/>
      </w:rPr>
    </w:pPr>
    <w:r>
      <w:rPr>
        <w:rFonts w:ascii="Calibri" w:hAnsi="Calibri"/>
        <w:color w:val="8DB3E2"/>
      </w:rPr>
      <w:t xml:space="preserve">Appendix B to the </w:t>
    </w:r>
    <w:r w:rsidRPr="00030234">
      <w:rPr>
        <w:rFonts w:ascii="Calibri" w:hAnsi="Calibri"/>
        <w:color w:val="8DB3E2"/>
      </w:rPr>
      <w:t xml:space="preserve">Intergovernmental Agreement on </w:t>
    </w:r>
    <w:r>
      <w:rPr>
        <w:rFonts w:ascii="Calibri" w:hAnsi="Calibri"/>
        <w:color w:val="8DB3E2"/>
      </w:rPr>
      <w:t>a National Framework for Responding to PFAS Contamination</w:t>
    </w:r>
  </w:p>
  <w:p w14:paraId="3CB10CA3" w14:textId="77777777" w:rsidR="00140F75" w:rsidRDefault="00140F75" w:rsidP="008E75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AC5"/>
    <w:multiLevelType w:val="hybridMultilevel"/>
    <w:tmpl w:val="4E2A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F5B97"/>
    <w:multiLevelType w:val="hybridMultilevel"/>
    <w:tmpl w:val="EB32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86A7F"/>
    <w:multiLevelType w:val="hybridMultilevel"/>
    <w:tmpl w:val="BBC8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F0914"/>
    <w:multiLevelType w:val="hybridMultilevel"/>
    <w:tmpl w:val="C8F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D4935"/>
    <w:multiLevelType w:val="hybridMultilevel"/>
    <w:tmpl w:val="7A5E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B7B89"/>
    <w:multiLevelType w:val="hybridMultilevel"/>
    <w:tmpl w:val="E7F4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D33FD"/>
    <w:multiLevelType w:val="hybridMultilevel"/>
    <w:tmpl w:val="49EA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91AFC"/>
    <w:multiLevelType w:val="hybridMultilevel"/>
    <w:tmpl w:val="D6286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344D9"/>
    <w:multiLevelType w:val="hybridMultilevel"/>
    <w:tmpl w:val="B5027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E3210"/>
    <w:multiLevelType w:val="hybridMultilevel"/>
    <w:tmpl w:val="83140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6440D5"/>
    <w:multiLevelType w:val="hybridMultilevel"/>
    <w:tmpl w:val="CBF0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80B01D5"/>
    <w:multiLevelType w:val="hybridMultilevel"/>
    <w:tmpl w:val="C9D814BA"/>
    <w:lvl w:ilvl="0" w:tplc="0C090001">
      <w:start w:val="1"/>
      <w:numFmt w:val="bullet"/>
      <w:lvlText w:val=""/>
      <w:lvlJc w:val="left"/>
      <w:pPr>
        <w:ind w:left="2280" w:hanging="360"/>
      </w:pPr>
      <w:rPr>
        <w:rFonts w:ascii="Symbol" w:hAnsi="Symbol"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3" w15:restartNumberingAfterBreak="0">
    <w:nsid w:val="4E5F65E4"/>
    <w:multiLevelType w:val="hybridMultilevel"/>
    <w:tmpl w:val="2F74E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86A41"/>
    <w:multiLevelType w:val="hybridMultilevel"/>
    <w:tmpl w:val="167ACF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584B7A01"/>
    <w:multiLevelType w:val="hybridMultilevel"/>
    <w:tmpl w:val="75FA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319B8"/>
    <w:multiLevelType w:val="hybridMultilevel"/>
    <w:tmpl w:val="CF06D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2578D"/>
    <w:multiLevelType w:val="hybridMultilevel"/>
    <w:tmpl w:val="F5263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C65F3"/>
    <w:multiLevelType w:val="hybridMultilevel"/>
    <w:tmpl w:val="F648AA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5A8E402B"/>
    <w:multiLevelType w:val="hybridMultilevel"/>
    <w:tmpl w:val="E7F0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DD2A08"/>
    <w:multiLevelType w:val="hybridMultilevel"/>
    <w:tmpl w:val="526A2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373671"/>
    <w:multiLevelType w:val="hybridMultilevel"/>
    <w:tmpl w:val="A5AA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500249"/>
    <w:multiLevelType w:val="hybridMultilevel"/>
    <w:tmpl w:val="C406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7A39BC"/>
    <w:multiLevelType w:val="multilevel"/>
    <w:tmpl w:val="D938F1E2"/>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2"/>
      <w:numFmt w:val="upperLetter"/>
      <w:lvlRestart w:val="0"/>
      <w:pStyle w:val="Heading9"/>
      <w:suff w:val="space"/>
      <w:lvlText w:val="Schedule %9"/>
      <w:lvlJc w:val="left"/>
      <w:pPr>
        <w:ind w:left="0" w:firstLine="0"/>
      </w:pPr>
      <w:rPr>
        <w:rFonts w:hint="default"/>
        <w:b w:val="0"/>
        <w:bCs w:val="0"/>
        <w:i w:val="0"/>
        <w:iCs w:val="0"/>
        <w:caps w:val="0"/>
        <w:smallCaps w:val="0"/>
        <w:strike w:val="0"/>
        <w:dstrike w:val="0"/>
        <w:outline w:val="0"/>
        <w:shadow w:val="0"/>
        <w:emboss w:val="0"/>
        <w:imprint w:val="0"/>
        <w:noProof w:val="0"/>
        <w:vanish w:val="0"/>
        <w:color w:val="1F497D"/>
        <w:spacing w:val="0"/>
        <w:kern w:val="0"/>
        <w:position w:val="0"/>
        <w:u w:val="none"/>
        <w:vertAlign w:val="baseline"/>
        <w:em w:val="none"/>
      </w:rPr>
    </w:lvl>
  </w:abstractNum>
  <w:abstractNum w:abstractNumId="24" w15:restartNumberingAfterBreak="0">
    <w:nsid w:val="74F36522"/>
    <w:multiLevelType w:val="hybridMultilevel"/>
    <w:tmpl w:val="3FC86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854AAC"/>
    <w:multiLevelType w:val="hybridMultilevel"/>
    <w:tmpl w:val="1AFA679A"/>
    <w:lvl w:ilvl="0" w:tplc="FFFFFFFF">
      <w:start w:val="1"/>
      <w:numFmt w:val="decimal"/>
      <w:pStyle w:val="Normalnumbered"/>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3"/>
  </w:num>
  <w:num w:numId="2">
    <w:abstractNumId w:val="11"/>
  </w:num>
  <w:num w:numId="3">
    <w:abstractNumId w:val="13"/>
  </w:num>
  <w:num w:numId="4">
    <w:abstractNumId w:val="6"/>
  </w:num>
  <w:num w:numId="5">
    <w:abstractNumId w:val="1"/>
  </w:num>
  <w:num w:numId="6">
    <w:abstractNumId w:val="15"/>
  </w:num>
  <w:num w:numId="7">
    <w:abstractNumId w:val="19"/>
  </w:num>
  <w:num w:numId="8">
    <w:abstractNumId w:val="0"/>
  </w:num>
  <w:num w:numId="9">
    <w:abstractNumId w:val="2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7"/>
  </w:num>
  <w:num w:numId="20">
    <w:abstractNumId w:val="3"/>
  </w:num>
  <w:num w:numId="21">
    <w:abstractNumId w:val="11"/>
  </w:num>
  <w:num w:numId="22">
    <w:abstractNumId w:val="10"/>
  </w:num>
  <w:num w:numId="23">
    <w:abstractNumId w:val="11"/>
  </w:num>
  <w:num w:numId="24">
    <w:abstractNumId w:val="11"/>
  </w:num>
  <w:num w:numId="25">
    <w:abstractNumId w:val="11"/>
  </w:num>
  <w:num w:numId="26">
    <w:abstractNumId w:val="11"/>
  </w:num>
  <w:num w:numId="27">
    <w:abstractNumId w:val="11"/>
  </w:num>
  <w:num w:numId="28">
    <w:abstractNumId w:val="9"/>
  </w:num>
  <w:num w:numId="29">
    <w:abstractNumId w:val="12"/>
  </w:num>
  <w:num w:numId="30">
    <w:abstractNumId w:val="11"/>
  </w:num>
  <w:num w:numId="31">
    <w:abstractNumId w:val="11"/>
  </w:num>
  <w:num w:numId="32">
    <w:abstractNumId w:val="11"/>
  </w:num>
  <w:num w:numId="33">
    <w:abstractNumId w:val="20"/>
  </w:num>
  <w:num w:numId="34">
    <w:abstractNumId w:val="2"/>
  </w:num>
  <w:num w:numId="35">
    <w:abstractNumId w:val="8"/>
  </w:num>
  <w:num w:numId="36">
    <w:abstractNumId w:val="5"/>
  </w:num>
  <w:num w:numId="37">
    <w:abstractNumId w:val="7"/>
  </w:num>
  <w:num w:numId="38">
    <w:abstractNumId w:val="14"/>
  </w:num>
  <w:num w:numId="39">
    <w:abstractNumId w:val="22"/>
  </w:num>
  <w:num w:numId="40">
    <w:abstractNumId w:val="25"/>
  </w:num>
  <w:num w:numId="41">
    <w:abstractNumId w:val="11"/>
  </w:num>
  <w:num w:numId="42">
    <w:abstractNumId w:val="16"/>
  </w:num>
  <w:num w:numId="43">
    <w:abstractNumId w:val="4"/>
  </w:num>
  <w:num w:numId="44">
    <w:abstractNumId w:val="2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E2"/>
    <w:rsid w:val="00000F0A"/>
    <w:rsid w:val="00013D44"/>
    <w:rsid w:val="00023DFB"/>
    <w:rsid w:val="000339CD"/>
    <w:rsid w:val="0003573A"/>
    <w:rsid w:val="00036EAD"/>
    <w:rsid w:val="00037511"/>
    <w:rsid w:val="0004143B"/>
    <w:rsid w:val="000439B0"/>
    <w:rsid w:val="00045274"/>
    <w:rsid w:val="00045872"/>
    <w:rsid w:val="00046A01"/>
    <w:rsid w:val="00053241"/>
    <w:rsid w:val="00054DF7"/>
    <w:rsid w:val="000625EF"/>
    <w:rsid w:val="0006561C"/>
    <w:rsid w:val="00065E38"/>
    <w:rsid w:val="000661D4"/>
    <w:rsid w:val="00076E43"/>
    <w:rsid w:val="00082B3C"/>
    <w:rsid w:val="00082B72"/>
    <w:rsid w:val="000850BA"/>
    <w:rsid w:val="00086CB5"/>
    <w:rsid w:val="0008761E"/>
    <w:rsid w:val="00093AD6"/>
    <w:rsid w:val="000A773D"/>
    <w:rsid w:val="000A7E4B"/>
    <w:rsid w:val="000B0E33"/>
    <w:rsid w:val="000B6C55"/>
    <w:rsid w:val="000B7A26"/>
    <w:rsid w:val="000C1558"/>
    <w:rsid w:val="000C532E"/>
    <w:rsid w:val="000D1476"/>
    <w:rsid w:val="000D30E2"/>
    <w:rsid w:val="000D683B"/>
    <w:rsid w:val="000D6ECE"/>
    <w:rsid w:val="000E0FEA"/>
    <w:rsid w:val="000E2058"/>
    <w:rsid w:val="000E28D2"/>
    <w:rsid w:val="000E3ED7"/>
    <w:rsid w:val="000E504D"/>
    <w:rsid w:val="000F0859"/>
    <w:rsid w:val="000F1245"/>
    <w:rsid w:val="000F7EE9"/>
    <w:rsid w:val="00100B89"/>
    <w:rsid w:val="00104800"/>
    <w:rsid w:val="00114CBC"/>
    <w:rsid w:val="00115B58"/>
    <w:rsid w:val="00116E18"/>
    <w:rsid w:val="001231F6"/>
    <w:rsid w:val="00124DD5"/>
    <w:rsid w:val="00132AD0"/>
    <w:rsid w:val="001355F6"/>
    <w:rsid w:val="0014024B"/>
    <w:rsid w:val="00140F75"/>
    <w:rsid w:val="00152821"/>
    <w:rsid w:val="00152D90"/>
    <w:rsid w:val="00153FF1"/>
    <w:rsid w:val="00161677"/>
    <w:rsid w:val="00162585"/>
    <w:rsid w:val="00172A74"/>
    <w:rsid w:val="00173FF9"/>
    <w:rsid w:val="001772AD"/>
    <w:rsid w:val="00177CBE"/>
    <w:rsid w:val="00181EFA"/>
    <w:rsid w:val="001833C3"/>
    <w:rsid w:val="00186649"/>
    <w:rsid w:val="00187AE6"/>
    <w:rsid w:val="00187D70"/>
    <w:rsid w:val="00190FC6"/>
    <w:rsid w:val="0019654B"/>
    <w:rsid w:val="001970D5"/>
    <w:rsid w:val="001A5631"/>
    <w:rsid w:val="001B30AC"/>
    <w:rsid w:val="001B331C"/>
    <w:rsid w:val="001C59C9"/>
    <w:rsid w:val="001D0169"/>
    <w:rsid w:val="001E7AC8"/>
    <w:rsid w:val="001F0D2C"/>
    <w:rsid w:val="001F29A2"/>
    <w:rsid w:val="001F5D78"/>
    <w:rsid w:val="001F611F"/>
    <w:rsid w:val="001F67DE"/>
    <w:rsid w:val="00202C34"/>
    <w:rsid w:val="00204305"/>
    <w:rsid w:val="00206B8F"/>
    <w:rsid w:val="00216192"/>
    <w:rsid w:val="00220081"/>
    <w:rsid w:val="00221F54"/>
    <w:rsid w:val="00224812"/>
    <w:rsid w:val="00225180"/>
    <w:rsid w:val="0023468A"/>
    <w:rsid w:val="0023479F"/>
    <w:rsid w:val="002369BA"/>
    <w:rsid w:val="00236DAD"/>
    <w:rsid w:val="0024260F"/>
    <w:rsid w:val="002468F8"/>
    <w:rsid w:val="00247EBF"/>
    <w:rsid w:val="00254632"/>
    <w:rsid w:val="002564E7"/>
    <w:rsid w:val="00260B17"/>
    <w:rsid w:val="00262F5E"/>
    <w:rsid w:val="002657AF"/>
    <w:rsid w:val="00270E17"/>
    <w:rsid w:val="002738BC"/>
    <w:rsid w:val="00274288"/>
    <w:rsid w:val="00274A17"/>
    <w:rsid w:val="002760B3"/>
    <w:rsid w:val="002775AC"/>
    <w:rsid w:val="00282164"/>
    <w:rsid w:val="0028497D"/>
    <w:rsid w:val="002952D2"/>
    <w:rsid w:val="002B0692"/>
    <w:rsid w:val="002C5EAF"/>
    <w:rsid w:val="002D0CB1"/>
    <w:rsid w:val="002D249D"/>
    <w:rsid w:val="002D4B22"/>
    <w:rsid w:val="002D4B69"/>
    <w:rsid w:val="002D64D4"/>
    <w:rsid w:val="002E2033"/>
    <w:rsid w:val="002E70E8"/>
    <w:rsid w:val="002E7DDC"/>
    <w:rsid w:val="002F2EDA"/>
    <w:rsid w:val="00303EE0"/>
    <w:rsid w:val="00304BF7"/>
    <w:rsid w:val="00313739"/>
    <w:rsid w:val="00315215"/>
    <w:rsid w:val="00315609"/>
    <w:rsid w:val="00316A60"/>
    <w:rsid w:val="00317113"/>
    <w:rsid w:val="003233E3"/>
    <w:rsid w:val="003266D7"/>
    <w:rsid w:val="003319FE"/>
    <w:rsid w:val="00333B3D"/>
    <w:rsid w:val="003358F6"/>
    <w:rsid w:val="00346BAA"/>
    <w:rsid w:val="00350C36"/>
    <w:rsid w:val="00356727"/>
    <w:rsid w:val="003576FA"/>
    <w:rsid w:val="00364FF4"/>
    <w:rsid w:val="00370838"/>
    <w:rsid w:val="00373376"/>
    <w:rsid w:val="00376C85"/>
    <w:rsid w:val="00380C46"/>
    <w:rsid w:val="00380EBC"/>
    <w:rsid w:val="00381368"/>
    <w:rsid w:val="00381662"/>
    <w:rsid w:val="00383574"/>
    <w:rsid w:val="00383E5D"/>
    <w:rsid w:val="00387DA8"/>
    <w:rsid w:val="00396346"/>
    <w:rsid w:val="00396753"/>
    <w:rsid w:val="00396855"/>
    <w:rsid w:val="0039788A"/>
    <w:rsid w:val="003C1C01"/>
    <w:rsid w:val="003C3AD9"/>
    <w:rsid w:val="003C50E7"/>
    <w:rsid w:val="003C6DDB"/>
    <w:rsid w:val="003D56A5"/>
    <w:rsid w:val="003D6259"/>
    <w:rsid w:val="003D71CF"/>
    <w:rsid w:val="003F678A"/>
    <w:rsid w:val="00400A3D"/>
    <w:rsid w:val="00401025"/>
    <w:rsid w:val="00401C49"/>
    <w:rsid w:val="004030A9"/>
    <w:rsid w:val="004030B0"/>
    <w:rsid w:val="0040532E"/>
    <w:rsid w:val="00414D6F"/>
    <w:rsid w:val="004156BC"/>
    <w:rsid w:val="00421522"/>
    <w:rsid w:val="00423272"/>
    <w:rsid w:val="00423F23"/>
    <w:rsid w:val="004270C7"/>
    <w:rsid w:val="004276DE"/>
    <w:rsid w:val="0044087F"/>
    <w:rsid w:val="00452C21"/>
    <w:rsid w:val="004637C8"/>
    <w:rsid w:val="00466B0C"/>
    <w:rsid w:val="004743EA"/>
    <w:rsid w:val="00481AF9"/>
    <w:rsid w:val="0048346F"/>
    <w:rsid w:val="00484A77"/>
    <w:rsid w:val="00486073"/>
    <w:rsid w:val="004A1C61"/>
    <w:rsid w:val="004A24B2"/>
    <w:rsid w:val="004A4F9D"/>
    <w:rsid w:val="004A554C"/>
    <w:rsid w:val="004B2F5F"/>
    <w:rsid w:val="004C5047"/>
    <w:rsid w:val="004D2DA3"/>
    <w:rsid w:val="004D3285"/>
    <w:rsid w:val="004D3AB4"/>
    <w:rsid w:val="004D6A80"/>
    <w:rsid w:val="004E1ADF"/>
    <w:rsid w:val="004E51D1"/>
    <w:rsid w:val="004F115D"/>
    <w:rsid w:val="004F466A"/>
    <w:rsid w:val="004F69EE"/>
    <w:rsid w:val="00500A76"/>
    <w:rsid w:val="00500FC8"/>
    <w:rsid w:val="0050208A"/>
    <w:rsid w:val="005037A1"/>
    <w:rsid w:val="00505B8D"/>
    <w:rsid w:val="0052188A"/>
    <w:rsid w:val="005263F8"/>
    <w:rsid w:val="00530FF7"/>
    <w:rsid w:val="00537AF9"/>
    <w:rsid w:val="00546ACC"/>
    <w:rsid w:val="00550354"/>
    <w:rsid w:val="00553180"/>
    <w:rsid w:val="00560308"/>
    <w:rsid w:val="00560F40"/>
    <w:rsid w:val="0056204E"/>
    <w:rsid w:val="00566D8C"/>
    <w:rsid w:val="00567B9F"/>
    <w:rsid w:val="005741CD"/>
    <w:rsid w:val="00574358"/>
    <w:rsid w:val="00574559"/>
    <w:rsid w:val="00580097"/>
    <w:rsid w:val="00580774"/>
    <w:rsid w:val="00581C2F"/>
    <w:rsid w:val="0058532D"/>
    <w:rsid w:val="00591476"/>
    <w:rsid w:val="00591F92"/>
    <w:rsid w:val="005963FD"/>
    <w:rsid w:val="005978BE"/>
    <w:rsid w:val="005A3045"/>
    <w:rsid w:val="005B23BA"/>
    <w:rsid w:val="005C113E"/>
    <w:rsid w:val="005C37B9"/>
    <w:rsid w:val="005C5812"/>
    <w:rsid w:val="005C7FC2"/>
    <w:rsid w:val="005D032F"/>
    <w:rsid w:val="005D0ECF"/>
    <w:rsid w:val="005E01A9"/>
    <w:rsid w:val="005E2C6D"/>
    <w:rsid w:val="005E4888"/>
    <w:rsid w:val="005E51B0"/>
    <w:rsid w:val="005F3B3B"/>
    <w:rsid w:val="005F423E"/>
    <w:rsid w:val="0060042D"/>
    <w:rsid w:val="00600E1C"/>
    <w:rsid w:val="0060315E"/>
    <w:rsid w:val="00606241"/>
    <w:rsid w:val="00607767"/>
    <w:rsid w:val="00607D7D"/>
    <w:rsid w:val="0063026A"/>
    <w:rsid w:val="00631012"/>
    <w:rsid w:val="00632813"/>
    <w:rsid w:val="00636BA2"/>
    <w:rsid w:val="00637270"/>
    <w:rsid w:val="00645738"/>
    <w:rsid w:val="00650342"/>
    <w:rsid w:val="00651792"/>
    <w:rsid w:val="00661B3C"/>
    <w:rsid w:val="00665A1A"/>
    <w:rsid w:val="00667D78"/>
    <w:rsid w:val="00670378"/>
    <w:rsid w:val="0067117F"/>
    <w:rsid w:val="0067413B"/>
    <w:rsid w:val="00675B33"/>
    <w:rsid w:val="00681F2F"/>
    <w:rsid w:val="00682E94"/>
    <w:rsid w:val="00686527"/>
    <w:rsid w:val="00696BBA"/>
    <w:rsid w:val="006A57A6"/>
    <w:rsid w:val="006A7F64"/>
    <w:rsid w:val="006D11C7"/>
    <w:rsid w:val="006D1801"/>
    <w:rsid w:val="006D3208"/>
    <w:rsid w:val="006D3F17"/>
    <w:rsid w:val="006D4B7D"/>
    <w:rsid w:val="006D6B3F"/>
    <w:rsid w:val="006E5D26"/>
    <w:rsid w:val="006F2350"/>
    <w:rsid w:val="006F72A1"/>
    <w:rsid w:val="006F7FA1"/>
    <w:rsid w:val="0070627D"/>
    <w:rsid w:val="007064D7"/>
    <w:rsid w:val="00707C67"/>
    <w:rsid w:val="007246F4"/>
    <w:rsid w:val="00726A4B"/>
    <w:rsid w:val="00733F41"/>
    <w:rsid w:val="0073508F"/>
    <w:rsid w:val="0073763F"/>
    <w:rsid w:val="00743D9C"/>
    <w:rsid w:val="007524EA"/>
    <w:rsid w:val="00753F33"/>
    <w:rsid w:val="007566D4"/>
    <w:rsid w:val="00757C48"/>
    <w:rsid w:val="007610B1"/>
    <w:rsid w:val="007666D5"/>
    <w:rsid w:val="0076765F"/>
    <w:rsid w:val="00776CCC"/>
    <w:rsid w:val="00782AEE"/>
    <w:rsid w:val="00784F8B"/>
    <w:rsid w:val="00791A32"/>
    <w:rsid w:val="00791A39"/>
    <w:rsid w:val="00792656"/>
    <w:rsid w:val="00794418"/>
    <w:rsid w:val="00795835"/>
    <w:rsid w:val="007973C9"/>
    <w:rsid w:val="007A133B"/>
    <w:rsid w:val="007A48CE"/>
    <w:rsid w:val="007A50AE"/>
    <w:rsid w:val="007B10C1"/>
    <w:rsid w:val="007C6ABB"/>
    <w:rsid w:val="007D2F2E"/>
    <w:rsid w:val="007D5A14"/>
    <w:rsid w:val="007D71C9"/>
    <w:rsid w:val="007E09D1"/>
    <w:rsid w:val="007E227A"/>
    <w:rsid w:val="007E23C9"/>
    <w:rsid w:val="007E3112"/>
    <w:rsid w:val="007E62E0"/>
    <w:rsid w:val="007F01AF"/>
    <w:rsid w:val="007F60FB"/>
    <w:rsid w:val="0080026C"/>
    <w:rsid w:val="00800EF6"/>
    <w:rsid w:val="00805D86"/>
    <w:rsid w:val="00806A64"/>
    <w:rsid w:val="00811C08"/>
    <w:rsid w:val="00811EAC"/>
    <w:rsid w:val="00815030"/>
    <w:rsid w:val="0082323E"/>
    <w:rsid w:val="008326B5"/>
    <w:rsid w:val="008366CF"/>
    <w:rsid w:val="008376A3"/>
    <w:rsid w:val="00843D34"/>
    <w:rsid w:val="00855E4E"/>
    <w:rsid w:val="00862205"/>
    <w:rsid w:val="00863CC2"/>
    <w:rsid w:val="00871AF6"/>
    <w:rsid w:val="008846B7"/>
    <w:rsid w:val="008849E8"/>
    <w:rsid w:val="00886D44"/>
    <w:rsid w:val="00895084"/>
    <w:rsid w:val="008C1CCE"/>
    <w:rsid w:val="008D193B"/>
    <w:rsid w:val="008D1CB1"/>
    <w:rsid w:val="008D48D9"/>
    <w:rsid w:val="008D5DDF"/>
    <w:rsid w:val="008E127C"/>
    <w:rsid w:val="008E1B27"/>
    <w:rsid w:val="008E3A0E"/>
    <w:rsid w:val="008E543A"/>
    <w:rsid w:val="008E61B5"/>
    <w:rsid w:val="008E7519"/>
    <w:rsid w:val="008F3A1E"/>
    <w:rsid w:val="008F461C"/>
    <w:rsid w:val="008F4D25"/>
    <w:rsid w:val="008F5C86"/>
    <w:rsid w:val="008F7FB7"/>
    <w:rsid w:val="00902579"/>
    <w:rsid w:val="00912664"/>
    <w:rsid w:val="00913FB3"/>
    <w:rsid w:val="00917F1D"/>
    <w:rsid w:val="00922895"/>
    <w:rsid w:val="009229FC"/>
    <w:rsid w:val="00923AA0"/>
    <w:rsid w:val="00923E63"/>
    <w:rsid w:val="00936668"/>
    <w:rsid w:val="00941E80"/>
    <w:rsid w:val="00952107"/>
    <w:rsid w:val="00960BD3"/>
    <w:rsid w:val="009624A6"/>
    <w:rsid w:val="00964385"/>
    <w:rsid w:val="00967213"/>
    <w:rsid w:val="00967C7F"/>
    <w:rsid w:val="00967F7F"/>
    <w:rsid w:val="0097088C"/>
    <w:rsid w:val="00972037"/>
    <w:rsid w:val="009726D7"/>
    <w:rsid w:val="0097465A"/>
    <w:rsid w:val="00975464"/>
    <w:rsid w:val="00992C5C"/>
    <w:rsid w:val="00996919"/>
    <w:rsid w:val="009B7628"/>
    <w:rsid w:val="009C11E0"/>
    <w:rsid w:val="009C597F"/>
    <w:rsid w:val="009D284B"/>
    <w:rsid w:val="009D5B81"/>
    <w:rsid w:val="009E2D88"/>
    <w:rsid w:val="009E6ED1"/>
    <w:rsid w:val="00A01528"/>
    <w:rsid w:val="00A019B4"/>
    <w:rsid w:val="00A02EEE"/>
    <w:rsid w:val="00A10EE2"/>
    <w:rsid w:val="00A11BA6"/>
    <w:rsid w:val="00A12359"/>
    <w:rsid w:val="00A20673"/>
    <w:rsid w:val="00A20AE1"/>
    <w:rsid w:val="00A22929"/>
    <w:rsid w:val="00A337CF"/>
    <w:rsid w:val="00A362AA"/>
    <w:rsid w:val="00A40CD0"/>
    <w:rsid w:val="00A42129"/>
    <w:rsid w:val="00A47870"/>
    <w:rsid w:val="00A52480"/>
    <w:rsid w:val="00A52636"/>
    <w:rsid w:val="00A52773"/>
    <w:rsid w:val="00A625FF"/>
    <w:rsid w:val="00A72351"/>
    <w:rsid w:val="00A76812"/>
    <w:rsid w:val="00A81006"/>
    <w:rsid w:val="00A82C9C"/>
    <w:rsid w:val="00A844B8"/>
    <w:rsid w:val="00A9087C"/>
    <w:rsid w:val="00A919ED"/>
    <w:rsid w:val="00A97D0D"/>
    <w:rsid w:val="00AA1279"/>
    <w:rsid w:val="00AA77D6"/>
    <w:rsid w:val="00AB258A"/>
    <w:rsid w:val="00AE256D"/>
    <w:rsid w:val="00AE43DC"/>
    <w:rsid w:val="00AE70B4"/>
    <w:rsid w:val="00B00AD7"/>
    <w:rsid w:val="00B01D97"/>
    <w:rsid w:val="00B02F61"/>
    <w:rsid w:val="00B0580A"/>
    <w:rsid w:val="00B10D80"/>
    <w:rsid w:val="00B14A67"/>
    <w:rsid w:val="00B1573E"/>
    <w:rsid w:val="00B213F1"/>
    <w:rsid w:val="00B21646"/>
    <w:rsid w:val="00B26EC0"/>
    <w:rsid w:val="00B3122D"/>
    <w:rsid w:val="00B32183"/>
    <w:rsid w:val="00B42D31"/>
    <w:rsid w:val="00B4687F"/>
    <w:rsid w:val="00B46D07"/>
    <w:rsid w:val="00B470C6"/>
    <w:rsid w:val="00B47DB4"/>
    <w:rsid w:val="00B53809"/>
    <w:rsid w:val="00B5525F"/>
    <w:rsid w:val="00B65AE2"/>
    <w:rsid w:val="00B65ED8"/>
    <w:rsid w:val="00B73854"/>
    <w:rsid w:val="00B74C54"/>
    <w:rsid w:val="00B760D7"/>
    <w:rsid w:val="00B76D09"/>
    <w:rsid w:val="00B8302D"/>
    <w:rsid w:val="00B84720"/>
    <w:rsid w:val="00B853A6"/>
    <w:rsid w:val="00B857FD"/>
    <w:rsid w:val="00B8784B"/>
    <w:rsid w:val="00B90CB3"/>
    <w:rsid w:val="00B94D80"/>
    <w:rsid w:val="00BA3DD5"/>
    <w:rsid w:val="00BA5961"/>
    <w:rsid w:val="00BB36B4"/>
    <w:rsid w:val="00BB4152"/>
    <w:rsid w:val="00BB7F31"/>
    <w:rsid w:val="00BC1595"/>
    <w:rsid w:val="00BC2C94"/>
    <w:rsid w:val="00BC6A4B"/>
    <w:rsid w:val="00BD6A75"/>
    <w:rsid w:val="00BE1D79"/>
    <w:rsid w:val="00BE577D"/>
    <w:rsid w:val="00BE5AF4"/>
    <w:rsid w:val="00BE783C"/>
    <w:rsid w:val="00BF0A52"/>
    <w:rsid w:val="00BF5E2B"/>
    <w:rsid w:val="00C01E13"/>
    <w:rsid w:val="00C03605"/>
    <w:rsid w:val="00C05FE0"/>
    <w:rsid w:val="00C1110E"/>
    <w:rsid w:val="00C13BDC"/>
    <w:rsid w:val="00C14266"/>
    <w:rsid w:val="00C24EC2"/>
    <w:rsid w:val="00C34477"/>
    <w:rsid w:val="00C3463D"/>
    <w:rsid w:val="00C3516F"/>
    <w:rsid w:val="00C37A9C"/>
    <w:rsid w:val="00C421F0"/>
    <w:rsid w:val="00C52D1F"/>
    <w:rsid w:val="00C557E1"/>
    <w:rsid w:val="00C56639"/>
    <w:rsid w:val="00C56EB2"/>
    <w:rsid w:val="00C63507"/>
    <w:rsid w:val="00C64C8E"/>
    <w:rsid w:val="00C66B85"/>
    <w:rsid w:val="00C70A29"/>
    <w:rsid w:val="00C7276D"/>
    <w:rsid w:val="00C90734"/>
    <w:rsid w:val="00C96A95"/>
    <w:rsid w:val="00CA297C"/>
    <w:rsid w:val="00CA3DFE"/>
    <w:rsid w:val="00CA3F66"/>
    <w:rsid w:val="00CB16BA"/>
    <w:rsid w:val="00CB2415"/>
    <w:rsid w:val="00CB3E8A"/>
    <w:rsid w:val="00CC0B5B"/>
    <w:rsid w:val="00CD41B8"/>
    <w:rsid w:val="00CD46A7"/>
    <w:rsid w:val="00CD5972"/>
    <w:rsid w:val="00CE0F5A"/>
    <w:rsid w:val="00CF4A5B"/>
    <w:rsid w:val="00CF6405"/>
    <w:rsid w:val="00D12332"/>
    <w:rsid w:val="00D12414"/>
    <w:rsid w:val="00D13CED"/>
    <w:rsid w:val="00D162F1"/>
    <w:rsid w:val="00D17AD0"/>
    <w:rsid w:val="00D251D4"/>
    <w:rsid w:val="00D276CB"/>
    <w:rsid w:val="00D30370"/>
    <w:rsid w:val="00D30C83"/>
    <w:rsid w:val="00D53DBB"/>
    <w:rsid w:val="00D573B9"/>
    <w:rsid w:val="00D60BA5"/>
    <w:rsid w:val="00D73673"/>
    <w:rsid w:val="00D773A9"/>
    <w:rsid w:val="00D77424"/>
    <w:rsid w:val="00D8617D"/>
    <w:rsid w:val="00D96181"/>
    <w:rsid w:val="00DB5633"/>
    <w:rsid w:val="00DB7C25"/>
    <w:rsid w:val="00DC57B7"/>
    <w:rsid w:val="00DC7A71"/>
    <w:rsid w:val="00DD445B"/>
    <w:rsid w:val="00DD79E1"/>
    <w:rsid w:val="00DE18C8"/>
    <w:rsid w:val="00DE6202"/>
    <w:rsid w:val="00DE6F6B"/>
    <w:rsid w:val="00DF2474"/>
    <w:rsid w:val="00DF2FE3"/>
    <w:rsid w:val="00DF4B88"/>
    <w:rsid w:val="00DF79EC"/>
    <w:rsid w:val="00DF7D23"/>
    <w:rsid w:val="00E00351"/>
    <w:rsid w:val="00E04F4A"/>
    <w:rsid w:val="00E205EC"/>
    <w:rsid w:val="00E240C6"/>
    <w:rsid w:val="00E31B52"/>
    <w:rsid w:val="00E52266"/>
    <w:rsid w:val="00E52342"/>
    <w:rsid w:val="00E52541"/>
    <w:rsid w:val="00E531A5"/>
    <w:rsid w:val="00E5537F"/>
    <w:rsid w:val="00E61F4F"/>
    <w:rsid w:val="00E6245D"/>
    <w:rsid w:val="00E71BE5"/>
    <w:rsid w:val="00E74B0A"/>
    <w:rsid w:val="00E76BE2"/>
    <w:rsid w:val="00E84089"/>
    <w:rsid w:val="00E95C0C"/>
    <w:rsid w:val="00E979A3"/>
    <w:rsid w:val="00EA28A2"/>
    <w:rsid w:val="00EB00A1"/>
    <w:rsid w:val="00EB01C7"/>
    <w:rsid w:val="00EB0A1E"/>
    <w:rsid w:val="00EB4A3E"/>
    <w:rsid w:val="00EB692D"/>
    <w:rsid w:val="00EC1D60"/>
    <w:rsid w:val="00EC2417"/>
    <w:rsid w:val="00ED1B17"/>
    <w:rsid w:val="00EE1728"/>
    <w:rsid w:val="00EF594B"/>
    <w:rsid w:val="00F00E06"/>
    <w:rsid w:val="00F148C5"/>
    <w:rsid w:val="00F14BD6"/>
    <w:rsid w:val="00F15746"/>
    <w:rsid w:val="00F171AF"/>
    <w:rsid w:val="00F25B56"/>
    <w:rsid w:val="00F25BA1"/>
    <w:rsid w:val="00F36160"/>
    <w:rsid w:val="00F40EBB"/>
    <w:rsid w:val="00F42419"/>
    <w:rsid w:val="00F46D94"/>
    <w:rsid w:val="00F505EB"/>
    <w:rsid w:val="00F50A14"/>
    <w:rsid w:val="00F5530E"/>
    <w:rsid w:val="00F64D16"/>
    <w:rsid w:val="00F75B5B"/>
    <w:rsid w:val="00F766BA"/>
    <w:rsid w:val="00F84C0D"/>
    <w:rsid w:val="00F84E4D"/>
    <w:rsid w:val="00F85A81"/>
    <w:rsid w:val="00F87A44"/>
    <w:rsid w:val="00F977C0"/>
    <w:rsid w:val="00FA13C8"/>
    <w:rsid w:val="00FA7625"/>
    <w:rsid w:val="00FB3494"/>
    <w:rsid w:val="00FB3A56"/>
    <w:rsid w:val="00FB5143"/>
    <w:rsid w:val="00FB7EEB"/>
    <w:rsid w:val="00FC2DB9"/>
    <w:rsid w:val="00FC2EB9"/>
    <w:rsid w:val="00FC2F95"/>
    <w:rsid w:val="00FD35E8"/>
    <w:rsid w:val="00FD5125"/>
    <w:rsid w:val="00FE0705"/>
    <w:rsid w:val="00FE0B98"/>
    <w:rsid w:val="00FE53F6"/>
    <w:rsid w:val="00FE645F"/>
    <w:rsid w:val="00FF0F9E"/>
    <w:rsid w:val="00FF2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23FF"/>
  <w15:chartTrackingRefBased/>
  <w15:docId w15:val="{4E1F9385-C1B3-418F-99DB-7E6C03DC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E2"/>
    <w:pPr>
      <w:spacing w:after="240" w:line="260" w:lineRule="exact"/>
      <w:jc w:val="both"/>
    </w:pPr>
    <w:rPr>
      <w:rFonts w:ascii="Corbel" w:eastAsia="Times New Roman" w:hAnsi="Corbel" w:cs="Corbel"/>
      <w:color w:val="000000"/>
      <w:sz w:val="23"/>
      <w:szCs w:val="23"/>
      <w:lang w:eastAsia="en-AU"/>
    </w:rPr>
  </w:style>
  <w:style w:type="paragraph" w:styleId="Heading1">
    <w:name w:val="heading 1"/>
    <w:basedOn w:val="Normal"/>
    <w:next w:val="Normal"/>
    <w:link w:val="Heading1Char"/>
    <w:uiPriority w:val="9"/>
    <w:qFormat/>
    <w:rsid w:val="00236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D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23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77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D1B1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9"/>
    <w:qFormat/>
    <w:rsid w:val="00A10EE2"/>
    <w:pPr>
      <w:keepNext/>
      <w:numPr>
        <w:ilvl w:val="8"/>
        <w:numId w:val="1"/>
      </w:numPr>
      <w:spacing w:before="120" w:after="120" w:line="240" w:lineRule="auto"/>
      <w:jc w:val="right"/>
      <w:outlineLvl w:val="8"/>
    </w:pPr>
    <w:rPr>
      <w:rFonts w:ascii="Calibri" w:hAnsi="Calibri"/>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10EE2"/>
    <w:rPr>
      <w:rFonts w:ascii="Calibri" w:eastAsia="Times New Roman" w:hAnsi="Calibri" w:cs="Corbel"/>
      <w:sz w:val="36"/>
      <w:szCs w:val="36"/>
      <w:lang w:eastAsia="en-AU"/>
    </w:rPr>
  </w:style>
  <w:style w:type="paragraph" w:customStyle="1" w:styleId="FooterEven">
    <w:name w:val="Footer Even"/>
    <w:basedOn w:val="Footer"/>
    <w:uiPriority w:val="99"/>
    <w:rsid w:val="00A10EE2"/>
    <w:pPr>
      <w:tabs>
        <w:tab w:val="clear" w:pos="4513"/>
        <w:tab w:val="clear" w:pos="9026"/>
      </w:tabs>
      <w:jc w:val="left"/>
    </w:pPr>
    <w:rPr>
      <w:color w:val="3D4B67"/>
      <w:sz w:val="18"/>
      <w:szCs w:val="18"/>
    </w:rPr>
  </w:style>
  <w:style w:type="paragraph" w:customStyle="1" w:styleId="FooterOdd">
    <w:name w:val="Footer Odd"/>
    <w:basedOn w:val="Footer"/>
    <w:uiPriority w:val="99"/>
    <w:rsid w:val="00A10EE2"/>
    <w:pPr>
      <w:tabs>
        <w:tab w:val="clear" w:pos="4513"/>
        <w:tab w:val="clear" w:pos="9026"/>
      </w:tabs>
      <w:jc w:val="right"/>
    </w:pPr>
    <w:rPr>
      <w:color w:val="3D4B67"/>
      <w:sz w:val="18"/>
      <w:szCs w:val="18"/>
    </w:rPr>
  </w:style>
  <w:style w:type="paragraph" w:customStyle="1" w:styleId="HeaderOdd">
    <w:name w:val="Header Odd"/>
    <w:basedOn w:val="Header"/>
    <w:uiPriority w:val="99"/>
    <w:rsid w:val="00A10EE2"/>
    <w:pPr>
      <w:keepNext/>
      <w:tabs>
        <w:tab w:val="clear" w:pos="4513"/>
        <w:tab w:val="clear" w:pos="9026"/>
      </w:tabs>
      <w:jc w:val="right"/>
    </w:pPr>
    <w:rPr>
      <w:color w:val="3D4B67"/>
      <w:sz w:val="18"/>
      <w:szCs w:val="18"/>
    </w:rPr>
  </w:style>
  <w:style w:type="paragraph" w:customStyle="1" w:styleId="ScheduleStartNnumber">
    <w:name w:val="ScheduleStartNnumber"/>
    <w:uiPriority w:val="99"/>
    <w:rsid w:val="00A10EE2"/>
    <w:pPr>
      <w:numPr>
        <w:numId w:val="2"/>
      </w:numPr>
      <w:spacing w:after="0" w:line="240" w:lineRule="auto"/>
    </w:pPr>
    <w:rPr>
      <w:rFonts w:ascii="Consolas" w:eastAsia="Times New Roman" w:hAnsi="Consolas" w:cs="Consolas"/>
      <w:vanish/>
      <w:color w:val="000000"/>
      <w:kern w:val="32"/>
      <w:sz w:val="12"/>
      <w:szCs w:val="12"/>
      <w:lang w:eastAsia="en-AU"/>
    </w:rPr>
  </w:style>
  <w:style w:type="paragraph" w:styleId="Subtitle">
    <w:name w:val="Subtitle"/>
    <w:basedOn w:val="Normal"/>
    <w:link w:val="SubtitleChar"/>
    <w:uiPriority w:val="99"/>
    <w:qFormat/>
    <w:rsid w:val="00A10EE2"/>
    <w:pPr>
      <w:spacing w:after="600" w:line="240" w:lineRule="auto"/>
      <w:jc w:val="left"/>
    </w:pPr>
    <w:rPr>
      <w:rFonts w:ascii="Calibri" w:hAnsi="Calibri" w:cs="Consolas"/>
      <w:b/>
      <w:bCs/>
      <w:caps/>
      <w:color w:val="auto"/>
      <w:sz w:val="24"/>
      <w:szCs w:val="24"/>
      <w:lang w:eastAsia="ja-JP"/>
    </w:rPr>
  </w:style>
  <w:style w:type="character" w:customStyle="1" w:styleId="SubtitleChar">
    <w:name w:val="Subtitle Char"/>
    <w:basedOn w:val="DefaultParagraphFont"/>
    <w:link w:val="Subtitle"/>
    <w:uiPriority w:val="99"/>
    <w:rsid w:val="00A10EE2"/>
    <w:rPr>
      <w:rFonts w:ascii="Calibri" w:eastAsia="Times New Roman" w:hAnsi="Calibri" w:cs="Consolas"/>
      <w:b/>
      <w:bCs/>
      <w:caps/>
      <w:sz w:val="24"/>
      <w:szCs w:val="24"/>
      <w:lang w:eastAsia="ja-JP"/>
    </w:rPr>
  </w:style>
  <w:style w:type="paragraph" w:styleId="Title">
    <w:name w:val="Title"/>
    <w:basedOn w:val="Normal"/>
    <w:next w:val="Subtitle"/>
    <w:link w:val="TitleChar"/>
    <w:uiPriority w:val="99"/>
    <w:qFormat/>
    <w:rsid w:val="00A10EE2"/>
    <w:pPr>
      <w:spacing w:after="0" w:line="240" w:lineRule="auto"/>
      <w:jc w:val="left"/>
    </w:pPr>
    <w:rPr>
      <w:rFonts w:ascii="Calibri" w:hAnsi="Calibri"/>
      <w:color w:val="auto"/>
      <w:sz w:val="52"/>
      <w:szCs w:val="72"/>
      <w:lang w:eastAsia="ja-JP"/>
    </w:rPr>
  </w:style>
  <w:style w:type="character" w:customStyle="1" w:styleId="TitleChar">
    <w:name w:val="Title Char"/>
    <w:basedOn w:val="DefaultParagraphFont"/>
    <w:link w:val="Title"/>
    <w:uiPriority w:val="99"/>
    <w:rsid w:val="00A10EE2"/>
    <w:rPr>
      <w:rFonts w:ascii="Calibri" w:eastAsia="Times New Roman" w:hAnsi="Calibri" w:cs="Corbel"/>
      <w:sz w:val="52"/>
      <w:szCs w:val="72"/>
      <w:lang w:eastAsia="ja-JP"/>
    </w:rPr>
  </w:style>
  <w:style w:type="character" w:styleId="PageNumber">
    <w:name w:val="page number"/>
    <w:uiPriority w:val="99"/>
    <w:rsid w:val="00A10EE2"/>
    <w:rPr>
      <w:rFonts w:cs="Times New Roman"/>
    </w:rPr>
  </w:style>
  <w:style w:type="paragraph" w:customStyle="1" w:styleId="ScheduleNumberedPara">
    <w:name w:val="ScheduleNumberedPara"/>
    <w:basedOn w:val="Normal"/>
    <w:link w:val="ScheduleNumberedParaChar"/>
    <w:uiPriority w:val="99"/>
    <w:rsid w:val="00A10EE2"/>
    <w:pPr>
      <w:numPr>
        <w:ilvl w:val="1"/>
        <w:numId w:val="2"/>
      </w:numPr>
    </w:pPr>
    <w:rPr>
      <w:rFonts w:ascii="Calibri" w:hAnsi="Calibri"/>
      <w:color w:val="auto"/>
    </w:rPr>
  </w:style>
  <w:style w:type="character" w:customStyle="1" w:styleId="ScheduleNumberedParaChar">
    <w:name w:val="ScheduleNumberedPara Char"/>
    <w:basedOn w:val="DefaultParagraphFont"/>
    <w:link w:val="ScheduleNumberedPara"/>
    <w:uiPriority w:val="99"/>
    <w:locked/>
    <w:rsid w:val="00A10EE2"/>
    <w:rPr>
      <w:rFonts w:ascii="Calibri" w:eastAsia="Times New Roman" w:hAnsi="Calibri" w:cs="Corbel"/>
      <w:sz w:val="23"/>
      <w:szCs w:val="23"/>
      <w:lang w:eastAsia="en-AU"/>
    </w:rPr>
  </w:style>
  <w:style w:type="paragraph" w:styleId="Footer">
    <w:name w:val="footer"/>
    <w:basedOn w:val="Normal"/>
    <w:link w:val="FooterChar"/>
    <w:uiPriority w:val="99"/>
    <w:unhideWhenUsed/>
    <w:rsid w:val="00A1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E2"/>
    <w:rPr>
      <w:rFonts w:ascii="Corbel" w:eastAsia="Times New Roman" w:hAnsi="Corbel" w:cs="Corbel"/>
      <w:color w:val="000000"/>
      <w:sz w:val="23"/>
      <w:szCs w:val="23"/>
      <w:lang w:eastAsia="en-AU"/>
    </w:rPr>
  </w:style>
  <w:style w:type="paragraph" w:styleId="Header">
    <w:name w:val="header"/>
    <w:basedOn w:val="Normal"/>
    <w:link w:val="HeaderChar"/>
    <w:uiPriority w:val="99"/>
    <w:unhideWhenUsed/>
    <w:rsid w:val="00A1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E2"/>
    <w:rPr>
      <w:rFonts w:ascii="Corbel" w:eastAsia="Times New Roman" w:hAnsi="Corbel" w:cs="Corbel"/>
      <w:color w:val="000000"/>
      <w:sz w:val="23"/>
      <w:szCs w:val="23"/>
      <w:lang w:eastAsia="en-AU"/>
    </w:rPr>
  </w:style>
  <w:style w:type="paragraph" w:styleId="NormalWeb">
    <w:name w:val="Normal (Web)"/>
    <w:basedOn w:val="Normal"/>
    <w:uiPriority w:val="99"/>
    <w:semiHidden/>
    <w:unhideWhenUsed/>
    <w:rsid w:val="00A10EE2"/>
    <w:pPr>
      <w:spacing w:before="100" w:beforeAutospacing="1" w:after="100" w:afterAutospacing="1" w:line="240" w:lineRule="auto"/>
      <w:jc w:val="left"/>
    </w:pPr>
    <w:rPr>
      <w:rFonts w:ascii="Times New Roman" w:eastAsiaTheme="minorEastAsia" w:hAnsi="Times New Roman" w:cs="Times New Roman"/>
      <w:color w:val="auto"/>
      <w:sz w:val="24"/>
      <w:szCs w:val="24"/>
    </w:rPr>
  </w:style>
  <w:style w:type="table" w:styleId="TableGrid">
    <w:name w:val="Table Grid"/>
    <w:basedOn w:val="TableNormal"/>
    <w:uiPriority w:val="39"/>
    <w:rsid w:val="00E7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2C6D"/>
    <w:rPr>
      <w:sz w:val="16"/>
      <w:szCs w:val="16"/>
    </w:rPr>
  </w:style>
  <w:style w:type="paragraph" w:styleId="CommentText">
    <w:name w:val="annotation text"/>
    <w:basedOn w:val="Normal"/>
    <w:link w:val="CommentTextChar"/>
    <w:uiPriority w:val="99"/>
    <w:semiHidden/>
    <w:unhideWhenUsed/>
    <w:rsid w:val="005E2C6D"/>
    <w:pPr>
      <w:spacing w:line="240" w:lineRule="auto"/>
    </w:pPr>
    <w:rPr>
      <w:sz w:val="20"/>
      <w:szCs w:val="20"/>
    </w:rPr>
  </w:style>
  <w:style w:type="character" w:customStyle="1" w:styleId="CommentTextChar">
    <w:name w:val="Comment Text Char"/>
    <w:basedOn w:val="DefaultParagraphFont"/>
    <w:link w:val="CommentText"/>
    <w:uiPriority w:val="99"/>
    <w:semiHidden/>
    <w:rsid w:val="005E2C6D"/>
    <w:rPr>
      <w:rFonts w:ascii="Corbel" w:eastAsia="Times New Roman" w:hAnsi="Corbel" w:cs="Corbe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5E2C6D"/>
    <w:rPr>
      <w:b/>
      <w:bCs/>
    </w:rPr>
  </w:style>
  <w:style w:type="character" w:customStyle="1" w:styleId="CommentSubjectChar">
    <w:name w:val="Comment Subject Char"/>
    <w:basedOn w:val="CommentTextChar"/>
    <w:link w:val="CommentSubject"/>
    <w:uiPriority w:val="99"/>
    <w:semiHidden/>
    <w:rsid w:val="005E2C6D"/>
    <w:rPr>
      <w:rFonts w:ascii="Corbel" w:eastAsia="Times New Roman" w:hAnsi="Corbel" w:cs="Corbel"/>
      <w:b/>
      <w:bCs/>
      <w:color w:val="000000"/>
      <w:sz w:val="20"/>
      <w:szCs w:val="20"/>
      <w:lang w:eastAsia="en-AU"/>
    </w:rPr>
  </w:style>
  <w:style w:type="paragraph" w:styleId="BalloonText">
    <w:name w:val="Balloon Text"/>
    <w:basedOn w:val="Normal"/>
    <w:link w:val="BalloonTextChar"/>
    <w:uiPriority w:val="99"/>
    <w:semiHidden/>
    <w:unhideWhenUsed/>
    <w:rsid w:val="005E2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6D"/>
    <w:rPr>
      <w:rFonts w:ascii="Segoe UI" w:eastAsia="Times New Roman" w:hAnsi="Segoe UI" w:cs="Segoe UI"/>
      <w:color w:val="000000"/>
      <w:sz w:val="18"/>
      <w:szCs w:val="18"/>
      <w:lang w:eastAsia="en-AU"/>
    </w:rPr>
  </w:style>
  <w:style w:type="table" w:styleId="GridTable1Light-Accent5">
    <w:name w:val="Grid Table 1 Light Accent 5"/>
    <w:basedOn w:val="TableNormal"/>
    <w:uiPriority w:val="46"/>
    <w:rsid w:val="00C111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03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0B0"/>
    <w:rPr>
      <w:rFonts w:ascii="Corbel" w:eastAsia="Times New Roman" w:hAnsi="Corbel" w:cs="Corbel"/>
      <w:color w:val="000000"/>
      <w:sz w:val="20"/>
      <w:szCs w:val="20"/>
      <w:lang w:eastAsia="en-AU"/>
    </w:rPr>
  </w:style>
  <w:style w:type="character" w:styleId="FootnoteReference">
    <w:name w:val="footnote reference"/>
    <w:basedOn w:val="DefaultParagraphFont"/>
    <w:uiPriority w:val="99"/>
    <w:semiHidden/>
    <w:unhideWhenUsed/>
    <w:rsid w:val="004030B0"/>
    <w:rPr>
      <w:vertAlign w:val="superscript"/>
    </w:rPr>
  </w:style>
  <w:style w:type="paragraph" w:styleId="Caption">
    <w:name w:val="caption"/>
    <w:basedOn w:val="Normal"/>
    <w:next w:val="Normal"/>
    <w:uiPriority w:val="35"/>
    <w:unhideWhenUsed/>
    <w:qFormat/>
    <w:rsid w:val="003C50E7"/>
    <w:pPr>
      <w:spacing w:after="200" w:line="240" w:lineRule="auto"/>
    </w:pPr>
    <w:rPr>
      <w:i/>
      <w:iCs/>
      <w:color w:val="44546A" w:themeColor="text2"/>
      <w:sz w:val="18"/>
      <w:szCs w:val="18"/>
    </w:rPr>
  </w:style>
  <w:style w:type="paragraph" w:styleId="Revision">
    <w:name w:val="Revision"/>
    <w:hidden/>
    <w:uiPriority w:val="99"/>
    <w:semiHidden/>
    <w:rsid w:val="008F5C86"/>
    <w:pPr>
      <w:spacing w:after="0" w:line="240" w:lineRule="auto"/>
    </w:pPr>
    <w:rPr>
      <w:rFonts w:ascii="Corbel" w:eastAsia="Times New Roman" w:hAnsi="Corbel" w:cs="Corbel"/>
      <w:color w:val="000000"/>
      <w:sz w:val="23"/>
      <w:szCs w:val="23"/>
      <w:lang w:eastAsia="en-AU"/>
    </w:rPr>
  </w:style>
  <w:style w:type="paragraph" w:customStyle="1" w:styleId="paragraph">
    <w:name w:val="paragraph"/>
    <w:basedOn w:val="Normal"/>
    <w:rsid w:val="00E61F4F"/>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Heading1Char">
    <w:name w:val="Heading 1 Char"/>
    <w:basedOn w:val="DefaultParagraphFont"/>
    <w:link w:val="Heading1"/>
    <w:uiPriority w:val="9"/>
    <w:rsid w:val="00236DAD"/>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236DAD"/>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8E3A0E"/>
    <w:pPr>
      <w:ind w:left="720"/>
      <w:contextualSpacing/>
    </w:pPr>
  </w:style>
  <w:style w:type="character" w:styleId="SubtleEmphasis">
    <w:name w:val="Subtle Emphasis"/>
    <w:basedOn w:val="DefaultParagraphFont"/>
    <w:uiPriority w:val="19"/>
    <w:qFormat/>
    <w:rsid w:val="00DE6202"/>
    <w:rPr>
      <w:i/>
      <w:iCs/>
      <w:color w:val="404040" w:themeColor="text1" w:themeTint="BF"/>
    </w:rPr>
  </w:style>
  <w:style w:type="paragraph" w:customStyle="1" w:styleId="Normalnumbered">
    <w:name w:val="Normal numbered"/>
    <w:basedOn w:val="Normal"/>
    <w:link w:val="NormalnumberedChar"/>
    <w:rsid w:val="007524EA"/>
    <w:pPr>
      <w:numPr>
        <w:numId w:val="40"/>
      </w:numPr>
    </w:pPr>
    <w:rPr>
      <w:rFonts w:ascii="Calibri" w:hAnsi="Calibri"/>
      <w:color w:val="auto"/>
    </w:rPr>
  </w:style>
  <w:style w:type="character" w:customStyle="1" w:styleId="NormalnumberedChar">
    <w:name w:val="Normal numbered Char"/>
    <w:link w:val="Normalnumbered"/>
    <w:locked/>
    <w:rsid w:val="007524EA"/>
    <w:rPr>
      <w:rFonts w:ascii="Calibri" w:eastAsia="Times New Roman" w:hAnsi="Calibri" w:cs="Corbel"/>
      <w:sz w:val="23"/>
      <w:szCs w:val="23"/>
      <w:lang w:eastAsia="en-AU"/>
    </w:rPr>
  </w:style>
  <w:style w:type="table" w:styleId="GridTable2-Accent5">
    <w:name w:val="Grid Table 2 Accent 5"/>
    <w:basedOn w:val="TableNormal"/>
    <w:uiPriority w:val="47"/>
    <w:rsid w:val="0038357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38357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A12359"/>
    <w:rPr>
      <w:rFonts w:asciiTheme="majorHAnsi" w:eastAsiaTheme="majorEastAsia" w:hAnsiTheme="majorHAnsi" w:cstheme="majorBidi"/>
      <w:color w:val="1F4D78" w:themeColor="accent1" w:themeShade="7F"/>
      <w:sz w:val="24"/>
      <w:szCs w:val="24"/>
      <w:lang w:eastAsia="en-AU"/>
    </w:rPr>
  </w:style>
  <w:style w:type="table" w:styleId="ListTable1Light-Accent5">
    <w:name w:val="List Table 1 Light Accent 5"/>
    <w:basedOn w:val="TableNormal"/>
    <w:uiPriority w:val="46"/>
    <w:rsid w:val="00BF0A5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0A773D"/>
    <w:rPr>
      <w:rFonts w:asciiTheme="majorHAnsi" w:eastAsiaTheme="majorEastAsia" w:hAnsiTheme="majorHAnsi" w:cstheme="majorBidi"/>
      <w:i/>
      <w:iCs/>
      <w:color w:val="2E74B5" w:themeColor="accent1" w:themeShade="BF"/>
      <w:sz w:val="23"/>
      <w:szCs w:val="23"/>
      <w:lang w:eastAsia="en-AU"/>
    </w:rPr>
  </w:style>
  <w:style w:type="character" w:customStyle="1" w:styleId="Heading5Char">
    <w:name w:val="Heading 5 Char"/>
    <w:basedOn w:val="DefaultParagraphFont"/>
    <w:link w:val="Heading5"/>
    <w:uiPriority w:val="9"/>
    <w:rsid w:val="00ED1B17"/>
    <w:rPr>
      <w:rFonts w:asciiTheme="majorHAnsi" w:eastAsiaTheme="majorEastAsia" w:hAnsiTheme="majorHAnsi" w:cstheme="majorBidi"/>
      <w:color w:val="2E74B5" w:themeColor="accent1" w:themeShade="BF"/>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905">
      <w:bodyDiv w:val="1"/>
      <w:marLeft w:val="0"/>
      <w:marRight w:val="0"/>
      <w:marTop w:val="0"/>
      <w:marBottom w:val="0"/>
      <w:divBdr>
        <w:top w:val="none" w:sz="0" w:space="0" w:color="auto"/>
        <w:left w:val="none" w:sz="0" w:space="0" w:color="auto"/>
        <w:bottom w:val="none" w:sz="0" w:space="0" w:color="auto"/>
        <w:right w:val="none" w:sz="0" w:space="0" w:color="auto"/>
      </w:divBdr>
    </w:div>
    <w:div w:id="771896797">
      <w:bodyDiv w:val="1"/>
      <w:marLeft w:val="0"/>
      <w:marRight w:val="0"/>
      <w:marTop w:val="0"/>
      <w:marBottom w:val="0"/>
      <w:divBdr>
        <w:top w:val="none" w:sz="0" w:space="0" w:color="auto"/>
        <w:left w:val="none" w:sz="0" w:space="0" w:color="auto"/>
        <w:bottom w:val="none" w:sz="0" w:space="0" w:color="auto"/>
        <w:right w:val="none" w:sz="0" w:space="0" w:color="auto"/>
      </w:divBdr>
      <w:divsChild>
        <w:div w:id="1143500155">
          <w:marLeft w:val="0"/>
          <w:marRight w:val="0"/>
          <w:marTop w:val="0"/>
          <w:marBottom w:val="0"/>
          <w:divBdr>
            <w:top w:val="none" w:sz="0" w:space="0" w:color="auto"/>
            <w:left w:val="none" w:sz="0" w:space="0" w:color="auto"/>
            <w:bottom w:val="none" w:sz="0" w:space="0" w:color="auto"/>
            <w:right w:val="none" w:sz="0" w:space="0" w:color="auto"/>
          </w:divBdr>
          <w:divsChild>
            <w:div w:id="1984263285">
              <w:marLeft w:val="0"/>
              <w:marRight w:val="0"/>
              <w:marTop w:val="0"/>
              <w:marBottom w:val="0"/>
              <w:divBdr>
                <w:top w:val="none" w:sz="0" w:space="0" w:color="auto"/>
                <w:left w:val="none" w:sz="0" w:space="0" w:color="auto"/>
                <w:bottom w:val="none" w:sz="0" w:space="0" w:color="auto"/>
                <w:right w:val="none" w:sz="0" w:space="0" w:color="auto"/>
              </w:divBdr>
              <w:divsChild>
                <w:div w:id="144470918">
                  <w:marLeft w:val="0"/>
                  <w:marRight w:val="0"/>
                  <w:marTop w:val="0"/>
                  <w:marBottom w:val="0"/>
                  <w:divBdr>
                    <w:top w:val="none" w:sz="0" w:space="0" w:color="auto"/>
                    <w:left w:val="none" w:sz="0" w:space="0" w:color="auto"/>
                    <w:bottom w:val="none" w:sz="0" w:space="0" w:color="auto"/>
                    <w:right w:val="none" w:sz="0" w:space="0" w:color="auto"/>
                  </w:divBdr>
                  <w:divsChild>
                    <w:div w:id="1207370369">
                      <w:marLeft w:val="0"/>
                      <w:marRight w:val="0"/>
                      <w:marTop w:val="0"/>
                      <w:marBottom w:val="0"/>
                      <w:divBdr>
                        <w:top w:val="none" w:sz="0" w:space="0" w:color="auto"/>
                        <w:left w:val="none" w:sz="0" w:space="0" w:color="auto"/>
                        <w:bottom w:val="none" w:sz="0" w:space="0" w:color="auto"/>
                        <w:right w:val="none" w:sz="0" w:space="0" w:color="auto"/>
                      </w:divBdr>
                      <w:divsChild>
                        <w:div w:id="1849640079">
                          <w:marLeft w:val="0"/>
                          <w:marRight w:val="0"/>
                          <w:marTop w:val="0"/>
                          <w:marBottom w:val="0"/>
                          <w:divBdr>
                            <w:top w:val="none" w:sz="0" w:space="0" w:color="auto"/>
                            <w:left w:val="none" w:sz="0" w:space="0" w:color="auto"/>
                            <w:bottom w:val="none" w:sz="0" w:space="0" w:color="auto"/>
                            <w:right w:val="none" w:sz="0" w:space="0" w:color="auto"/>
                          </w:divBdr>
                          <w:divsChild>
                            <w:div w:id="1852988312">
                              <w:marLeft w:val="0"/>
                              <w:marRight w:val="0"/>
                              <w:marTop w:val="0"/>
                              <w:marBottom w:val="0"/>
                              <w:divBdr>
                                <w:top w:val="none" w:sz="0" w:space="0" w:color="auto"/>
                                <w:left w:val="none" w:sz="0" w:space="0" w:color="auto"/>
                                <w:bottom w:val="none" w:sz="0" w:space="0" w:color="auto"/>
                                <w:right w:val="none" w:sz="0" w:space="0" w:color="auto"/>
                              </w:divBdr>
                              <w:divsChild>
                                <w:div w:id="1691373576">
                                  <w:marLeft w:val="0"/>
                                  <w:marRight w:val="0"/>
                                  <w:marTop w:val="0"/>
                                  <w:marBottom w:val="0"/>
                                  <w:divBdr>
                                    <w:top w:val="none" w:sz="0" w:space="0" w:color="auto"/>
                                    <w:left w:val="none" w:sz="0" w:space="0" w:color="auto"/>
                                    <w:bottom w:val="none" w:sz="0" w:space="0" w:color="auto"/>
                                    <w:right w:val="none" w:sz="0" w:space="0" w:color="auto"/>
                                  </w:divBdr>
                                  <w:divsChild>
                                    <w:div w:id="46952168">
                                      <w:marLeft w:val="0"/>
                                      <w:marRight w:val="0"/>
                                      <w:marTop w:val="0"/>
                                      <w:marBottom w:val="0"/>
                                      <w:divBdr>
                                        <w:top w:val="none" w:sz="0" w:space="0" w:color="auto"/>
                                        <w:left w:val="none" w:sz="0" w:space="0" w:color="auto"/>
                                        <w:bottom w:val="none" w:sz="0" w:space="0" w:color="auto"/>
                                        <w:right w:val="none" w:sz="0" w:space="0" w:color="auto"/>
                                      </w:divBdr>
                                      <w:divsChild>
                                        <w:div w:id="1986011001">
                                          <w:marLeft w:val="0"/>
                                          <w:marRight w:val="0"/>
                                          <w:marTop w:val="0"/>
                                          <w:marBottom w:val="0"/>
                                          <w:divBdr>
                                            <w:top w:val="none" w:sz="0" w:space="0" w:color="auto"/>
                                            <w:left w:val="none" w:sz="0" w:space="0" w:color="auto"/>
                                            <w:bottom w:val="none" w:sz="0" w:space="0" w:color="auto"/>
                                            <w:right w:val="none" w:sz="0" w:space="0" w:color="auto"/>
                                          </w:divBdr>
                                          <w:divsChild>
                                            <w:div w:id="289744828">
                                              <w:marLeft w:val="0"/>
                                              <w:marRight w:val="0"/>
                                              <w:marTop w:val="0"/>
                                              <w:marBottom w:val="0"/>
                                              <w:divBdr>
                                                <w:top w:val="none" w:sz="0" w:space="0" w:color="auto"/>
                                                <w:left w:val="none" w:sz="0" w:space="0" w:color="auto"/>
                                                <w:bottom w:val="none" w:sz="0" w:space="0" w:color="auto"/>
                                                <w:right w:val="none" w:sz="0" w:space="0" w:color="auto"/>
                                              </w:divBdr>
                                              <w:divsChild>
                                                <w:div w:id="564147598">
                                                  <w:marLeft w:val="0"/>
                                                  <w:marRight w:val="0"/>
                                                  <w:marTop w:val="0"/>
                                                  <w:marBottom w:val="0"/>
                                                  <w:divBdr>
                                                    <w:top w:val="none" w:sz="0" w:space="0" w:color="auto"/>
                                                    <w:left w:val="none" w:sz="0" w:space="0" w:color="auto"/>
                                                    <w:bottom w:val="none" w:sz="0" w:space="0" w:color="auto"/>
                                                    <w:right w:val="none" w:sz="0" w:space="0" w:color="auto"/>
                                                  </w:divBdr>
                                                  <w:divsChild>
                                                    <w:div w:id="765735343">
                                                      <w:marLeft w:val="0"/>
                                                      <w:marRight w:val="0"/>
                                                      <w:marTop w:val="0"/>
                                                      <w:marBottom w:val="0"/>
                                                      <w:divBdr>
                                                        <w:top w:val="none" w:sz="0" w:space="0" w:color="auto"/>
                                                        <w:left w:val="none" w:sz="0" w:space="0" w:color="auto"/>
                                                        <w:bottom w:val="none" w:sz="0" w:space="0" w:color="auto"/>
                                                        <w:right w:val="none" w:sz="0" w:space="0" w:color="auto"/>
                                                      </w:divBdr>
                                                      <w:divsChild>
                                                        <w:div w:id="1769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pc.gov.au/nepms/assessment-site-contamination" TargetMode="External"/><Relationship Id="rId18" Type="http://schemas.openxmlformats.org/officeDocument/2006/relationships/hyperlink" Target="https://www.environment.gov.au/protection/hazardous-waste/conven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nvironment.gov.au/protection/chemicals-management/pops"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7a791de5-0ffd-4ecf-adaa-96e20752d8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PMCNotes xmlns="7a791de5-0ffd-4ecf-adaa-96e20752d804" xsi:nil="true"/>
    <ShareHubID xmlns="7a791de5-0ffd-4ecf-adaa-96e20752d804">DOC17-462894</ShareHubID>
    <TaxCatchAll xmlns="7a791de5-0ffd-4ecf-adaa-96e20752d804">
      <Value>2</Value>
      <Value>1</Value>
    </TaxCatchAll>
    <jd1c641577414dfdab1686c9d5d0dbd0 xmlns="7a791de5-0ffd-4ecf-adaa-96e20752d804">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b1256f8d-012b-4b9b-af03-4335740e2c97</TermId>
        </TermInfo>
      </Terms>
    </jd1c641577414dfdab1686c9d5d0dbd0>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1A5EF438D4D40543B46FA387300F929A" ma:contentTypeVersion="2" ma:contentTypeDescription="PMC Document" ma:contentTypeScope="" ma:versionID="b8d21c1338682b342702de971a1934d4">
  <xsd:schema xmlns:xsd="http://www.w3.org/2001/XMLSchema" xmlns:xs="http://www.w3.org/2001/XMLSchema" xmlns:p="http://schemas.microsoft.com/office/2006/metadata/properties" xmlns:ns1="7a791de5-0ffd-4ecf-adaa-96e20752d804" xmlns:ns3="685f9fda-bd71-4433-b331-92feb9553089" targetNamespace="http://schemas.microsoft.com/office/2006/metadata/properties" ma:root="true" ma:fieldsID="2e68071e89cc2eee1577a9cf37461552" ns1:_="" ns3:_="">
    <xsd:import namespace="7a791de5-0ffd-4ecf-adaa-96e20752d804"/>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1de5-0ffd-4ecf-adaa-96e20752d80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e110d7b-b632-4cf8-a7fb-767dd69ecd9b}" ma:internalName="TaxCatchAll" ma:showField="CatchAllData"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110d7b-b632-4cf8-a7fb-767dd69ecd9b}" ma:internalName="TaxCatchAllLabel" ma:readOnly="true" ma:showField="CatchAllDataLabel"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0B3D-BC41-4BC0-BB44-307E195A94DA}">
  <ds:schemaRefs>
    <ds:schemaRef ds:uri="http://schemas.microsoft.com/sharepoint/v3/contenttype/forms"/>
  </ds:schemaRefs>
</ds:datastoreItem>
</file>

<file path=customXml/itemProps2.xml><?xml version="1.0" encoding="utf-8"?>
<ds:datastoreItem xmlns:ds="http://schemas.openxmlformats.org/officeDocument/2006/customXml" ds:itemID="{04C62083-1BC8-4F9A-8D97-6E0EFE01140C}">
  <ds:schemaRefs>
    <ds:schemaRef ds:uri="http://schemas.microsoft.com/office/2006/metadata/properties"/>
    <ds:schemaRef ds:uri="http://schemas.microsoft.com/office/infopath/2007/PartnerControls"/>
    <ds:schemaRef ds:uri="7a791de5-0ffd-4ecf-adaa-96e20752d804"/>
    <ds:schemaRef ds:uri="685f9fda-bd71-4433-b331-92feb9553089"/>
  </ds:schemaRefs>
</ds:datastoreItem>
</file>

<file path=customXml/itemProps3.xml><?xml version="1.0" encoding="utf-8"?>
<ds:datastoreItem xmlns:ds="http://schemas.openxmlformats.org/officeDocument/2006/customXml" ds:itemID="{7DE58E20-E8F8-454B-BC40-9B84FFBC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1de5-0ffd-4ecf-adaa-96e20752d80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7BB5D-4B10-4CA5-9A31-C6ECE4FF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PFAS Contamination Response Protocol</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PFAS Contamination Response Protocol</dc:title>
  <dc:subject/>
  <dc:creator>Department of the Prime Minister and Cabinet</dc:creator>
  <cp:keywords/>
  <dc:description/>
  <cp:lastModifiedBy>O'Toole, Aidan</cp:lastModifiedBy>
  <cp:revision>4</cp:revision>
  <cp:lastPrinted>2017-10-12T01:32:00Z</cp:lastPrinted>
  <dcterms:created xsi:type="dcterms:W3CDTF">2017-12-18T00:45:00Z</dcterms:created>
  <dcterms:modified xsi:type="dcterms:W3CDTF">2018-02-27T00:40:00Z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0x0101002825A64A6E1845A99A9D8EE8A5686ECB001A5EF438D4D40543B46FA387300F929A</vt:lpwstr>
  </property>
  <property fmtid="{D5CDD505-2E9C-101B-9397-08002B2CF9AE}" pid="3" name="HPRMSecurityLevel">
    <vt:lpwstr>1;#UNCLASSIFIED|9c49a7c7-17c7-412f-8077-62dec89b9196</vt:lpwstr>
  </property>
  <property fmtid="{D5CDD505-2E9C-101B-9397-08002B2CF9AE}" pid="4" name="HPRMSecurityCaveat">
    <vt:lpwstr>2;#For Official Use Only|b1256f8d-012b-4b9b-af03-4335740e2c97</vt:lpwstr>
  </property>
</Properties>
</file>