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0ACE" w14:textId="4A029894" w:rsidR="00764D6A" w:rsidRPr="003D4A0F" w:rsidRDefault="00622B2E" w:rsidP="003D4A0F">
      <w:pPr>
        <w:pStyle w:val="Heading1"/>
      </w:pPr>
      <w:bookmarkStart w:id="0" w:name="_GoBack"/>
      <w:r>
        <w:t xml:space="preserve">Appendix C: </w:t>
      </w:r>
      <w:r w:rsidR="00F8591D" w:rsidRPr="003D4A0F">
        <w:t>PFAS Information sharing, Communication and Engagement Guidelines</w:t>
      </w:r>
    </w:p>
    <w:bookmarkEnd w:id="0"/>
    <w:p w14:paraId="3E2E16F4" w14:textId="4FB2F75A" w:rsidR="00600B79" w:rsidRDefault="00622B2E" w:rsidP="003D4A0F">
      <w:pPr>
        <w:pStyle w:val="Subtitle"/>
        <w:rPr>
          <w:color w:val="1F497D" w:themeColor="text2"/>
        </w:rPr>
      </w:pPr>
      <w:r>
        <w:rPr>
          <w:rStyle w:val="SubtitleChar"/>
          <w:b/>
          <w:bCs/>
        </w:rPr>
        <w:t>National Framework for Responding to PFAS Contamination</w:t>
      </w:r>
    </w:p>
    <w:p w14:paraId="214E0C11" w14:textId="0BAC699B" w:rsidR="00D766F7" w:rsidRDefault="00D766F7">
      <w:pPr>
        <w:spacing w:before="0" w:after="0"/>
        <w:rPr>
          <w:spacing w:val="5"/>
          <w:kern w:val="28"/>
          <w:sz w:val="24"/>
          <w:szCs w:val="56"/>
        </w:rPr>
      </w:pPr>
      <w:r>
        <w:rPr>
          <w:spacing w:val="5"/>
          <w:kern w:val="28"/>
          <w:sz w:val="24"/>
          <w:szCs w:val="56"/>
        </w:rPr>
        <w:br w:type="page"/>
      </w:r>
    </w:p>
    <w:sdt>
      <w:sdtPr>
        <w:rPr>
          <w:rFonts w:ascii="Cambria" w:eastAsiaTheme="minorHAnsi" w:hAnsi="Cambria" w:cs="Calibri"/>
          <w:b w:val="0"/>
          <w:bCs w:val="0"/>
          <w:color w:val="000000"/>
          <w:sz w:val="22"/>
          <w:szCs w:val="22"/>
          <w:lang w:eastAsia="en-US"/>
          <w14:textFill>
            <w14:solidFill>
              <w14:srgbClr w14:val="000000">
                <w14:lumMod w14:val="75000"/>
              </w14:srgbClr>
            </w14:solidFill>
          </w14:textFill>
        </w:rPr>
        <w:id w:val="-760297017"/>
        <w:docPartObj>
          <w:docPartGallery w:val="Table of Contents"/>
          <w:docPartUnique/>
        </w:docPartObj>
      </w:sdtPr>
      <w:sdtEndPr>
        <w:rPr>
          <w:rFonts w:ascii="Calibri" w:hAnsi="Calibri"/>
          <w:noProof/>
        </w:rPr>
      </w:sdtEndPr>
      <w:sdtContent>
        <w:p w14:paraId="14BBF154" w14:textId="500736A3" w:rsidR="00764D6A" w:rsidRPr="00963CDD" w:rsidRDefault="00E91D72" w:rsidP="00420CEA">
          <w:pPr>
            <w:pStyle w:val="TOCHeading"/>
            <w:keepNext w:val="0"/>
            <w:keepLines w:val="0"/>
            <w:pageBreakBefore/>
          </w:pPr>
          <w:r w:rsidRPr="00963CDD">
            <w:t>C</w:t>
          </w:r>
          <w:r w:rsidRPr="00963CDD">
            <w:rPr>
              <w:lang w:val="en-US" w:eastAsia="en-US"/>
            </w:rPr>
            <w:t>onten</w:t>
          </w:r>
          <w:r w:rsidRPr="00963CDD">
            <w:t>ts</w:t>
          </w:r>
        </w:p>
        <w:p w14:paraId="34954398" w14:textId="32D756CF" w:rsidR="00B16B68" w:rsidRDefault="00E91D72">
          <w:pPr>
            <w:pStyle w:val="TOC1"/>
            <w:rPr>
              <w:rFonts w:asciiTheme="minorHAnsi" w:eastAsiaTheme="minorEastAsia" w:hAnsiTheme="minorHAnsi" w:cstheme="minorBidi"/>
              <w:b w:val="0"/>
              <w:lang w:eastAsia="en-AU"/>
            </w:rPr>
          </w:pPr>
          <w:r>
            <w:fldChar w:fldCharType="begin"/>
          </w:r>
          <w:r>
            <w:instrText xml:space="preserve"> TOC \h \z \u \t "Heading 2,1,Heading 3,2,Style1,2,TOA Heading,1" </w:instrText>
          </w:r>
          <w:r>
            <w:fldChar w:fldCharType="separate"/>
          </w:r>
          <w:hyperlink w:anchor="_Toc47106356" w:history="1">
            <w:r w:rsidR="00B16B68" w:rsidRPr="009D58D0">
              <w:rPr>
                <w:rStyle w:val="Hyperlink"/>
              </w:rPr>
              <w:t>Purpose of this document</w:t>
            </w:r>
            <w:r w:rsidR="00B16B68">
              <w:rPr>
                <w:webHidden/>
              </w:rPr>
              <w:tab/>
            </w:r>
            <w:r w:rsidR="00B16B68">
              <w:rPr>
                <w:webHidden/>
              </w:rPr>
              <w:fldChar w:fldCharType="begin"/>
            </w:r>
            <w:r w:rsidR="00B16B68">
              <w:rPr>
                <w:webHidden/>
              </w:rPr>
              <w:instrText xml:space="preserve"> PAGEREF _Toc47106356 \h </w:instrText>
            </w:r>
            <w:r w:rsidR="00B16B68">
              <w:rPr>
                <w:webHidden/>
              </w:rPr>
            </w:r>
            <w:r w:rsidR="00B16B68">
              <w:rPr>
                <w:webHidden/>
              </w:rPr>
              <w:fldChar w:fldCharType="separate"/>
            </w:r>
            <w:r w:rsidR="00DB0387">
              <w:rPr>
                <w:webHidden/>
              </w:rPr>
              <w:t>3</w:t>
            </w:r>
            <w:r w:rsidR="00B16B68">
              <w:rPr>
                <w:webHidden/>
              </w:rPr>
              <w:fldChar w:fldCharType="end"/>
            </w:r>
          </w:hyperlink>
        </w:p>
        <w:p w14:paraId="5D4EF176" w14:textId="5B6B8745" w:rsidR="00B16B68" w:rsidRDefault="0001223B">
          <w:pPr>
            <w:pStyle w:val="TOC1"/>
            <w:rPr>
              <w:rFonts w:asciiTheme="minorHAnsi" w:eastAsiaTheme="minorEastAsia" w:hAnsiTheme="minorHAnsi" w:cstheme="minorBidi"/>
              <w:b w:val="0"/>
              <w:lang w:eastAsia="en-AU"/>
            </w:rPr>
          </w:pPr>
          <w:hyperlink w:anchor="_Toc47106357" w:history="1">
            <w:r w:rsidR="00B16B68" w:rsidRPr="009D58D0">
              <w:rPr>
                <w:rStyle w:val="Hyperlink"/>
              </w:rPr>
              <w:t>Scope of this document</w:t>
            </w:r>
            <w:r w:rsidR="00B16B68">
              <w:rPr>
                <w:webHidden/>
              </w:rPr>
              <w:tab/>
            </w:r>
            <w:r w:rsidR="00B16B68">
              <w:rPr>
                <w:webHidden/>
              </w:rPr>
              <w:fldChar w:fldCharType="begin"/>
            </w:r>
            <w:r w:rsidR="00B16B68">
              <w:rPr>
                <w:webHidden/>
              </w:rPr>
              <w:instrText xml:space="preserve"> PAGEREF _Toc47106357 \h </w:instrText>
            </w:r>
            <w:r w:rsidR="00B16B68">
              <w:rPr>
                <w:webHidden/>
              </w:rPr>
            </w:r>
            <w:r w:rsidR="00B16B68">
              <w:rPr>
                <w:webHidden/>
              </w:rPr>
              <w:fldChar w:fldCharType="separate"/>
            </w:r>
            <w:r w:rsidR="00DB0387">
              <w:rPr>
                <w:webHidden/>
              </w:rPr>
              <w:t>4</w:t>
            </w:r>
            <w:r w:rsidR="00B16B68">
              <w:rPr>
                <w:webHidden/>
              </w:rPr>
              <w:fldChar w:fldCharType="end"/>
            </w:r>
          </w:hyperlink>
        </w:p>
        <w:p w14:paraId="38923481" w14:textId="4A54DC9A" w:rsidR="00B16B68" w:rsidRDefault="0001223B">
          <w:pPr>
            <w:pStyle w:val="TOC1"/>
            <w:rPr>
              <w:rFonts w:asciiTheme="minorHAnsi" w:eastAsiaTheme="minorEastAsia" w:hAnsiTheme="minorHAnsi" w:cstheme="minorBidi"/>
              <w:b w:val="0"/>
              <w:lang w:eastAsia="en-AU"/>
            </w:rPr>
          </w:pPr>
          <w:hyperlink w:anchor="_Toc47106358" w:history="1">
            <w:r w:rsidR="00B16B68" w:rsidRPr="009D58D0">
              <w:rPr>
                <w:rStyle w:val="Hyperlink"/>
              </w:rPr>
              <w:t>Information sharing</w:t>
            </w:r>
            <w:r w:rsidR="00B16B68">
              <w:rPr>
                <w:webHidden/>
              </w:rPr>
              <w:tab/>
            </w:r>
            <w:r w:rsidR="00B16B68">
              <w:rPr>
                <w:webHidden/>
              </w:rPr>
              <w:fldChar w:fldCharType="begin"/>
            </w:r>
            <w:r w:rsidR="00B16B68">
              <w:rPr>
                <w:webHidden/>
              </w:rPr>
              <w:instrText xml:space="preserve"> PAGEREF _Toc47106358 \h </w:instrText>
            </w:r>
            <w:r w:rsidR="00B16B68">
              <w:rPr>
                <w:webHidden/>
              </w:rPr>
            </w:r>
            <w:r w:rsidR="00B16B68">
              <w:rPr>
                <w:webHidden/>
              </w:rPr>
              <w:fldChar w:fldCharType="separate"/>
            </w:r>
            <w:r w:rsidR="00DB0387">
              <w:rPr>
                <w:webHidden/>
              </w:rPr>
              <w:t>5</w:t>
            </w:r>
            <w:r w:rsidR="00B16B68">
              <w:rPr>
                <w:webHidden/>
              </w:rPr>
              <w:fldChar w:fldCharType="end"/>
            </w:r>
          </w:hyperlink>
        </w:p>
        <w:p w14:paraId="5BF4FD45" w14:textId="762A6664" w:rsidR="00B16B68" w:rsidRDefault="0001223B">
          <w:pPr>
            <w:pStyle w:val="TOC2"/>
            <w:rPr>
              <w:rFonts w:asciiTheme="minorHAnsi" w:eastAsiaTheme="minorEastAsia" w:hAnsiTheme="minorHAnsi" w:cstheme="minorBidi"/>
              <w:lang w:eastAsia="en-AU"/>
            </w:rPr>
          </w:pPr>
          <w:hyperlink w:anchor="_Toc47106359" w:history="1">
            <w:r w:rsidR="00B16B68" w:rsidRPr="009D58D0">
              <w:rPr>
                <w:rStyle w:val="Hyperlink"/>
                <w:kern w:val="28"/>
              </w:rPr>
              <w:t>What is information sharing</w:t>
            </w:r>
            <w:r w:rsidR="00B16B68">
              <w:rPr>
                <w:webHidden/>
              </w:rPr>
              <w:tab/>
            </w:r>
            <w:r w:rsidR="00B16B68">
              <w:rPr>
                <w:webHidden/>
              </w:rPr>
              <w:fldChar w:fldCharType="begin"/>
            </w:r>
            <w:r w:rsidR="00B16B68">
              <w:rPr>
                <w:webHidden/>
              </w:rPr>
              <w:instrText xml:space="preserve"> PAGEREF _Toc47106359 \h </w:instrText>
            </w:r>
            <w:r w:rsidR="00B16B68">
              <w:rPr>
                <w:webHidden/>
              </w:rPr>
            </w:r>
            <w:r w:rsidR="00B16B68">
              <w:rPr>
                <w:webHidden/>
              </w:rPr>
              <w:fldChar w:fldCharType="separate"/>
            </w:r>
            <w:r w:rsidR="00DB0387">
              <w:rPr>
                <w:webHidden/>
              </w:rPr>
              <w:t>5</w:t>
            </w:r>
            <w:r w:rsidR="00B16B68">
              <w:rPr>
                <w:webHidden/>
              </w:rPr>
              <w:fldChar w:fldCharType="end"/>
            </w:r>
          </w:hyperlink>
        </w:p>
        <w:p w14:paraId="60A53A0C" w14:textId="4A4055AC" w:rsidR="00B16B68" w:rsidRDefault="0001223B">
          <w:pPr>
            <w:pStyle w:val="TOC2"/>
            <w:rPr>
              <w:rFonts w:asciiTheme="minorHAnsi" w:eastAsiaTheme="minorEastAsia" w:hAnsiTheme="minorHAnsi" w:cstheme="minorBidi"/>
              <w:lang w:eastAsia="en-AU"/>
            </w:rPr>
          </w:pPr>
          <w:hyperlink w:anchor="_Toc47106360" w:history="1">
            <w:r w:rsidR="00B16B68" w:rsidRPr="009D58D0">
              <w:rPr>
                <w:rStyle w:val="Hyperlink"/>
              </w:rPr>
              <w:t>Information sharing goals</w:t>
            </w:r>
            <w:r w:rsidR="00B16B68">
              <w:rPr>
                <w:webHidden/>
              </w:rPr>
              <w:tab/>
            </w:r>
            <w:r w:rsidR="00B16B68">
              <w:rPr>
                <w:webHidden/>
              </w:rPr>
              <w:fldChar w:fldCharType="begin"/>
            </w:r>
            <w:r w:rsidR="00B16B68">
              <w:rPr>
                <w:webHidden/>
              </w:rPr>
              <w:instrText xml:space="preserve"> PAGEREF _Toc47106360 \h </w:instrText>
            </w:r>
            <w:r w:rsidR="00B16B68">
              <w:rPr>
                <w:webHidden/>
              </w:rPr>
            </w:r>
            <w:r w:rsidR="00B16B68">
              <w:rPr>
                <w:webHidden/>
              </w:rPr>
              <w:fldChar w:fldCharType="separate"/>
            </w:r>
            <w:r w:rsidR="00DB0387">
              <w:rPr>
                <w:webHidden/>
              </w:rPr>
              <w:t>5</w:t>
            </w:r>
            <w:r w:rsidR="00B16B68">
              <w:rPr>
                <w:webHidden/>
              </w:rPr>
              <w:fldChar w:fldCharType="end"/>
            </w:r>
          </w:hyperlink>
        </w:p>
        <w:p w14:paraId="3DB0D379" w14:textId="67D7D955" w:rsidR="00B16B68" w:rsidRDefault="0001223B">
          <w:pPr>
            <w:pStyle w:val="TOC2"/>
            <w:rPr>
              <w:rFonts w:asciiTheme="minorHAnsi" w:eastAsiaTheme="minorEastAsia" w:hAnsiTheme="minorHAnsi" w:cstheme="minorBidi"/>
              <w:lang w:eastAsia="en-AU"/>
            </w:rPr>
          </w:pPr>
          <w:hyperlink w:anchor="_Toc47106361" w:history="1">
            <w:r w:rsidR="00B16B68" w:rsidRPr="009D58D0">
              <w:rPr>
                <w:rStyle w:val="Hyperlink"/>
              </w:rPr>
              <w:t>Why is sharing information important?</w:t>
            </w:r>
            <w:r w:rsidR="00B16B68">
              <w:rPr>
                <w:webHidden/>
              </w:rPr>
              <w:tab/>
            </w:r>
            <w:r w:rsidR="00B16B68">
              <w:rPr>
                <w:webHidden/>
              </w:rPr>
              <w:fldChar w:fldCharType="begin"/>
            </w:r>
            <w:r w:rsidR="00B16B68">
              <w:rPr>
                <w:webHidden/>
              </w:rPr>
              <w:instrText xml:space="preserve"> PAGEREF _Toc47106361 \h </w:instrText>
            </w:r>
            <w:r w:rsidR="00B16B68">
              <w:rPr>
                <w:webHidden/>
              </w:rPr>
            </w:r>
            <w:r w:rsidR="00B16B68">
              <w:rPr>
                <w:webHidden/>
              </w:rPr>
              <w:fldChar w:fldCharType="separate"/>
            </w:r>
            <w:r w:rsidR="00DB0387">
              <w:rPr>
                <w:webHidden/>
              </w:rPr>
              <w:t>5</w:t>
            </w:r>
            <w:r w:rsidR="00B16B68">
              <w:rPr>
                <w:webHidden/>
              </w:rPr>
              <w:fldChar w:fldCharType="end"/>
            </w:r>
          </w:hyperlink>
        </w:p>
        <w:p w14:paraId="43AD9F20" w14:textId="103460A8" w:rsidR="00B16B68" w:rsidRDefault="0001223B">
          <w:pPr>
            <w:pStyle w:val="TOC2"/>
            <w:rPr>
              <w:rFonts w:asciiTheme="minorHAnsi" w:eastAsiaTheme="minorEastAsia" w:hAnsiTheme="minorHAnsi" w:cstheme="minorBidi"/>
              <w:lang w:eastAsia="en-AU"/>
            </w:rPr>
          </w:pPr>
          <w:hyperlink w:anchor="_Toc47106362" w:history="1">
            <w:r w:rsidR="00B16B68" w:rsidRPr="009D58D0">
              <w:rPr>
                <w:rStyle w:val="Hyperlink"/>
              </w:rPr>
              <w:t>Effective information sharing</w:t>
            </w:r>
            <w:r w:rsidR="00B16B68">
              <w:rPr>
                <w:webHidden/>
              </w:rPr>
              <w:tab/>
            </w:r>
            <w:r w:rsidR="00B16B68">
              <w:rPr>
                <w:webHidden/>
              </w:rPr>
              <w:fldChar w:fldCharType="begin"/>
            </w:r>
            <w:r w:rsidR="00B16B68">
              <w:rPr>
                <w:webHidden/>
              </w:rPr>
              <w:instrText xml:space="preserve"> PAGEREF _Toc47106362 \h </w:instrText>
            </w:r>
            <w:r w:rsidR="00B16B68">
              <w:rPr>
                <w:webHidden/>
              </w:rPr>
            </w:r>
            <w:r w:rsidR="00B16B68">
              <w:rPr>
                <w:webHidden/>
              </w:rPr>
              <w:fldChar w:fldCharType="separate"/>
            </w:r>
            <w:r w:rsidR="00DB0387">
              <w:rPr>
                <w:webHidden/>
              </w:rPr>
              <w:t>6</w:t>
            </w:r>
            <w:r w:rsidR="00B16B68">
              <w:rPr>
                <w:webHidden/>
              </w:rPr>
              <w:fldChar w:fldCharType="end"/>
            </w:r>
          </w:hyperlink>
        </w:p>
        <w:p w14:paraId="76BE641D" w14:textId="1DBA0F07" w:rsidR="00B16B68" w:rsidRDefault="0001223B">
          <w:pPr>
            <w:pStyle w:val="TOC1"/>
            <w:rPr>
              <w:rFonts w:asciiTheme="minorHAnsi" w:eastAsiaTheme="minorEastAsia" w:hAnsiTheme="minorHAnsi" w:cstheme="minorBidi"/>
              <w:b w:val="0"/>
              <w:lang w:eastAsia="en-AU"/>
            </w:rPr>
          </w:pPr>
          <w:hyperlink w:anchor="_Toc47106363" w:history="1">
            <w:r w:rsidR="00B16B68" w:rsidRPr="009D58D0">
              <w:rPr>
                <w:rStyle w:val="Hyperlink"/>
              </w:rPr>
              <w:t>Communication goal</w:t>
            </w:r>
            <w:r w:rsidR="00B16B68">
              <w:rPr>
                <w:webHidden/>
              </w:rPr>
              <w:tab/>
            </w:r>
            <w:r w:rsidR="00B16B68">
              <w:rPr>
                <w:webHidden/>
              </w:rPr>
              <w:fldChar w:fldCharType="begin"/>
            </w:r>
            <w:r w:rsidR="00B16B68">
              <w:rPr>
                <w:webHidden/>
              </w:rPr>
              <w:instrText xml:space="preserve"> PAGEREF _Toc47106363 \h </w:instrText>
            </w:r>
            <w:r w:rsidR="00B16B68">
              <w:rPr>
                <w:webHidden/>
              </w:rPr>
            </w:r>
            <w:r w:rsidR="00B16B68">
              <w:rPr>
                <w:webHidden/>
              </w:rPr>
              <w:fldChar w:fldCharType="separate"/>
            </w:r>
            <w:r w:rsidR="00DB0387">
              <w:rPr>
                <w:webHidden/>
              </w:rPr>
              <w:t>7</w:t>
            </w:r>
            <w:r w:rsidR="00B16B68">
              <w:rPr>
                <w:webHidden/>
              </w:rPr>
              <w:fldChar w:fldCharType="end"/>
            </w:r>
          </w:hyperlink>
        </w:p>
        <w:p w14:paraId="0113B668" w14:textId="5FB4ECFA" w:rsidR="00B16B68" w:rsidRDefault="0001223B">
          <w:pPr>
            <w:pStyle w:val="TOC1"/>
            <w:rPr>
              <w:rFonts w:asciiTheme="minorHAnsi" w:eastAsiaTheme="minorEastAsia" w:hAnsiTheme="minorHAnsi" w:cstheme="minorBidi"/>
              <w:b w:val="0"/>
              <w:lang w:eastAsia="en-AU"/>
            </w:rPr>
          </w:pPr>
          <w:hyperlink w:anchor="_Toc47106364" w:history="1">
            <w:r w:rsidR="00B16B68" w:rsidRPr="009D58D0">
              <w:rPr>
                <w:rStyle w:val="Hyperlink"/>
              </w:rPr>
              <w:t>Principles for effective PFAS communication and engagement</w:t>
            </w:r>
            <w:r w:rsidR="00B16B68">
              <w:rPr>
                <w:webHidden/>
              </w:rPr>
              <w:tab/>
            </w:r>
            <w:r w:rsidR="00B16B68">
              <w:rPr>
                <w:webHidden/>
              </w:rPr>
              <w:fldChar w:fldCharType="begin"/>
            </w:r>
            <w:r w:rsidR="00B16B68">
              <w:rPr>
                <w:webHidden/>
              </w:rPr>
              <w:instrText xml:space="preserve"> PAGEREF _Toc47106364 \h </w:instrText>
            </w:r>
            <w:r w:rsidR="00B16B68">
              <w:rPr>
                <w:webHidden/>
              </w:rPr>
            </w:r>
            <w:r w:rsidR="00B16B68">
              <w:rPr>
                <w:webHidden/>
              </w:rPr>
              <w:fldChar w:fldCharType="separate"/>
            </w:r>
            <w:r w:rsidR="00DB0387">
              <w:rPr>
                <w:webHidden/>
              </w:rPr>
              <w:t>7</w:t>
            </w:r>
            <w:r w:rsidR="00B16B68">
              <w:rPr>
                <w:webHidden/>
              </w:rPr>
              <w:fldChar w:fldCharType="end"/>
            </w:r>
          </w:hyperlink>
        </w:p>
        <w:p w14:paraId="6C496FA6" w14:textId="420C04BF" w:rsidR="00B16B68" w:rsidRDefault="0001223B">
          <w:pPr>
            <w:pStyle w:val="TOC2"/>
            <w:rPr>
              <w:rFonts w:asciiTheme="minorHAnsi" w:eastAsiaTheme="minorEastAsia" w:hAnsiTheme="minorHAnsi" w:cstheme="minorBidi"/>
              <w:lang w:eastAsia="en-AU"/>
            </w:rPr>
          </w:pPr>
          <w:hyperlink w:anchor="_Toc47106365" w:history="1">
            <w:r w:rsidR="00B16B68" w:rsidRPr="009D58D0">
              <w:rPr>
                <w:rStyle w:val="Hyperlink"/>
              </w:rPr>
              <w:t>PRINCIPLE #1 – PROACTIVE IS BETTER THAN REACTIVE</w:t>
            </w:r>
            <w:r w:rsidR="00B16B68">
              <w:rPr>
                <w:webHidden/>
              </w:rPr>
              <w:tab/>
            </w:r>
            <w:r w:rsidR="00B16B68">
              <w:rPr>
                <w:webHidden/>
              </w:rPr>
              <w:fldChar w:fldCharType="begin"/>
            </w:r>
            <w:r w:rsidR="00B16B68">
              <w:rPr>
                <w:webHidden/>
              </w:rPr>
              <w:instrText xml:space="preserve"> PAGEREF _Toc47106365 \h </w:instrText>
            </w:r>
            <w:r w:rsidR="00B16B68">
              <w:rPr>
                <w:webHidden/>
              </w:rPr>
            </w:r>
            <w:r w:rsidR="00B16B68">
              <w:rPr>
                <w:webHidden/>
              </w:rPr>
              <w:fldChar w:fldCharType="separate"/>
            </w:r>
            <w:r w:rsidR="00DB0387">
              <w:rPr>
                <w:webHidden/>
              </w:rPr>
              <w:t>8</w:t>
            </w:r>
            <w:r w:rsidR="00B16B68">
              <w:rPr>
                <w:webHidden/>
              </w:rPr>
              <w:fldChar w:fldCharType="end"/>
            </w:r>
          </w:hyperlink>
        </w:p>
        <w:p w14:paraId="584D122A" w14:textId="54691F4E" w:rsidR="00B16B68" w:rsidRDefault="0001223B">
          <w:pPr>
            <w:pStyle w:val="TOC2"/>
            <w:rPr>
              <w:rFonts w:asciiTheme="minorHAnsi" w:eastAsiaTheme="minorEastAsia" w:hAnsiTheme="minorHAnsi" w:cstheme="minorBidi"/>
              <w:lang w:eastAsia="en-AU"/>
            </w:rPr>
          </w:pPr>
          <w:hyperlink w:anchor="_Toc47106366" w:history="1">
            <w:r w:rsidR="00B16B68" w:rsidRPr="009D58D0">
              <w:rPr>
                <w:rStyle w:val="Hyperlink"/>
              </w:rPr>
              <w:t>PRINCIPLE #2 – KNOW YOUR PURPOSE</w:t>
            </w:r>
            <w:r w:rsidR="00B16B68">
              <w:rPr>
                <w:webHidden/>
              </w:rPr>
              <w:tab/>
            </w:r>
            <w:r w:rsidR="00B16B68">
              <w:rPr>
                <w:webHidden/>
              </w:rPr>
              <w:fldChar w:fldCharType="begin"/>
            </w:r>
            <w:r w:rsidR="00B16B68">
              <w:rPr>
                <w:webHidden/>
              </w:rPr>
              <w:instrText xml:space="preserve"> PAGEREF _Toc47106366 \h </w:instrText>
            </w:r>
            <w:r w:rsidR="00B16B68">
              <w:rPr>
                <w:webHidden/>
              </w:rPr>
            </w:r>
            <w:r w:rsidR="00B16B68">
              <w:rPr>
                <w:webHidden/>
              </w:rPr>
              <w:fldChar w:fldCharType="separate"/>
            </w:r>
            <w:r w:rsidR="00DB0387">
              <w:rPr>
                <w:webHidden/>
              </w:rPr>
              <w:t>9</w:t>
            </w:r>
            <w:r w:rsidR="00B16B68">
              <w:rPr>
                <w:webHidden/>
              </w:rPr>
              <w:fldChar w:fldCharType="end"/>
            </w:r>
          </w:hyperlink>
        </w:p>
        <w:p w14:paraId="1FBEB8FD" w14:textId="1DF105F9" w:rsidR="00B16B68" w:rsidRDefault="0001223B">
          <w:pPr>
            <w:pStyle w:val="TOC2"/>
            <w:rPr>
              <w:rFonts w:asciiTheme="minorHAnsi" w:eastAsiaTheme="minorEastAsia" w:hAnsiTheme="minorHAnsi" w:cstheme="minorBidi"/>
              <w:lang w:eastAsia="en-AU"/>
            </w:rPr>
          </w:pPr>
          <w:hyperlink w:anchor="_Toc47106367" w:history="1">
            <w:r w:rsidR="00B16B68" w:rsidRPr="009D58D0">
              <w:rPr>
                <w:rStyle w:val="Hyperlink"/>
              </w:rPr>
              <w:t>PRINCIPLE #3 – KNOW YOUR AUDIENCE</w:t>
            </w:r>
            <w:r w:rsidR="00B16B68">
              <w:rPr>
                <w:webHidden/>
              </w:rPr>
              <w:tab/>
            </w:r>
            <w:r w:rsidR="00B16B68">
              <w:rPr>
                <w:webHidden/>
              </w:rPr>
              <w:fldChar w:fldCharType="begin"/>
            </w:r>
            <w:r w:rsidR="00B16B68">
              <w:rPr>
                <w:webHidden/>
              </w:rPr>
              <w:instrText xml:space="preserve"> PAGEREF _Toc47106367 \h </w:instrText>
            </w:r>
            <w:r w:rsidR="00B16B68">
              <w:rPr>
                <w:webHidden/>
              </w:rPr>
            </w:r>
            <w:r w:rsidR="00B16B68">
              <w:rPr>
                <w:webHidden/>
              </w:rPr>
              <w:fldChar w:fldCharType="separate"/>
            </w:r>
            <w:r w:rsidR="00DB0387">
              <w:rPr>
                <w:webHidden/>
              </w:rPr>
              <w:t>10</w:t>
            </w:r>
            <w:r w:rsidR="00B16B68">
              <w:rPr>
                <w:webHidden/>
              </w:rPr>
              <w:fldChar w:fldCharType="end"/>
            </w:r>
          </w:hyperlink>
        </w:p>
        <w:p w14:paraId="72CB92AE" w14:textId="1BC64C6E" w:rsidR="00B16B68" w:rsidRDefault="0001223B">
          <w:pPr>
            <w:pStyle w:val="TOC2"/>
            <w:rPr>
              <w:rFonts w:asciiTheme="minorHAnsi" w:eastAsiaTheme="minorEastAsia" w:hAnsiTheme="minorHAnsi" w:cstheme="minorBidi"/>
              <w:lang w:eastAsia="en-AU"/>
            </w:rPr>
          </w:pPr>
          <w:hyperlink w:anchor="_Toc47106368" w:history="1">
            <w:r w:rsidR="00B16B68" w:rsidRPr="009D58D0">
              <w:rPr>
                <w:rStyle w:val="Hyperlink"/>
              </w:rPr>
              <w:t>PRINCIPLE #4 – COMMUNICATE CLEARLY, HONESTLY AND CONSISTENTLY</w:t>
            </w:r>
            <w:r w:rsidR="00B16B68">
              <w:rPr>
                <w:webHidden/>
              </w:rPr>
              <w:tab/>
            </w:r>
            <w:r w:rsidR="00B16B68">
              <w:rPr>
                <w:webHidden/>
              </w:rPr>
              <w:fldChar w:fldCharType="begin"/>
            </w:r>
            <w:r w:rsidR="00B16B68">
              <w:rPr>
                <w:webHidden/>
              </w:rPr>
              <w:instrText xml:space="preserve"> PAGEREF _Toc47106368 \h </w:instrText>
            </w:r>
            <w:r w:rsidR="00B16B68">
              <w:rPr>
                <w:webHidden/>
              </w:rPr>
            </w:r>
            <w:r w:rsidR="00B16B68">
              <w:rPr>
                <w:webHidden/>
              </w:rPr>
              <w:fldChar w:fldCharType="separate"/>
            </w:r>
            <w:r w:rsidR="00DB0387">
              <w:rPr>
                <w:webHidden/>
              </w:rPr>
              <w:t>11</w:t>
            </w:r>
            <w:r w:rsidR="00B16B68">
              <w:rPr>
                <w:webHidden/>
              </w:rPr>
              <w:fldChar w:fldCharType="end"/>
            </w:r>
          </w:hyperlink>
        </w:p>
        <w:p w14:paraId="06C71613" w14:textId="36D7C750" w:rsidR="00B16B68" w:rsidRDefault="0001223B">
          <w:pPr>
            <w:pStyle w:val="TOC2"/>
            <w:rPr>
              <w:rFonts w:asciiTheme="minorHAnsi" w:eastAsiaTheme="minorEastAsia" w:hAnsiTheme="minorHAnsi" w:cstheme="minorBidi"/>
              <w:lang w:eastAsia="en-AU"/>
            </w:rPr>
          </w:pPr>
          <w:hyperlink w:anchor="_Toc47106369" w:history="1">
            <w:r w:rsidR="00B16B68" w:rsidRPr="009D58D0">
              <w:rPr>
                <w:rStyle w:val="Hyperlink"/>
              </w:rPr>
              <w:t>PRINCIPLE #5 – NEVER UNDERESTIMATE THE VALUE OF FACE-TO-FACE COMMUNICATION</w:t>
            </w:r>
            <w:r w:rsidR="00B16B68">
              <w:rPr>
                <w:webHidden/>
              </w:rPr>
              <w:tab/>
            </w:r>
            <w:r w:rsidR="00B16B68">
              <w:rPr>
                <w:webHidden/>
              </w:rPr>
              <w:fldChar w:fldCharType="begin"/>
            </w:r>
            <w:r w:rsidR="00B16B68">
              <w:rPr>
                <w:webHidden/>
              </w:rPr>
              <w:instrText xml:space="preserve"> PAGEREF _Toc47106369 \h </w:instrText>
            </w:r>
            <w:r w:rsidR="00B16B68">
              <w:rPr>
                <w:webHidden/>
              </w:rPr>
            </w:r>
            <w:r w:rsidR="00B16B68">
              <w:rPr>
                <w:webHidden/>
              </w:rPr>
              <w:fldChar w:fldCharType="separate"/>
            </w:r>
            <w:r w:rsidR="00DB0387">
              <w:rPr>
                <w:webHidden/>
              </w:rPr>
              <w:t>12</w:t>
            </w:r>
            <w:r w:rsidR="00B16B68">
              <w:rPr>
                <w:webHidden/>
              </w:rPr>
              <w:fldChar w:fldCharType="end"/>
            </w:r>
          </w:hyperlink>
        </w:p>
        <w:p w14:paraId="1EA689EE" w14:textId="75F3F341" w:rsidR="00B16B68" w:rsidRDefault="0001223B">
          <w:pPr>
            <w:pStyle w:val="TOC2"/>
            <w:rPr>
              <w:rFonts w:asciiTheme="minorHAnsi" w:eastAsiaTheme="minorEastAsia" w:hAnsiTheme="minorHAnsi" w:cstheme="minorBidi"/>
              <w:lang w:eastAsia="en-AU"/>
            </w:rPr>
          </w:pPr>
          <w:hyperlink w:anchor="_Toc47106370" w:history="1">
            <w:r w:rsidR="00B16B68" w:rsidRPr="009D58D0">
              <w:rPr>
                <w:rStyle w:val="Hyperlink"/>
              </w:rPr>
              <w:t>PRINCIPLE #6 – LEARN FROM EXPERIENCE</w:t>
            </w:r>
            <w:r w:rsidR="00B16B68">
              <w:rPr>
                <w:webHidden/>
              </w:rPr>
              <w:tab/>
            </w:r>
            <w:r w:rsidR="00B16B68">
              <w:rPr>
                <w:webHidden/>
              </w:rPr>
              <w:fldChar w:fldCharType="begin"/>
            </w:r>
            <w:r w:rsidR="00B16B68">
              <w:rPr>
                <w:webHidden/>
              </w:rPr>
              <w:instrText xml:space="preserve"> PAGEREF _Toc47106370 \h </w:instrText>
            </w:r>
            <w:r w:rsidR="00B16B68">
              <w:rPr>
                <w:webHidden/>
              </w:rPr>
            </w:r>
            <w:r w:rsidR="00B16B68">
              <w:rPr>
                <w:webHidden/>
              </w:rPr>
              <w:fldChar w:fldCharType="separate"/>
            </w:r>
            <w:r w:rsidR="00DB0387">
              <w:rPr>
                <w:webHidden/>
              </w:rPr>
              <w:t>13</w:t>
            </w:r>
            <w:r w:rsidR="00B16B68">
              <w:rPr>
                <w:webHidden/>
              </w:rPr>
              <w:fldChar w:fldCharType="end"/>
            </w:r>
          </w:hyperlink>
        </w:p>
        <w:p w14:paraId="76063DAF" w14:textId="570BB0A2" w:rsidR="00B16B68" w:rsidRDefault="0001223B">
          <w:pPr>
            <w:pStyle w:val="TOC1"/>
            <w:rPr>
              <w:rFonts w:asciiTheme="minorHAnsi" w:eastAsiaTheme="minorEastAsia" w:hAnsiTheme="minorHAnsi" w:cstheme="minorBidi"/>
              <w:b w:val="0"/>
              <w:lang w:eastAsia="en-AU"/>
            </w:rPr>
          </w:pPr>
          <w:hyperlink w:anchor="_Toc47106371" w:history="1">
            <w:r w:rsidR="00B16B68" w:rsidRPr="009D58D0">
              <w:rPr>
                <w:rStyle w:val="Hyperlink"/>
              </w:rPr>
              <w:t>Identifying stakeholders</w:t>
            </w:r>
            <w:r w:rsidR="00B16B68">
              <w:rPr>
                <w:webHidden/>
              </w:rPr>
              <w:tab/>
            </w:r>
            <w:r w:rsidR="00B16B68">
              <w:rPr>
                <w:webHidden/>
              </w:rPr>
              <w:fldChar w:fldCharType="begin"/>
            </w:r>
            <w:r w:rsidR="00B16B68">
              <w:rPr>
                <w:webHidden/>
              </w:rPr>
              <w:instrText xml:space="preserve"> PAGEREF _Toc47106371 \h </w:instrText>
            </w:r>
            <w:r w:rsidR="00B16B68">
              <w:rPr>
                <w:webHidden/>
              </w:rPr>
            </w:r>
            <w:r w:rsidR="00B16B68">
              <w:rPr>
                <w:webHidden/>
              </w:rPr>
              <w:fldChar w:fldCharType="separate"/>
            </w:r>
            <w:r w:rsidR="00DB0387">
              <w:rPr>
                <w:webHidden/>
              </w:rPr>
              <w:t>14</w:t>
            </w:r>
            <w:r w:rsidR="00B16B68">
              <w:rPr>
                <w:webHidden/>
              </w:rPr>
              <w:fldChar w:fldCharType="end"/>
            </w:r>
          </w:hyperlink>
        </w:p>
        <w:p w14:paraId="687954B0" w14:textId="460DAA9E" w:rsidR="00B16B68" w:rsidRDefault="0001223B">
          <w:pPr>
            <w:pStyle w:val="TOC2"/>
            <w:rPr>
              <w:rFonts w:asciiTheme="minorHAnsi" w:eastAsiaTheme="minorEastAsia" w:hAnsiTheme="minorHAnsi" w:cstheme="minorBidi"/>
              <w:lang w:eastAsia="en-AU"/>
            </w:rPr>
          </w:pPr>
          <w:hyperlink w:anchor="_Toc47106372" w:history="1">
            <w:r w:rsidR="00B16B68" w:rsidRPr="009D58D0">
              <w:rPr>
                <w:rStyle w:val="Hyperlink"/>
              </w:rPr>
              <w:t>Primary stakeholders</w:t>
            </w:r>
            <w:r w:rsidR="00B16B68">
              <w:rPr>
                <w:webHidden/>
              </w:rPr>
              <w:tab/>
            </w:r>
            <w:r w:rsidR="00B16B68">
              <w:rPr>
                <w:webHidden/>
              </w:rPr>
              <w:fldChar w:fldCharType="begin"/>
            </w:r>
            <w:r w:rsidR="00B16B68">
              <w:rPr>
                <w:webHidden/>
              </w:rPr>
              <w:instrText xml:space="preserve"> PAGEREF _Toc47106372 \h </w:instrText>
            </w:r>
            <w:r w:rsidR="00B16B68">
              <w:rPr>
                <w:webHidden/>
              </w:rPr>
            </w:r>
            <w:r w:rsidR="00B16B68">
              <w:rPr>
                <w:webHidden/>
              </w:rPr>
              <w:fldChar w:fldCharType="separate"/>
            </w:r>
            <w:r w:rsidR="00DB0387">
              <w:rPr>
                <w:webHidden/>
              </w:rPr>
              <w:t>14</w:t>
            </w:r>
            <w:r w:rsidR="00B16B68">
              <w:rPr>
                <w:webHidden/>
              </w:rPr>
              <w:fldChar w:fldCharType="end"/>
            </w:r>
          </w:hyperlink>
        </w:p>
        <w:p w14:paraId="11B2D65B" w14:textId="4E5CD4F5" w:rsidR="00B16B68" w:rsidRDefault="0001223B">
          <w:pPr>
            <w:pStyle w:val="TOC2"/>
            <w:rPr>
              <w:rFonts w:asciiTheme="minorHAnsi" w:eastAsiaTheme="minorEastAsia" w:hAnsiTheme="minorHAnsi" w:cstheme="minorBidi"/>
              <w:lang w:eastAsia="en-AU"/>
            </w:rPr>
          </w:pPr>
          <w:hyperlink w:anchor="_Toc47106373" w:history="1">
            <w:r w:rsidR="00B16B68" w:rsidRPr="009D58D0">
              <w:rPr>
                <w:rStyle w:val="Hyperlink"/>
              </w:rPr>
              <w:t>Secondary stakeholders</w:t>
            </w:r>
            <w:r w:rsidR="00B16B68">
              <w:rPr>
                <w:webHidden/>
              </w:rPr>
              <w:tab/>
            </w:r>
            <w:r w:rsidR="00B16B68">
              <w:rPr>
                <w:webHidden/>
              </w:rPr>
              <w:fldChar w:fldCharType="begin"/>
            </w:r>
            <w:r w:rsidR="00B16B68">
              <w:rPr>
                <w:webHidden/>
              </w:rPr>
              <w:instrText xml:space="preserve"> PAGEREF _Toc47106373 \h </w:instrText>
            </w:r>
            <w:r w:rsidR="00B16B68">
              <w:rPr>
                <w:webHidden/>
              </w:rPr>
            </w:r>
            <w:r w:rsidR="00B16B68">
              <w:rPr>
                <w:webHidden/>
              </w:rPr>
              <w:fldChar w:fldCharType="separate"/>
            </w:r>
            <w:r w:rsidR="00DB0387">
              <w:rPr>
                <w:webHidden/>
              </w:rPr>
              <w:t>15</w:t>
            </w:r>
            <w:r w:rsidR="00B16B68">
              <w:rPr>
                <w:webHidden/>
              </w:rPr>
              <w:fldChar w:fldCharType="end"/>
            </w:r>
          </w:hyperlink>
        </w:p>
        <w:p w14:paraId="14D6228D" w14:textId="112908D6" w:rsidR="00B16B68" w:rsidRDefault="0001223B">
          <w:pPr>
            <w:pStyle w:val="TOC1"/>
            <w:rPr>
              <w:rFonts w:asciiTheme="minorHAnsi" w:eastAsiaTheme="minorEastAsia" w:hAnsiTheme="minorHAnsi" w:cstheme="minorBidi"/>
              <w:b w:val="0"/>
              <w:lang w:eastAsia="en-AU"/>
            </w:rPr>
          </w:pPr>
          <w:hyperlink w:anchor="_Toc47106374" w:history="1">
            <w:r w:rsidR="00B16B68" w:rsidRPr="009D58D0">
              <w:rPr>
                <w:rStyle w:val="Hyperlink"/>
              </w:rPr>
              <w:t>ATTACHMENT 1: COMMUNICATION AND ENGAGEMENT ACTIVITIES</w:t>
            </w:r>
            <w:r w:rsidR="00B16B68">
              <w:rPr>
                <w:webHidden/>
              </w:rPr>
              <w:tab/>
            </w:r>
            <w:r w:rsidR="00B16B68">
              <w:rPr>
                <w:webHidden/>
              </w:rPr>
              <w:fldChar w:fldCharType="begin"/>
            </w:r>
            <w:r w:rsidR="00B16B68">
              <w:rPr>
                <w:webHidden/>
              </w:rPr>
              <w:instrText xml:space="preserve"> PAGEREF _Toc47106374 \h </w:instrText>
            </w:r>
            <w:r w:rsidR="00B16B68">
              <w:rPr>
                <w:webHidden/>
              </w:rPr>
            </w:r>
            <w:r w:rsidR="00B16B68">
              <w:rPr>
                <w:webHidden/>
              </w:rPr>
              <w:fldChar w:fldCharType="separate"/>
            </w:r>
            <w:r w:rsidR="00DB0387">
              <w:rPr>
                <w:webHidden/>
              </w:rPr>
              <w:t>17</w:t>
            </w:r>
            <w:r w:rsidR="00B16B68">
              <w:rPr>
                <w:webHidden/>
              </w:rPr>
              <w:fldChar w:fldCharType="end"/>
            </w:r>
          </w:hyperlink>
        </w:p>
        <w:p w14:paraId="75F82541" w14:textId="5CB8C360" w:rsidR="00B16B68" w:rsidRDefault="0001223B">
          <w:pPr>
            <w:pStyle w:val="TOC1"/>
            <w:rPr>
              <w:rFonts w:asciiTheme="minorHAnsi" w:eastAsiaTheme="minorEastAsia" w:hAnsiTheme="minorHAnsi" w:cstheme="minorBidi"/>
              <w:b w:val="0"/>
              <w:lang w:eastAsia="en-AU"/>
            </w:rPr>
          </w:pPr>
          <w:hyperlink w:anchor="_Toc47106375" w:history="1">
            <w:r w:rsidR="00B16B68" w:rsidRPr="009D58D0">
              <w:rPr>
                <w:rStyle w:val="Hyperlink"/>
              </w:rPr>
              <w:t>ATTACHMENT 2: IDENTIFYING STAKEHOLDERS</w:t>
            </w:r>
            <w:r w:rsidR="00B16B68">
              <w:rPr>
                <w:webHidden/>
              </w:rPr>
              <w:tab/>
            </w:r>
            <w:r w:rsidR="00B16B68">
              <w:rPr>
                <w:webHidden/>
              </w:rPr>
              <w:fldChar w:fldCharType="begin"/>
            </w:r>
            <w:r w:rsidR="00B16B68">
              <w:rPr>
                <w:webHidden/>
              </w:rPr>
              <w:instrText xml:space="preserve"> PAGEREF _Toc47106375 \h </w:instrText>
            </w:r>
            <w:r w:rsidR="00B16B68">
              <w:rPr>
                <w:webHidden/>
              </w:rPr>
            </w:r>
            <w:r w:rsidR="00B16B68">
              <w:rPr>
                <w:webHidden/>
              </w:rPr>
              <w:fldChar w:fldCharType="separate"/>
            </w:r>
            <w:r w:rsidR="00DB0387">
              <w:rPr>
                <w:webHidden/>
              </w:rPr>
              <w:t>20</w:t>
            </w:r>
            <w:r w:rsidR="00B16B68">
              <w:rPr>
                <w:webHidden/>
              </w:rPr>
              <w:fldChar w:fldCharType="end"/>
            </w:r>
          </w:hyperlink>
        </w:p>
        <w:p w14:paraId="4BBA2AFE" w14:textId="32D48FF2" w:rsidR="00B16B68" w:rsidRDefault="0001223B">
          <w:pPr>
            <w:pStyle w:val="TOC1"/>
            <w:rPr>
              <w:rFonts w:asciiTheme="minorHAnsi" w:eastAsiaTheme="minorEastAsia" w:hAnsiTheme="minorHAnsi" w:cstheme="minorBidi"/>
              <w:b w:val="0"/>
              <w:lang w:eastAsia="en-AU"/>
            </w:rPr>
          </w:pPr>
          <w:hyperlink w:anchor="_Toc47106376" w:history="1">
            <w:r w:rsidR="00B16B68" w:rsidRPr="009D58D0">
              <w:rPr>
                <w:rStyle w:val="Hyperlink"/>
              </w:rPr>
              <w:t>ATTACHMENT 3: CASE STUDY</w:t>
            </w:r>
            <w:r w:rsidR="00B16B68">
              <w:rPr>
                <w:webHidden/>
              </w:rPr>
              <w:tab/>
            </w:r>
            <w:r w:rsidR="00B16B68">
              <w:rPr>
                <w:webHidden/>
              </w:rPr>
              <w:fldChar w:fldCharType="begin"/>
            </w:r>
            <w:r w:rsidR="00B16B68">
              <w:rPr>
                <w:webHidden/>
              </w:rPr>
              <w:instrText xml:space="preserve"> PAGEREF _Toc47106376 \h </w:instrText>
            </w:r>
            <w:r w:rsidR="00B16B68">
              <w:rPr>
                <w:webHidden/>
              </w:rPr>
            </w:r>
            <w:r w:rsidR="00B16B68">
              <w:rPr>
                <w:webHidden/>
              </w:rPr>
              <w:fldChar w:fldCharType="separate"/>
            </w:r>
            <w:r w:rsidR="00DB0387">
              <w:rPr>
                <w:webHidden/>
              </w:rPr>
              <w:t>22</w:t>
            </w:r>
            <w:r w:rsidR="00B16B68">
              <w:rPr>
                <w:webHidden/>
              </w:rPr>
              <w:fldChar w:fldCharType="end"/>
            </w:r>
          </w:hyperlink>
        </w:p>
        <w:p w14:paraId="40104032" w14:textId="4A28F76E" w:rsidR="00B16B68" w:rsidRDefault="0001223B">
          <w:pPr>
            <w:pStyle w:val="TOC2"/>
            <w:rPr>
              <w:rFonts w:asciiTheme="minorHAnsi" w:eastAsiaTheme="minorEastAsia" w:hAnsiTheme="minorHAnsi" w:cstheme="minorBidi"/>
              <w:lang w:eastAsia="en-AU"/>
            </w:rPr>
          </w:pPr>
          <w:hyperlink w:anchor="_Toc47106377" w:history="1">
            <w:r w:rsidR="00B16B68" w:rsidRPr="009D58D0">
              <w:rPr>
                <w:rStyle w:val="Hyperlink"/>
              </w:rPr>
              <w:t>Case Study: Accidental discharge of PFAS into the environment</w:t>
            </w:r>
            <w:r w:rsidR="00B16B68">
              <w:rPr>
                <w:webHidden/>
              </w:rPr>
              <w:tab/>
            </w:r>
            <w:r w:rsidR="00B16B68">
              <w:rPr>
                <w:webHidden/>
              </w:rPr>
              <w:fldChar w:fldCharType="begin"/>
            </w:r>
            <w:r w:rsidR="00B16B68">
              <w:rPr>
                <w:webHidden/>
              </w:rPr>
              <w:instrText xml:space="preserve"> PAGEREF _Toc47106377 \h </w:instrText>
            </w:r>
            <w:r w:rsidR="00B16B68">
              <w:rPr>
                <w:webHidden/>
              </w:rPr>
            </w:r>
            <w:r w:rsidR="00B16B68">
              <w:rPr>
                <w:webHidden/>
              </w:rPr>
              <w:fldChar w:fldCharType="separate"/>
            </w:r>
            <w:r w:rsidR="00DB0387">
              <w:rPr>
                <w:webHidden/>
              </w:rPr>
              <w:t>22</w:t>
            </w:r>
            <w:r w:rsidR="00B16B68">
              <w:rPr>
                <w:webHidden/>
              </w:rPr>
              <w:fldChar w:fldCharType="end"/>
            </w:r>
          </w:hyperlink>
        </w:p>
        <w:p w14:paraId="58AD471C" w14:textId="4A7B838C" w:rsidR="00764D6A" w:rsidRDefault="00E91D72" w:rsidP="00C318CD">
          <w:r>
            <w:rPr>
              <w:noProof/>
            </w:rPr>
            <w:fldChar w:fldCharType="end"/>
          </w:r>
        </w:p>
      </w:sdtContent>
    </w:sdt>
    <w:p w14:paraId="074E9911" w14:textId="3945C0A7" w:rsidR="003D4A0F" w:rsidRDefault="003D4A0F" w:rsidP="00C318CD"/>
    <w:p w14:paraId="14DDEE12" w14:textId="096988CB" w:rsidR="003D4A0F" w:rsidRPr="003D4A0F" w:rsidRDefault="003D4A0F" w:rsidP="00420CEA">
      <w:pPr>
        <w:pStyle w:val="Heading2"/>
        <w:keepNext w:val="0"/>
        <w:keepLines w:val="0"/>
        <w:pageBreakBefore/>
      </w:pPr>
      <w:bookmarkStart w:id="1" w:name="_Toc47106356"/>
      <w:bookmarkStart w:id="2" w:name="_Toc430782150"/>
      <w:r w:rsidRPr="003D4A0F">
        <w:t>Purpose of this document</w:t>
      </w:r>
      <w:bookmarkEnd w:id="1"/>
    </w:p>
    <w:p w14:paraId="124023AF" w14:textId="77777777" w:rsidR="00817EB9" w:rsidRDefault="00817EB9" w:rsidP="00817EB9">
      <w:pPr>
        <w:sectPr w:rsidR="00817EB9" w:rsidSect="00FE0AC8">
          <w:footerReference w:type="default" r:id="rId11"/>
          <w:type w:val="continuous"/>
          <w:pgSz w:w="11906" w:h="16838"/>
          <w:pgMar w:top="1418" w:right="1418" w:bottom="1418" w:left="1418" w:header="567" w:footer="709" w:gutter="0"/>
          <w:cols w:space="708"/>
          <w:titlePg/>
          <w:docGrid w:linePitch="360"/>
        </w:sectPr>
      </w:pPr>
    </w:p>
    <w:p w14:paraId="544D6FDF" w14:textId="2F19F7B2" w:rsidR="00DE3854" w:rsidRPr="00B66B48" w:rsidRDefault="00DE3854" w:rsidP="00817EB9">
      <w:r w:rsidRPr="00B66B48">
        <w:t xml:space="preserve">The </w:t>
      </w:r>
      <w:r>
        <w:t xml:space="preserve">PFAS </w:t>
      </w:r>
      <w:r w:rsidRPr="00B66B48">
        <w:t>Information Sharing, Communication and Engagement Guidelines</w:t>
      </w:r>
      <w:r>
        <w:t xml:space="preserve"> (Guidelines) is a part of</w:t>
      </w:r>
      <w:r w:rsidRPr="00B66B48">
        <w:t xml:space="preserve"> </w:t>
      </w:r>
      <w:r>
        <w:t>the</w:t>
      </w:r>
      <w:r w:rsidRPr="00B66B48">
        <w:t xml:space="preserve"> National Framework for Responding to PFAS Contamination.</w:t>
      </w:r>
    </w:p>
    <w:p w14:paraId="39C9AF27" w14:textId="77777777" w:rsidR="00DE3854" w:rsidRPr="00B66B48" w:rsidRDefault="00DE3854" w:rsidP="00817EB9">
      <w:r w:rsidRPr="00B66B48">
        <w:t xml:space="preserve">These Guidelines provide advice for all government agencies in Australia involved in responding to per- and poly- fluoroalkyl substances (PFAS) contamination. </w:t>
      </w:r>
    </w:p>
    <w:p w14:paraId="09514FA7" w14:textId="77777777" w:rsidR="00DE3854" w:rsidRPr="00B66B48" w:rsidRDefault="00DE3854" w:rsidP="00817EB9">
      <w:r w:rsidRPr="00B66B48">
        <w:t>This document is divided into three sections. The first section describes principles and practices about information sharing in the context of PFAS contamination. The second section outlines best-practice principles that should be considered when approaching any PFAS communication and engagement activities, along with the rationale behind these principles and guidance about communicating within government and with external stakeholders. The third section provides a set of useful resources such as checklists and prompts to assist agencies to conduct information sharing, communication and engagement activities.</w:t>
      </w:r>
    </w:p>
    <w:p w14:paraId="0F695D0A" w14:textId="77777777" w:rsidR="00DE3854" w:rsidRPr="00B66B48" w:rsidRDefault="00DE3854" w:rsidP="00817EB9">
      <w:r>
        <w:t>A</w:t>
      </w:r>
      <w:r w:rsidRPr="00B66B48">
        <w:t>gencies should familiarise themselves with the overarching principles, and consult the checklists before embarking on communication and engagement activities. This will help ensure all possible steps have been taken to maximise the chances of achieving clear, fit-for-purpose and effective communication.</w:t>
      </w:r>
    </w:p>
    <w:p w14:paraId="5822F1EB" w14:textId="77777777" w:rsidR="00DE3854" w:rsidRPr="00B66B48" w:rsidRDefault="00DE3854" w:rsidP="00817EB9">
      <w:r w:rsidRPr="00B66B48">
        <w:t>The primary aim of this guidance is to support government agencies to communicate and engage with stakeholders and each other about PFAS management pertaining to their responsibilities.</w:t>
      </w:r>
    </w:p>
    <w:p w14:paraId="4FA7A16E" w14:textId="77777777" w:rsidR="00DE3854" w:rsidRPr="00B66B48" w:rsidRDefault="00DE3854" w:rsidP="00817EB9">
      <w:r w:rsidRPr="00B66B48">
        <w:t>Communicating clearly and consistently</w:t>
      </w:r>
      <w:r>
        <w:t>,</w:t>
      </w:r>
      <w:r w:rsidRPr="00B66B48">
        <w:t xml:space="preserve"> through consultation and information sharing between agencies and across governments, will greatly increase community understanding of the issues. It will also reduce any public confusion, anxiety and distrust in governments. This, in turn, will allow agencies to continue the important work of determining the most appropriate PFAS management and responses, commensurate with risks identified through detailed assessment and analysis of all available information. </w:t>
      </w:r>
    </w:p>
    <w:p w14:paraId="76EE15D9" w14:textId="4281EC1E" w:rsidR="00817EB9" w:rsidRDefault="00DE3854" w:rsidP="00817EB9">
      <w:pPr>
        <w:rPr>
          <w:rStyle w:val="Heading2Char"/>
          <w:rFonts w:eastAsiaTheme="minorHAnsi"/>
        </w:rPr>
        <w:sectPr w:rsidR="00817EB9" w:rsidSect="00817EB9">
          <w:type w:val="continuous"/>
          <w:pgSz w:w="11906" w:h="16838"/>
          <w:pgMar w:top="1418" w:right="1418" w:bottom="1418" w:left="1418" w:header="567" w:footer="283" w:gutter="0"/>
          <w:pgNumType w:start="1"/>
          <w:cols w:num="2" w:space="708"/>
          <w:docGrid w:linePitch="360"/>
        </w:sectPr>
      </w:pPr>
      <w:r w:rsidRPr="00B66B48">
        <w:t>The Guidelines were developed in consultation with government agencies involved in PFAS contamination responses, and are based on expert communication advice. Agencies should adhere to the principles within, and review and update the guidance as necessary, for as long as PFAS contamination requires government responses.</w:t>
      </w:r>
      <w:bookmarkStart w:id="3" w:name="_Toc20817484"/>
    </w:p>
    <w:p w14:paraId="72FB87EB" w14:textId="41A5B702" w:rsidR="0016130D" w:rsidRDefault="00362BFA" w:rsidP="000357AA">
      <w:pPr>
        <w:keepNext/>
        <w:keepLines/>
        <w:pageBreakBefore/>
      </w:pPr>
      <w:bookmarkStart w:id="4" w:name="_Toc47106357"/>
      <w:r w:rsidRPr="0016130D">
        <w:rPr>
          <w:rStyle w:val="Heading2Char"/>
          <w:rFonts w:eastAsiaTheme="minorHAnsi"/>
        </w:rPr>
        <w:t>Scope of this document</w:t>
      </w:r>
      <w:bookmarkEnd w:id="3"/>
      <w:bookmarkEnd w:id="4"/>
    </w:p>
    <w:p w14:paraId="03E081DE" w14:textId="77777777" w:rsidR="00817EB9" w:rsidRDefault="00817EB9" w:rsidP="00817EB9">
      <w:pPr>
        <w:sectPr w:rsidR="00817EB9" w:rsidSect="00622B2E">
          <w:type w:val="continuous"/>
          <w:pgSz w:w="11906" w:h="16838"/>
          <w:pgMar w:top="1418" w:right="1418" w:bottom="1418" w:left="1418" w:header="567" w:footer="709" w:gutter="0"/>
          <w:pgNumType w:start="4"/>
          <w:cols w:space="708"/>
          <w:docGrid w:linePitch="360"/>
        </w:sectPr>
      </w:pPr>
    </w:p>
    <w:p w14:paraId="72745920" w14:textId="662DBE0A" w:rsidR="00362BFA" w:rsidRPr="00B66B48" w:rsidRDefault="00362BFA" w:rsidP="00817EB9">
      <w:r w:rsidRPr="00B66B48">
        <w:t>The Guidelines set out best practice principles for information sharing, communication and engagement, with the aim of fostering an effective and consistent approach to communicating about PFAS contamination across governments and agencies.</w:t>
      </w:r>
    </w:p>
    <w:p w14:paraId="748C1895" w14:textId="77777777" w:rsidR="00362BFA" w:rsidRPr="00C318CD" w:rsidRDefault="00362BFA" w:rsidP="00817EB9">
      <w:r w:rsidRPr="00C318CD">
        <w:t xml:space="preserve">It is important to note, the intention of the Guidelines is not to provide a mandated process, nor to dictate roles and responsibilities. Rather, the Guidelines promote cooperation, transparency, and commitment of resources to individual and shared responsibilities. The Guidelines provide agencies with practical guidance to help ensure that governments and agencies are consulting with one another and collaborating as issues arise, and that communication efforts are appropriate, transparent, consistent, and easily understood by audiences. </w:t>
      </w:r>
    </w:p>
    <w:p w14:paraId="0803C827" w14:textId="77777777" w:rsidR="00C66F24" w:rsidRDefault="00362BFA" w:rsidP="00817EB9">
      <w:r w:rsidRPr="009D7B90">
        <w:rPr>
          <w:noProof/>
          <w:lang w:eastAsia="en-AU"/>
        </w:rPr>
        <w:drawing>
          <wp:inline distT="0" distB="0" distL="0" distR="0" wp14:anchorId="59CBF911" wp14:editId="0E932571">
            <wp:extent cx="2714400" cy="3679200"/>
            <wp:effectExtent l="0" t="0" r="0" b="0"/>
            <wp:docPr id="12292" name="Picture 27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279" descr="falling puzzle.wmf"/>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14400" cy="3679200"/>
                    </a:xfrm>
                    <a:prstGeom prst="rect">
                      <a:avLst/>
                    </a:prstGeom>
                    <a:noFill/>
                    <a:ln w="9525">
                      <a:noFill/>
                      <a:miter lim="800000"/>
                      <a:headEnd/>
                      <a:tailEnd/>
                    </a:ln>
                  </pic:spPr>
                </pic:pic>
              </a:graphicData>
            </a:graphic>
          </wp:inline>
        </w:drawing>
      </w:r>
    </w:p>
    <w:p w14:paraId="3D9804FD" w14:textId="3E1007B0" w:rsidR="00362BFA" w:rsidRDefault="00362BFA" w:rsidP="00817EB9">
      <w:r w:rsidRPr="00B66B48">
        <w:t>These Guidelines provide a comprehensive set of principles and elements to consider when determining the best communication approach</w:t>
      </w:r>
      <w:r>
        <w:t xml:space="preserve"> in relation to PFAS</w:t>
      </w:r>
      <w:r w:rsidRPr="00B66B48">
        <w:t xml:space="preserve">. They build on current practices, lessons learned by Commonwealth and state and territory agencies from previous PFAS communication and engagement activities, advice from those with experience from similarly challenging community engagement, and expert advice about managing complex and sensitive issues. </w:t>
      </w:r>
    </w:p>
    <w:p w14:paraId="0C04374E" w14:textId="77777777" w:rsidR="00362BFA" w:rsidRDefault="00362BFA" w:rsidP="00817EB9">
      <w:r>
        <w:t>These Guidelines are consistent with existing guidance, including but not limited to:</w:t>
      </w:r>
    </w:p>
    <w:p w14:paraId="18CA5333" w14:textId="77777777" w:rsidR="00362BFA" w:rsidRPr="007A0029" w:rsidRDefault="00362BFA" w:rsidP="00817EB9">
      <w:pPr>
        <w:pStyle w:val="ListBullet"/>
      </w:pPr>
      <w:r w:rsidRPr="007A0029">
        <w:t xml:space="preserve">Guideline on Community Engagement and Risk Communication – Schedule B8, </w:t>
      </w:r>
      <w:r w:rsidRPr="00490D50">
        <w:rPr>
          <w:i/>
          <w:iCs/>
        </w:rPr>
        <w:t>National Environment Protection (Assessment of Site Contamination) Measure 1999</w:t>
      </w:r>
    </w:p>
    <w:p w14:paraId="24E69748" w14:textId="77777777" w:rsidR="00362BFA" w:rsidRPr="007A0029" w:rsidRDefault="00362BFA" w:rsidP="00817EB9">
      <w:pPr>
        <w:pStyle w:val="ListBullet"/>
      </w:pPr>
      <w:r w:rsidRPr="007A0029">
        <w:t>Responding to Environmental Health Incidents - Community Engagement Handbook, developed by enHealth.</w:t>
      </w:r>
    </w:p>
    <w:p w14:paraId="3D467122" w14:textId="77777777" w:rsidR="00362BFA" w:rsidRPr="00B66B48" w:rsidRDefault="00362BFA" w:rsidP="00817EB9">
      <w:r w:rsidRPr="00B66B48">
        <w:t xml:space="preserve">The Guidelines recognise that </w:t>
      </w:r>
      <w:r>
        <w:t>multiple</w:t>
      </w:r>
      <w:r w:rsidRPr="00B66B48">
        <w:t xml:space="preserve"> government agencies are responsible for different aspects of responding to PFAS contamination, and will undertake communication and engagement activities relevant to their responsibilities. The Guidelines also acknowledge that information sharing should be undertaken appropriately and at the right level, taking into consideration any legal </w:t>
      </w:r>
      <w:r>
        <w:t xml:space="preserve">requirements and sensitivities. </w:t>
      </w:r>
      <w:r w:rsidRPr="00B66B48">
        <w:t xml:space="preserve"> </w:t>
      </w:r>
    </w:p>
    <w:p w14:paraId="7A2EDB8A" w14:textId="77777777" w:rsidR="00C66F24" w:rsidRDefault="00362BFA" w:rsidP="00817EB9">
      <w:r w:rsidRPr="00B66B48">
        <w:t xml:space="preserve">This document does not discuss approaches for engagement with international government agencies or institutions. In the event of developments in this area, the Guidelines will be updated </w:t>
      </w:r>
      <w:r>
        <w:t>as and when the need arises.</w:t>
      </w:r>
    </w:p>
    <w:p w14:paraId="5802B3B1" w14:textId="606CA579" w:rsidR="00817EB9" w:rsidRDefault="00817EB9">
      <w:pPr>
        <w:spacing w:before="0" w:after="0"/>
      </w:pPr>
    </w:p>
    <w:p w14:paraId="2E403846" w14:textId="77777777" w:rsidR="00817EB9" w:rsidRDefault="00817EB9" w:rsidP="00C66F24">
      <w:pPr>
        <w:sectPr w:rsidR="00817EB9" w:rsidSect="00817EB9">
          <w:type w:val="continuous"/>
          <w:pgSz w:w="11906" w:h="16838"/>
          <w:pgMar w:top="1418" w:right="1418" w:bottom="1418" w:left="1418" w:header="567" w:footer="283" w:gutter="0"/>
          <w:pgNumType w:start="1"/>
          <w:cols w:num="2" w:space="708"/>
          <w:docGrid w:linePitch="360"/>
        </w:sectPr>
      </w:pPr>
    </w:p>
    <w:p w14:paraId="5E69E307" w14:textId="56E2DB44" w:rsidR="00C66F24" w:rsidRDefault="00C66F24" w:rsidP="00C66F24"/>
    <w:p w14:paraId="5363C0E6" w14:textId="5DFF2C0A" w:rsidR="008861A4" w:rsidRDefault="00E34D53" w:rsidP="000357AA">
      <w:pPr>
        <w:pStyle w:val="Heading2"/>
        <w:pageBreakBefore/>
      </w:pPr>
      <w:bookmarkStart w:id="5" w:name="_Toc47106358"/>
      <w:r>
        <w:t xml:space="preserve">Information </w:t>
      </w:r>
      <w:r w:rsidR="006D324C">
        <w:t>s</w:t>
      </w:r>
      <w:r>
        <w:t>haring</w:t>
      </w:r>
      <w:bookmarkEnd w:id="5"/>
    </w:p>
    <w:p w14:paraId="75E01678" w14:textId="77777777" w:rsidR="00CF7A13" w:rsidRDefault="00CF7A13" w:rsidP="00CF7A13">
      <w:pPr>
        <w:pStyle w:val="Heading"/>
        <w:spacing w:before="120" w:after="120"/>
        <w:rPr>
          <w:rStyle w:val="Heading3Char"/>
        </w:rPr>
        <w:sectPr w:rsidR="00CF7A13" w:rsidSect="00622B2E">
          <w:footerReference w:type="default" r:id="rId13"/>
          <w:type w:val="continuous"/>
          <w:pgSz w:w="11906" w:h="16838"/>
          <w:pgMar w:top="1418" w:right="1418" w:bottom="1418" w:left="1418" w:header="567" w:footer="709" w:gutter="0"/>
          <w:pgNumType w:start="4"/>
          <w:cols w:space="708"/>
          <w:docGrid w:linePitch="360"/>
        </w:sectPr>
      </w:pPr>
    </w:p>
    <w:p w14:paraId="71485DFF" w14:textId="79275B22" w:rsidR="001F7207" w:rsidRPr="00110C26" w:rsidRDefault="001F7207" w:rsidP="00CF7A13">
      <w:pPr>
        <w:pStyle w:val="Heading"/>
        <w:spacing w:before="120" w:after="120"/>
        <w:rPr>
          <w:rFonts w:ascii="Calibri Light" w:hAnsi="Calibri Light" w:cs="Calibri Light"/>
          <w:sz w:val="28"/>
          <w:szCs w:val="28"/>
        </w:rPr>
      </w:pPr>
      <w:bookmarkStart w:id="6" w:name="_Toc47106359"/>
      <w:r w:rsidRPr="00110C26">
        <w:rPr>
          <w:rStyle w:val="Heading3Char"/>
        </w:rPr>
        <w:t>What is information sharing</w:t>
      </w:r>
      <w:bookmarkEnd w:id="6"/>
      <w:r w:rsidRPr="00110C26">
        <w:rPr>
          <w:rFonts w:ascii="Calibri Light" w:hAnsi="Calibri Light" w:cs="Calibri Light"/>
          <w:sz w:val="28"/>
          <w:szCs w:val="28"/>
        </w:rPr>
        <w:t>?</w:t>
      </w:r>
    </w:p>
    <w:p w14:paraId="004AF25B" w14:textId="77777777" w:rsidR="001F7207" w:rsidRPr="00B66B48" w:rsidRDefault="001F7207" w:rsidP="00CF7A13">
      <w:r w:rsidRPr="00B66B48">
        <w:t>For the purpose of this document, information sharing refers to communication between all entities with responsibilities relating to PFAS contamination at a particular site.</w:t>
      </w:r>
    </w:p>
    <w:p w14:paraId="56404421" w14:textId="77777777" w:rsidR="001F7207" w:rsidRPr="00B66B48" w:rsidRDefault="001F7207" w:rsidP="00CF7A13">
      <w:r w:rsidRPr="00B66B48">
        <w:t xml:space="preserve">Information sharing is discussed in this context as distinct from </w:t>
      </w:r>
      <w:r w:rsidRPr="00B66B48">
        <w:rPr>
          <w:i/>
        </w:rPr>
        <w:t>communication and engagement</w:t>
      </w:r>
      <w:r w:rsidRPr="00B66B48">
        <w:t>, which is more focused on providing information to the community.</w:t>
      </w:r>
    </w:p>
    <w:p w14:paraId="7A82933B" w14:textId="7546D4B1" w:rsidR="001F7207" w:rsidRPr="00B66B48" w:rsidRDefault="001F7207" w:rsidP="00CF7A13">
      <w:r w:rsidRPr="00B66B48">
        <w:t xml:space="preserve">When an entity becomes aware that PFAS use, historic or current, has resulted in migration of these chemicals off-site, the first response should be to </w:t>
      </w:r>
      <w:r>
        <w:t xml:space="preserve">rapidly </w:t>
      </w:r>
      <w:r w:rsidRPr="00B66B48">
        <w:t>advise all the relevant bodies with</w:t>
      </w:r>
      <w:r>
        <w:t xml:space="preserve"> </w:t>
      </w:r>
      <w:r w:rsidRPr="00B66B48">
        <w:t>regulatory, commercial, or other responsibilities for the site, the surrounding areas, and the contamination itself. The parties can then work</w:t>
      </w:r>
      <w:r>
        <w:t xml:space="preserve"> quickly and</w:t>
      </w:r>
      <w:r w:rsidRPr="00B66B48">
        <w:t xml:space="preserve"> collaboratively to develop a site investigation and risk management plan. </w:t>
      </w:r>
      <w:r w:rsidR="00CF5F8A">
        <w:t>T</w:t>
      </w:r>
      <w:r w:rsidR="00CF5F8A" w:rsidRPr="003566A4">
        <w:rPr>
          <w:lang w:val="en-US"/>
        </w:rPr>
        <w:t xml:space="preserve">here may be more than one entity responsible for the contamination </w:t>
      </w:r>
      <w:r w:rsidR="00CF5F8A">
        <w:rPr>
          <w:lang w:val="en-US"/>
        </w:rPr>
        <w:t>(</w:t>
      </w:r>
      <w:r w:rsidR="00CF5F8A" w:rsidRPr="003566A4">
        <w:rPr>
          <w:lang w:val="en-US"/>
        </w:rPr>
        <w:t>e.g. in the case of airports</w:t>
      </w:r>
      <w:r w:rsidR="00CF5F8A">
        <w:rPr>
          <w:lang w:val="en-US"/>
        </w:rPr>
        <w:t>)</w:t>
      </w:r>
      <w:r w:rsidR="00CF5F8A" w:rsidRPr="003566A4">
        <w:rPr>
          <w:lang w:val="en-US"/>
        </w:rPr>
        <w:t>.</w:t>
      </w:r>
    </w:p>
    <w:p w14:paraId="7E574693" w14:textId="77777777" w:rsidR="001F7207" w:rsidRPr="00B66B48" w:rsidRDefault="001F7207" w:rsidP="00CF7A13">
      <w:r w:rsidRPr="00B66B48">
        <w:t>Information sharing should continue throughout the investigation and response process to ensure all parties have all the information they need to act effectively, consistently and in a way that is commensurate with risk.</w:t>
      </w:r>
    </w:p>
    <w:p w14:paraId="753B7740" w14:textId="77777777" w:rsidR="001F7207" w:rsidRPr="003566A4" w:rsidRDefault="001F7207" w:rsidP="00CF7A13">
      <w:pPr>
        <w:pStyle w:val="Heading3"/>
      </w:pPr>
      <w:bookmarkStart w:id="7" w:name="_Toc47106360"/>
      <w:r w:rsidRPr="003566A4">
        <w:t>Information sharing goals</w:t>
      </w:r>
      <w:bookmarkEnd w:id="7"/>
    </w:p>
    <w:p w14:paraId="055ACA37" w14:textId="77777777" w:rsidR="001F7207" w:rsidRPr="00B66B48" w:rsidRDefault="001F7207" w:rsidP="00CF7A13">
      <w:r w:rsidRPr="00B66B48">
        <w:t>Goals for information sharing in relation to PFAS contamination include:</w:t>
      </w:r>
    </w:p>
    <w:p w14:paraId="070C4C1E" w14:textId="77777777" w:rsidR="001F7207" w:rsidRPr="00B66B48" w:rsidRDefault="001F7207" w:rsidP="00CF7A13">
      <w:pPr>
        <w:pStyle w:val="ListBullet"/>
      </w:pPr>
      <w:r w:rsidRPr="00B66B48">
        <w:t>All the relevant bodies are aware of the issue and can contribute to the risk management plan;</w:t>
      </w:r>
    </w:p>
    <w:p w14:paraId="7DD0CDD9" w14:textId="77777777" w:rsidR="001F7207" w:rsidRPr="00B66B48" w:rsidRDefault="001F7207" w:rsidP="00CF7A13">
      <w:pPr>
        <w:pStyle w:val="ListBullet"/>
      </w:pPr>
      <w:r w:rsidRPr="00B66B48">
        <w:t>Those with regulatory responsibilities have all the data they need to make timely, informed, risk-appropriate decisions;</w:t>
      </w:r>
    </w:p>
    <w:p w14:paraId="4E75EB74" w14:textId="77777777" w:rsidR="001F7207" w:rsidRPr="00B66B48" w:rsidRDefault="001F7207" w:rsidP="00CF7A13">
      <w:pPr>
        <w:pStyle w:val="ListBullet"/>
      </w:pPr>
      <w:r w:rsidRPr="00B66B48">
        <w:t>Those with responsibility for communications and engagement have all the information they need to provide timely, clear and consistent public messages that give the community confidence that governments are responding appropriately and being open and transparent; and</w:t>
      </w:r>
    </w:p>
    <w:p w14:paraId="1CD69117" w14:textId="77777777" w:rsidR="001F7207" w:rsidRPr="00B66B48" w:rsidRDefault="001F7207" w:rsidP="00CF7A13">
      <w:pPr>
        <w:pStyle w:val="ListBullet"/>
      </w:pPr>
      <w:r w:rsidRPr="00B66B48">
        <w:t>All relevant entities are kept up-to-date as new information emerges.</w:t>
      </w:r>
    </w:p>
    <w:p w14:paraId="6E88F1ED" w14:textId="77777777" w:rsidR="001F7207" w:rsidRPr="003566A4" w:rsidRDefault="001F7207" w:rsidP="00CF7A13">
      <w:pPr>
        <w:pStyle w:val="Heading3"/>
      </w:pPr>
      <w:bookmarkStart w:id="8" w:name="_Toc47106361"/>
      <w:r w:rsidRPr="003566A4">
        <w:t>Why is sharing information important?</w:t>
      </w:r>
      <w:bookmarkEnd w:id="8"/>
    </w:p>
    <w:p w14:paraId="16B5F162" w14:textId="77777777" w:rsidR="001F7207" w:rsidRPr="00B66B48" w:rsidRDefault="001F7207" w:rsidP="00CF7A13">
      <w:r w:rsidRPr="00B66B48">
        <w:t>Australians expect their governments to deliver services and information consistently and openly. They also expect that, behind the scenes, all levels of government are working together for the benefit of the communities they serve</w:t>
      </w:r>
      <w:r>
        <w:t>.</w:t>
      </w:r>
    </w:p>
    <w:p w14:paraId="5CF9FFD0" w14:textId="77777777" w:rsidR="001F7207" w:rsidRPr="00B66B48" w:rsidRDefault="001F7207" w:rsidP="00CF7A13">
      <w:r w:rsidRPr="00B66B48">
        <w:t xml:space="preserve">Some jurisdictions in Australia have been dealing with PFAS issues for several years. When issues arise, agencies rightly focus on responding quickly and managing risk. However, an unfortunate consequence is that decisions about responding to PFAS contamination are sometimes made in the absence of consultation with all the entities that may be affected by these decisions, including through unintended precedent-setting. </w:t>
      </w:r>
    </w:p>
    <w:p w14:paraId="7DD7A5C7" w14:textId="77777777" w:rsidR="001F7207" w:rsidRPr="00B66B48" w:rsidRDefault="001F7207" w:rsidP="00CF7A13">
      <w:r w:rsidRPr="00B66B48">
        <w:t>Lack of consultation can lead to inconsistent approach and messages, which creates anger, anxiety and distrust in communities.</w:t>
      </w:r>
    </w:p>
    <w:p w14:paraId="35D37980" w14:textId="77777777" w:rsidR="00D97916" w:rsidRDefault="001F7207" w:rsidP="00CF7A13">
      <w:r w:rsidRPr="00B66B48">
        <w:t>Practical and implementable i</w:t>
      </w:r>
      <w:r w:rsidRPr="00B66B48" w:rsidDel="00AD777E">
        <w:t>nformation sharing practices</w:t>
      </w:r>
      <w:r w:rsidRPr="00B66B48">
        <w:t xml:space="preserve"> between jurisdictions will help prevent distrust. A collaborative approach means</w:t>
      </w:r>
      <w:r w:rsidRPr="00B66B48" w:rsidDel="00AD777E">
        <w:t xml:space="preserve"> governments </w:t>
      </w:r>
      <w:r w:rsidRPr="00B66B48">
        <w:t>can</w:t>
      </w:r>
      <w:r w:rsidRPr="00B66B48" w:rsidDel="00AD777E">
        <w:t xml:space="preserve"> identify issues that may have a cross-jurisdictional impact</w:t>
      </w:r>
      <w:r w:rsidRPr="00B66B48">
        <w:t>,</w:t>
      </w:r>
      <w:r w:rsidRPr="00B66B48" w:rsidDel="00AD777E">
        <w:t xml:space="preserve"> and</w:t>
      </w:r>
      <w:r w:rsidRPr="00B66B48">
        <w:t xml:space="preserve"> provides the opportunity to</w:t>
      </w:r>
      <w:r w:rsidRPr="00B66B48" w:rsidDel="00AD777E">
        <w:t xml:space="preserve"> work together </w:t>
      </w:r>
      <w:r w:rsidRPr="00B66B48">
        <w:t>for a better outcome. It also allows g</w:t>
      </w:r>
      <w:r w:rsidRPr="00B66B48" w:rsidDel="00AD777E">
        <w:t xml:space="preserve">overnments </w:t>
      </w:r>
      <w:r w:rsidRPr="00B66B48">
        <w:t xml:space="preserve">to share experiences and </w:t>
      </w:r>
      <w:r w:rsidRPr="00B66B48" w:rsidDel="00AD777E">
        <w:t>expertise to develop innovative solutions. Importantly, sharing information also allows governments to align public messaging to reduce confusion</w:t>
      </w:r>
      <w:r w:rsidRPr="00B66B48">
        <w:t xml:space="preserve"> and anxiety</w:t>
      </w:r>
      <w:r w:rsidRPr="00B66B48" w:rsidDel="00AD777E">
        <w:t xml:space="preserve"> in </w:t>
      </w:r>
      <w:r w:rsidRPr="00B66B48">
        <w:t>communities</w:t>
      </w:r>
      <w:r w:rsidRPr="00B66B48" w:rsidDel="00AD777E">
        <w:t>.</w:t>
      </w:r>
    </w:p>
    <w:p w14:paraId="1F51A5BE" w14:textId="6EE2DEDC" w:rsidR="00CF7A13" w:rsidRPr="00CF7A13" w:rsidRDefault="00CF7A13" w:rsidP="00CF7A13">
      <w:pPr>
        <w:spacing w:before="0" w:after="0"/>
        <w:rPr>
          <w:rFonts w:ascii="Calibri Light" w:eastAsia="Times New Roman" w:hAnsi="Calibri Light" w:cs="Calibri Light"/>
          <w:bCs/>
          <w:color w:val="365F91" w:themeColor="accent1" w:themeShade="BF"/>
          <w:spacing w:val="20"/>
          <w:sz w:val="28"/>
          <w:szCs w:val="28"/>
          <w:lang w:eastAsia="ja-JP"/>
        </w:rPr>
        <w:sectPr w:rsidR="00CF7A13" w:rsidRPr="00CF7A13" w:rsidSect="00CF7A13">
          <w:type w:val="continuous"/>
          <w:pgSz w:w="11906" w:h="16838"/>
          <w:pgMar w:top="1418" w:right="1418" w:bottom="1418" w:left="1418" w:header="567" w:footer="283" w:gutter="0"/>
          <w:pgNumType w:start="1"/>
          <w:cols w:num="2" w:space="708"/>
          <w:docGrid w:linePitch="360"/>
        </w:sectPr>
      </w:pPr>
    </w:p>
    <w:p w14:paraId="660EA4B3" w14:textId="30CAE1D2" w:rsidR="004F4F2D" w:rsidRPr="003566A4" w:rsidRDefault="004F4F2D" w:rsidP="000357AA">
      <w:pPr>
        <w:pStyle w:val="Heading3"/>
        <w:pageBreakBefore/>
      </w:pPr>
      <w:bookmarkStart w:id="9" w:name="_Toc47106362"/>
      <w:r w:rsidRPr="003566A4">
        <w:t>Effective information sharing</w:t>
      </w:r>
      <w:bookmarkEnd w:id="9"/>
    </w:p>
    <w:p w14:paraId="5AD152C6" w14:textId="77777777" w:rsidR="004F4F2D" w:rsidRPr="00B66B48" w:rsidRDefault="004F4F2D" w:rsidP="00775E17">
      <w:r w:rsidRPr="00B66B48">
        <w:t xml:space="preserve">Effective information sharing between </w:t>
      </w:r>
      <w:r>
        <w:t xml:space="preserve">all levels of </w:t>
      </w:r>
      <w:r w:rsidRPr="00B66B48">
        <w:t xml:space="preserve">government requires a commitment to openness and collaboration. </w:t>
      </w:r>
    </w:p>
    <w:p w14:paraId="2B61576A" w14:textId="77777777" w:rsidR="004F4F2D" w:rsidRPr="00B66B48" w:rsidRDefault="004F4F2D" w:rsidP="00775E17">
      <w:r w:rsidRPr="00B66B48">
        <w:t>Timing of communications will vary depending on the circumstances. However, agencies should seek to:</w:t>
      </w:r>
      <w:r w:rsidRPr="00B24A6E">
        <w:rPr>
          <w:noProof/>
        </w:rPr>
        <w:t xml:space="preserve"> </w:t>
      </w:r>
    </w:p>
    <w:p w14:paraId="50633D0C" w14:textId="77777777" w:rsidR="004F4F2D" w:rsidRPr="00B66B48" w:rsidRDefault="004F4F2D" w:rsidP="00775E17">
      <w:pPr>
        <w:pStyle w:val="ListBullet"/>
      </w:pPr>
      <w:r w:rsidRPr="00B66B48">
        <w:t>Inform and consult with other relevant entities as soon as practicable when an event such as a spill occurs;</w:t>
      </w:r>
    </w:p>
    <w:p w14:paraId="0A29D067" w14:textId="77777777" w:rsidR="004F4F2D" w:rsidRPr="00B66B48" w:rsidRDefault="004F4F2D" w:rsidP="00775E17">
      <w:pPr>
        <w:pStyle w:val="ListBullet"/>
      </w:pPr>
      <w:r w:rsidRPr="00B66B48">
        <w:t xml:space="preserve">Inform and consult with other relevant entities when a new </w:t>
      </w:r>
      <w:r>
        <w:t xml:space="preserve">contaminated </w:t>
      </w:r>
      <w:r w:rsidRPr="00B66B48">
        <w:t>site is identified and before any community engagement is planned;</w:t>
      </w:r>
    </w:p>
    <w:p w14:paraId="012CA722" w14:textId="77777777" w:rsidR="004F4F2D" w:rsidRPr="00B66B48" w:rsidRDefault="004F4F2D" w:rsidP="00775E17">
      <w:pPr>
        <w:pStyle w:val="ListBullet"/>
      </w:pPr>
      <w:r w:rsidRPr="00B66B48">
        <w:t>Update other jurisdictions on matters such as policy development and directions; and</w:t>
      </w:r>
    </w:p>
    <w:p w14:paraId="2914812B" w14:textId="77777777" w:rsidR="004F4F2D" w:rsidRPr="008F1D10" w:rsidRDefault="004F4F2D" w:rsidP="00775E17">
      <w:pPr>
        <w:pStyle w:val="ListBullet"/>
        <w:rPr>
          <w:b/>
        </w:rPr>
      </w:pPr>
      <w:r w:rsidRPr="00FD6D04">
        <w:t>Make information sharing a core element of any contamination response effort</w:t>
      </w:r>
      <w:r w:rsidRPr="00B66B48">
        <w:t>.</w:t>
      </w:r>
    </w:p>
    <w:p w14:paraId="70C17DBD" w14:textId="77777777" w:rsidR="004F4F2D" w:rsidRPr="008F1D10" w:rsidRDefault="004F4F2D" w:rsidP="004F4F2D">
      <w:pPr>
        <w:widowControl w:val="0"/>
        <w:spacing w:before="60" w:after="60"/>
        <w:rPr>
          <w:b/>
        </w:rPr>
      </w:pPr>
      <w:r>
        <w:t>Note: Information sharing should always be undertaken with due consideration given to any legal limitations such as commercial-in-confidence requirements or privacy legislation, and the maintenance of privilege regarding legal advice. In addition, agencies should be aware that materials prepared for information sharing or external communication may be subject to Freedom of Information requests.</w:t>
      </w:r>
    </w:p>
    <w:p w14:paraId="41369569" w14:textId="18EBD56B" w:rsidR="004F4F2D" w:rsidRDefault="004F4F2D" w:rsidP="004C5C02"/>
    <w:p w14:paraId="52E039DB" w14:textId="77777777" w:rsidR="004C5C02" w:rsidRPr="00CC71F7" w:rsidRDefault="004C5C02" w:rsidP="00E27631">
      <w:pPr>
        <w:pStyle w:val="BoxText"/>
        <w:shd w:val="clear" w:color="auto" w:fill="F2F2F2" w:themeFill="background1" w:themeFillShade="F2"/>
      </w:pPr>
      <w:r w:rsidRPr="00CC71F7">
        <w:t xml:space="preserve">Effective information sharing can be achieved </w:t>
      </w:r>
      <w:r w:rsidRPr="00BB3EB6">
        <w:t>through</w:t>
      </w:r>
      <w:r w:rsidRPr="00CC71F7">
        <w:t xml:space="preserve"> means such as:</w:t>
      </w:r>
    </w:p>
    <w:p w14:paraId="7F18572E" w14:textId="77777777" w:rsidR="004C5C02" w:rsidRPr="00CC71F7" w:rsidRDefault="004C5C02" w:rsidP="00E27631">
      <w:pPr>
        <w:pStyle w:val="BoxTextBullet"/>
        <w:shd w:val="clear" w:color="auto" w:fill="F2F2F2" w:themeFill="background1" w:themeFillShade="F2"/>
      </w:pPr>
      <w:r w:rsidRPr="00CC71F7">
        <w:t>Engaging early with other entities that have a role to play – for example, industry, where it is a potential source of contamination, and local government, where it has responsibility for a site, such as local government owned airports or landfill sites.</w:t>
      </w:r>
    </w:p>
    <w:p w14:paraId="63D56AA2" w14:textId="77777777" w:rsidR="004C5C02" w:rsidRPr="00CC71F7" w:rsidRDefault="004C5C02" w:rsidP="00E27631">
      <w:pPr>
        <w:pStyle w:val="BoxTextBullet"/>
        <w:shd w:val="clear" w:color="auto" w:fill="F2F2F2" w:themeFill="background1" w:themeFillShade="F2"/>
      </w:pPr>
      <w:r w:rsidRPr="00CC71F7">
        <w:t>Contacting Environment Protection Authority (or equivalent) pollution hotlines, in sudden events.</w:t>
      </w:r>
    </w:p>
    <w:p w14:paraId="0D68AA7D" w14:textId="77777777" w:rsidR="004C5C02" w:rsidRPr="00CC71F7" w:rsidRDefault="004C5C02" w:rsidP="00E27631">
      <w:pPr>
        <w:pStyle w:val="BoxTextBullet"/>
        <w:shd w:val="clear" w:color="auto" w:fill="F2F2F2" w:themeFill="background1" w:themeFillShade="F2"/>
      </w:pPr>
      <w:r w:rsidRPr="00CC71F7">
        <w:t>Utilising and connecting existing mechanisms such as Commonwealth and state/territory Inter-Departmental Committees.</w:t>
      </w:r>
    </w:p>
    <w:p w14:paraId="03612487" w14:textId="77777777" w:rsidR="004C5C02" w:rsidRPr="00CC71F7" w:rsidRDefault="004C5C02" w:rsidP="00E27631">
      <w:pPr>
        <w:pStyle w:val="BoxTextBullet"/>
        <w:shd w:val="clear" w:color="auto" w:fill="F2F2F2" w:themeFill="background1" w:themeFillShade="F2"/>
      </w:pPr>
      <w:r w:rsidRPr="00CC71F7">
        <w:t xml:space="preserve">Establishing ad-hoc cross-agency and, where relevant, cross-jurisdictional tactical response groups to develop rapid strategies for responding to unforeseen events as they arise (e.g. spills; unexpected investigation results; significant developments in research). </w:t>
      </w:r>
    </w:p>
    <w:p w14:paraId="40C2FB7A" w14:textId="77777777" w:rsidR="004C5C02" w:rsidRPr="00CC71F7" w:rsidRDefault="004C5C02" w:rsidP="00E27631">
      <w:pPr>
        <w:pStyle w:val="BoxTextBullet"/>
        <w:shd w:val="clear" w:color="auto" w:fill="F2F2F2" w:themeFill="background1" w:themeFillShade="F2"/>
      </w:pPr>
      <w:r w:rsidRPr="00CC71F7">
        <w:t>Establishing working groups with representation from all relevant agencies, and across jurisdictions if required, to develop discrete products or deliver goals within specific timeframes (e.g. developing remediation research approaches; determining communications strategies in relation to emerging but non-urgent situations).</w:t>
      </w:r>
    </w:p>
    <w:p w14:paraId="13364626" w14:textId="77777777" w:rsidR="004C5C02" w:rsidRPr="00CC71F7" w:rsidRDefault="004C5C02" w:rsidP="00E27631">
      <w:pPr>
        <w:pStyle w:val="BoxTextBullet"/>
        <w:shd w:val="clear" w:color="auto" w:fill="F2F2F2" w:themeFill="background1" w:themeFillShade="F2"/>
      </w:pPr>
      <w:r w:rsidRPr="00CC71F7">
        <w:t>Informal information sharing as required.</w:t>
      </w:r>
    </w:p>
    <w:p w14:paraId="2A672AC3" w14:textId="242DD694" w:rsidR="004C5C02" w:rsidRPr="00CC71F7" w:rsidRDefault="004C5C02" w:rsidP="00E27631">
      <w:pPr>
        <w:pStyle w:val="BoxText"/>
        <w:shd w:val="clear" w:color="auto" w:fill="F2F2F2" w:themeFill="background1" w:themeFillShade="F2"/>
      </w:pPr>
      <w:r w:rsidRPr="00CC71F7">
        <w:t>The PFAS Contamination Response Protocol provides additional guidance about how and when entities should engage and share information as part of good practice processes for responding to PFAS contamination.</w:t>
      </w:r>
    </w:p>
    <w:p w14:paraId="42F29B85" w14:textId="6165D508" w:rsidR="00310EB1" w:rsidRPr="00310EB1" w:rsidRDefault="00310EB1" w:rsidP="000357AA">
      <w:pPr>
        <w:pStyle w:val="Heading2"/>
        <w:keepNext w:val="0"/>
        <w:pageBreakBefore/>
      </w:pPr>
      <w:bookmarkStart w:id="10" w:name="_Toc47106363"/>
      <w:r w:rsidRPr="00310EB1">
        <w:t>Communication goal</w:t>
      </w:r>
      <w:bookmarkEnd w:id="10"/>
      <w:r w:rsidRPr="00310EB1">
        <w:t xml:space="preserve"> </w:t>
      </w:r>
    </w:p>
    <w:p w14:paraId="0C21AA48" w14:textId="77777777" w:rsidR="00FB7BBC" w:rsidRDefault="00FB7BBC" w:rsidP="004650A8">
      <w:pPr>
        <w:keepLines/>
        <w:sectPr w:rsidR="00FB7BBC" w:rsidSect="00622B2E">
          <w:footerReference w:type="default" r:id="rId14"/>
          <w:type w:val="continuous"/>
          <w:pgSz w:w="11906" w:h="16838"/>
          <w:pgMar w:top="1418" w:right="1418" w:bottom="1418" w:left="1418" w:header="567" w:footer="709" w:gutter="0"/>
          <w:pgNumType w:start="6"/>
          <w:cols w:space="708"/>
          <w:docGrid w:linePitch="360"/>
        </w:sectPr>
      </w:pPr>
    </w:p>
    <w:p w14:paraId="704519DA" w14:textId="25320CCC" w:rsidR="00310EB1" w:rsidRPr="00310EB1" w:rsidRDefault="00310EB1" w:rsidP="004650A8">
      <w:pPr>
        <w:keepLines/>
      </w:pPr>
      <w:r w:rsidRPr="00310EB1">
        <w:t>The main goals of these Guidelines are for the community to feel confident that:</w:t>
      </w:r>
    </w:p>
    <w:p w14:paraId="25FDA68D" w14:textId="19E72316" w:rsidR="00310EB1" w:rsidRPr="00310EB1" w:rsidRDefault="00310EB1" w:rsidP="004650A8">
      <w:pPr>
        <w:pStyle w:val="ListBullet"/>
        <w:keepLines/>
      </w:pPr>
      <w:r w:rsidRPr="00310EB1">
        <w:t>governments are clearly focused on their wellbeing;</w:t>
      </w:r>
    </w:p>
    <w:p w14:paraId="0EEB277F" w14:textId="6A13D481" w:rsidR="00310EB1" w:rsidRPr="00310EB1" w:rsidRDefault="00310EB1" w:rsidP="004650A8">
      <w:pPr>
        <w:pStyle w:val="ListBullet"/>
        <w:keepLines/>
      </w:pPr>
      <w:r w:rsidRPr="00310EB1">
        <w:t>they have all the available information relevant to them, provided in a timely manner and in a way they can easily understand;</w:t>
      </w:r>
    </w:p>
    <w:p w14:paraId="6E56F66B" w14:textId="563AAFA1" w:rsidR="00310EB1" w:rsidRPr="00310EB1" w:rsidRDefault="00310EB1" w:rsidP="004650A8">
      <w:pPr>
        <w:pStyle w:val="ListBullet"/>
        <w:keepLines/>
      </w:pPr>
      <w:r w:rsidRPr="00310EB1">
        <w:t>they are being heard by their government and their concerns are acknowledged and understood;</w:t>
      </w:r>
    </w:p>
    <w:p w14:paraId="19386B6C" w14:textId="0FA801A3" w:rsidR="00310EB1" w:rsidRPr="00310EB1" w:rsidRDefault="00310EB1" w:rsidP="004650A8">
      <w:pPr>
        <w:pStyle w:val="ListBullet"/>
        <w:keepLines/>
      </w:pPr>
      <w:r w:rsidRPr="00310EB1">
        <w:t xml:space="preserve">in dealing with them, governments are being transparent and honest and acting with integrity; </w:t>
      </w:r>
    </w:p>
    <w:p w14:paraId="247DCE26" w14:textId="0BC20FB8" w:rsidR="00310EB1" w:rsidRPr="00310EB1" w:rsidRDefault="00310EB1" w:rsidP="004650A8">
      <w:pPr>
        <w:pStyle w:val="ListBullet"/>
        <w:keepLines/>
      </w:pPr>
      <w:r w:rsidRPr="00310EB1">
        <w:t>they understand what is happening in their local area in relation to PFAS and how it may or may not affect them, as well as what steps they can take to manage this for themselves (e.g. reducing their exposure, keeping themselves abreast of the latest research developments and investigation results);</w:t>
      </w:r>
    </w:p>
    <w:p w14:paraId="095A5F53" w14:textId="25E840F2" w:rsidR="00310EB1" w:rsidRPr="00310EB1" w:rsidRDefault="00310EB1" w:rsidP="004650A8">
      <w:pPr>
        <w:pStyle w:val="ListBullet"/>
        <w:keepLines/>
      </w:pPr>
      <w:r w:rsidRPr="00310EB1">
        <w:t>their concerns are being addressed by governments who are working together and taking action; and</w:t>
      </w:r>
    </w:p>
    <w:p w14:paraId="71FB55AF" w14:textId="38559340" w:rsidR="00310EB1" w:rsidRPr="00310EB1" w:rsidRDefault="00310EB1" w:rsidP="004650A8">
      <w:pPr>
        <w:pStyle w:val="ListBullet"/>
        <w:keepLines/>
      </w:pPr>
      <w:r w:rsidRPr="00310EB1">
        <w:t>they will be kept informed of any significant developments in government policies and activities.</w:t>
      </w:r>
    </w:p>
    <w:p w14:paraId="419E4122" w14:textId="77777777" w:rsidR="00480B61" w:rsidRDefault="00480B61" w:rsidP="0069718D">
      <w:pPr>
        <w:pStyle w:val="Heading2"/>
        <w:sectPr w:rsidR="00480B61" w:rsidSect="00344DAA">
          <w:type w:val="continuous"/>
          <w:pgSz w:w="11906" w:h="16838"/>
          <w:pgMar w:top="1418" w:right="1418" w:bottom="1418" w:left="1418" w:header="567" w:footer="283" w:gutter="0"/>
          <w:pgNumType w:start="1"/>
          <w:cols w:space="708"/>
          <w:docGrid w:linePitch="360"/>
        </w:sectPr>
      </w:pPr>
    </w:p>
    <w:p w14:paraId="2AE47966" w14:textId="592737F8" w:rsidR="00380BC1" w:rsidRDefault="00310EB1" w:rsidP="004650A8">
      <w:pPr>
        <w:pStyle w:val="Heading2"/>
        <w:keepNext w:val="0"/>
      </w:pPr>
      <w:bookmarkStart w:id="11" w:name="_Toc47106364"/>
      <w:r w:rsidRPr="00310EB1">
        <w:t>Principles for effective PFAS communication and engagement</w:t>
      </w:r>
      <w:bookmarkEnd w:id="11"/>
    </w:p>
    <w:p w14:paraId="4B06CE7E" w14:textId="77777777" w:rsidR="00FB7BBC" w:rsidRDefault="00FB7BBC" w:rsidP="004650A8">
      <w:pPr>
        <w:keepLines/>
        <w:sectPr w:rsidR="00FB7BBC" w:rsidSect="00C464CF">
          <w:type w:val="continuous"/>
          <w:pgSz w:w="11906" w:h="16838"/>
          <w:pgMar w:top="1418" w:right="1418" w:bottom="1418" w:left="1418" w:header="567" w:footer="283" w:gutter="0"/>
          <w:pgNumType w:start="1"/>
          <w:cols w:space="708"/>
          <w:docGrid w:linePitch="360"/>
        </w:sectPr>
      </w:pPr>
    </w:p>
    <w:p w14:paraId="5AD0BCB7" w14:textId="2CA82E59" w:rsidR="00310EB1" w:rsidRPr="00310EB1" w:rsidRDefault="00310EB1" w:rsidP="0069718D">
      <w:pPr>
        <w:keepNext/>
        <w:keepLines/>
      </w:pPr>
      <w:r w:rsidRPr="00310EB1">
        <w:t xml:space="preserve">These Guidelines have been developed to assist governments to engage with communities on a complex subject where evidence and understanding is still evolving. Good communication aims to provide factual and accurate information in a timely manner, and can minimise the risk of confusion, anxiety and mistrust of the messenger. </w:t>
      </w:r>
    </w:p>
    <w:p w14:paraId="14E4ACD9" w14:textId="77777777" w:rsidR="00310EB1" w:rsidRPr="00310EB1" w:rsidRDefault="00310EB1" w:rsidP="004650A8">
      <w:pPr>
        <w:keepLines/>
      </w:pPr>
      <w:r w:rsidRPr="00310EB1">
        <w:t xml:space="preserve">In the absence of straightforward, consistent, and understandable messages from governments in Australia or other credible sources, concerned community members will turn to alternative sources such as internet, social and traditional media for information. </w:t>
      </w:r>
    </w:p>
    <w:p w14:paraId="3FDE668D" w14:textId="02FF295F" w:rsidR="00310EB1" w:rsidRPr="00310EB1" w:rsidRDefault="00310EB1" w:rsidP="00810697">
      <w:pPr>
        <w:keepNext/>
        <w:keepLines/>
      </w:pPr>
      <w:r w:rsidRPr="00310EB1">
        <w:t>Applying the following six key principles of good communication can greatly assist the government in ensuring clear, factual information that effectively reaches and resonates with communities:</w:t>
      </w:r>
    </w:p>
    <w:p w14:paraId="52110EFB" w14:textId="02D8789B" w:rsidR="00310EB1" w:rsidRPr="00310EB1" w:rsidRDefault="00310EB1" w:rsidP="00810697">
      <w:pPr>
        <w:pStyle w:val="ListNumber"/>
        <w:keepNext/>
        <w:keepLines/>
      </w:pPr>
      <w:r w:rsidRPr="00310EB1">
        <w:t>Proactive is better than reactive</w:t>
      </w:r>
    </w:p>
    <w:p w14:paraId="73789244" w14:textId="5E565031" w:rsidR="00310EB1" w:rsidRPr="00310EB1" w:rsidRDefault="00310EB1" w:rsidP="00810697">
      <w:pPr>
        <w:pStyle w:val="ListNumber"/>
        <w:keepNext/>
        <w:keepLines/>
      </w:pPr>
      <w:r w:rsidRPr="00310EB1">
        <w:t>Know your purpose</w:t>
      </w:r>
    </w:p>
    <w:p w14:paraId="739027CC" w14:textId="09CCF758" w:rsidR="00310EB1" w:rsidRPr="00310EB1" w:rsidRDefault="00310EB1" w:rsidP="00810697">
      <w:pPr>
        <w:pStyle w:val="ListNumber"/>
        <w:keepNext/>
        <w:keepLines/>
      </w:pPr>
      <w:r w:rsidRPr="00310EB1">
        <w:t>Know your audience</w:t>
      </w:r>
    </w:p>
    <w:p w14:paraId="7C53A8EE" w14:textId="78DE12AC" w:rsidR="00310EB1" w:rsidRPr="00310EB1" w:rsidRDefault="00310EB1" w:rsidP="00810697">
      <w:pPr>
        <w:pStyle w:val="ListNumber"/>
        <w:keepNext/>
        <w:keepLines/>
      </w:pPr>
      <w:r w:rsidRPr="00310EB1">
        <w:t>Communicate clearly, honestly and consistently</w:t>
      </w:r>
    </w:p>
    <w:p w14:paraId="30849AFD" w14:textId="5568E73A" w:rsidR="00310EB1" w:rsidRPr="00310EB1" w:rsidRDefault="00310EB1" w:rsidP="00810697">
      <w:pPr>
        <w:pStyle w:val="ListNumber"/>
        <w:keepNext/>
        <w:keepLines/>
      </w:pPr>
      <w:r w:rsidRPr="00310EB1">
        <w:t>Never underestimate the value of face-to-face communication</w:t>
      </w:r>
    </w:p>
    <w:p w14:paraId="6A3A9E5F" w14:textId="22AA5453" w:rsidR="00310EB1" w:rsidRPr="00310EB1" w:rsidRDefault="00310EB1" w:rsidP="00810697">
      <w:pPr>
        <w:pStyle w:val="ListNumber"/>
        <w:keepNext/>
        <w:keepLines/>
      </w:pPr>
      <w:r w:rsidRPr="00310EB1">
        <w:t xml:space="preserve">Learn from experience </w:t>
      </w:r>
    </w:p>
    <w:p w14:paraId="0BA417C1" w14:textId="77777777" w:rsidR="00800A12" w:rsidRDefault="00310EB1" w:rsidP="004650A8">
      <w:pPr>
        <w:keepLines/>
      </w:pPr>
      <w:r w:rsidRPr="00310EB1">
        <w:t>The following pages explain each of these principles in detail. Adhering to them can be the difference between an assured community and one that is resistant to engagement</w:t>
      </w:r>
      <w:r w:rsidR="0051772A">
        <w:t>.</w:t>
      </w:r>
    </w:p>
    <w:p w14:paraId="3A17E0DC" w14:textId="27AB3EA9" w:rsidR="00FB7BBC" w:rsidRDefault="00FB7BBC">
      <w:pPr>
        <w:spacing w:before="0" w:after="0"/>
        <w:sectPr w:rsidR="00FB7BBC" w:rsidSect="00344DAA">
          <w:type w:val="continuous"/>
          <w:pgSz w:w="11906" w:h="16838"/>
          <w:pgMar w:top="1418" w:right="1418" w:bottom="1418" w:left="1418" w:header="567" w:footer="283" w:gutter="0"/>
          <w:pgNumType w:start="1"/>
          <w:cols w:space="708"/>
          <w:docGrid w:linePitch="360"/>
        </w:sectPr>
      </w:pPr>
    </w:p>
    <w:p w14:paraId="07ADF754" w14:textId="77777777" w:rsidR="00F133F3" w:rsidRDefault="00F133F3" w:rsidP="000357AA">
      <w:pPr>
        <w:pStyle w:val="Heading3"/>
        <w:pageBreakBefore/>
      </w:pPr>
      <w:bookmarkStart w:id="12" w:name="_Toc47106365"/>
      <w:bookmarkEnd w:id="2"/>
      <w:r w:rsidRPr="00F133F3">
        <w:t>PRINCIPLE #1 – PROACTIVE IS BETTER THAN REACTIVE</w:t>
      </w:r>
      <w:bookmarkEnd w:id="12"/>
      <w:r w:rsidRPr="00F133F3">
        <w:t xml:space="preserve"> </w:t>
      </w:r>
    </w:p>
    <w:p w14:paraId="1FDB6885" w14:textId="77777777" w:rsidR="00A52542" w:rsidRDefault="00A52542" w:rsidP="006A44C2">
      <w:pPr>
        <w:sectPr w:rsidR="00A52542" w:rsidSect="00FE0AC8">
          <w:type w:val="continuous"/>
          <w:pgSz w:w="11906" w:h="16838"/>
          <w:pgMar w:top="1418" w:right="1418" w:bottom="1418" w:left="1418" w:header="567" w:footer="709" w:gutter="0"/>
          <w:pgNumType w:start="8"/>
          <w:cols w:space="708"/>
          <w:docGrid w:linePitch="360"/>
        </w:sectPr>
      </w:pPr>
    </w:p>
    <w:p w14:paraId="00CE8177" w14:textId="596F59F8" w:rsidR="0020786F" w:rsidRPr="004E4254" w:rsidRDefault="0020786F" w:rsidP="006A44C2">
      <w:r w:rsidRPr="004E4254">
        <w:t>Wherever possible, be the first and most credible provider of factual information.</w:t>
      </w:r>
    </w:p>
    <w:p w14:paraId="0D496A35" w14:textId="0889DF49" w:rsidR="0020786F" w:rsidRPr="004E4254" w:rsidRDefault="0020786F" w:rsidP="006A44C2">
      <w:r w:rsidRPr="004E4254">
        <w:t>In the public discourse about PFAS, we have seen numerous examples where, in the absence of up</w:t>
      </w:r>
      <w:r w:rsidRPr="004E4254">
        <w:noBreakHyphen/>
        <w:t>front, clear and factual information from credible spokespeople, the media has at times reported incorrect, misleading information, drawing erroneous connections and misquoting scientific literature.</w:t>
      </w:r>
    </w:p>
    <w:p w14:paraId="538B2FA9" w14:textId="076FCC88" w:rsidR="004E4254" w:rsidRPr="00C6247A" w:rsidRDefault="004E4254" w:rsidP="006A44C2">
      <w:pPr>
        <w:pStyle w:val="BoxText"/>
        <w:pBdr>
          <w:top w:val="single" w:sz="18" w:space="1" w:color="4F81BD" w:themeColor="accent1"/>
          <w:left w:val="none" w:sz="0" w:space="0" w:color="auto"/>
          <w:bottom w:val="single" w:sz="18" w:space="1" w:color="4F81BD" w:themeColor="accent1"/>
          <w:right w:val="none" w:sz="0" w:space="0" w:color="auto"/>
        </w:pBdr>
        <w:jc w:val="center"/>
        <w:rPr>
          <w:i/>
          <w:iCs/>
        </w:rPr>
      </w:pPr>
      <w:bookmarkStart w:id="13" w:name="_Hlk44939974"/>
      <w:r w:rsidRPr="00C6247A">
        <w:rPr>
          <w:i/>
          <w:iCs/>
        </w:rPr>
        <w:t>Wherever possible, be the first and most credible provider of factual information</w:t>
      </w:r>
    </w:p>
    <w:bookmarkEnd w:id="13"/>
    <w:p w14:paraId="59D8DCB2" w14:textId="77777777" w:rsidR="008F0707" w:rsidRPr="00B66B48" w:rsidRDefault="008F0707" w:rsidP="006A44C2">
      <w:r w:rsidRPr="00B66B48">
        <w:t>Being proactive in preparing and releasing clear and factual information, as soon as any significant new development occurs, is preferable for a number of reasons:</w:t>
      </w:r>
    </w:p>
    <w:p w14:paraId="6F9772F3" w14:textId="77777777" w:rsidR="008F0707" w:rsidRPr="00B66B48" w:rsidRDefault="008F0707" w:rsidP="00983956">
      <w:pPr>
        <w:pStyle w:val="ListParagraph"/>
        <w:numPr>
          <w:ilvl w:val="0"/>
          <w:numId w:val="11"/>
        </w:numPr>
        <w:spacing w:after="120"/>
        <w:ind w:left="284" w:hanging="284"/>
        <w:rPr>
          <w:rFonts w:ascii="Calibri" w:hAnsi="Calibri"/>
          <w:sz w:val="22"/>
          <w:szCs w:val="22"/>
        </w:rPr>
      </w:pPr>
      <w:r w:rsidRPr="00B66B48">
        <w:rPr>
          <w:rFonts w:ascii="Calibri" w:hAnsi="Calibri"/>
          <w:sz w:val="22"/>
          <w:szCs w:val="22"/>
        </w:rPr>
        <w:t>it demonstrates government openness and transparency, which engenders trust;</w:t>
      </w:r>
    </w:p>
    <w:p w14:paraId="2021CFC3" w14:textId="77777777" w:rsidR="008F0707" w:rsidRPr="00B66B48" w:rsidRDefault="008F0707" w:rsidP="00983956">
      <w:pPr>
        <w:pStyle w:val="ListParagraph"/>
        <w:numPr>
          <w:ilvl w:val="0"/>
          <w:numId w:val="11"/>
        </w:numPr>
        <w:spacing w:after="120"/>
        <w:ind w:left="284" w:hanging="284"/>
        <w:rPr>
          <w:rFonts w:ascii="Calibri" w:hAnsi="Calibri"/>
          <w:sz w:val="22"/>
          <w:szCs w:val="22"/>
        </w:rPr>
      </w:pPr>
      <w:r w:rsidRPr="00B66B48">
        <w:rPr>
          <w:rFonts w:ascii="Calibri" w:hAnsi="Calibri"/>
          <w:sz w:val="22"/>
          <w:szCs w:val="22"/>
        </w:rPr>
        <w:t>it avoids the perception that government is trying to conceal issues from the public, or shirk responsibility;</w:t>
      </w:r>
    </w:p>
    <w:p w14:paraId="4C2C2C81" w14:textId="77777777" w:rsidR="008F0707" w:rsidRPr="00B66B48" w:rsidRDefault="008F0707" w:rsidP="00983956">
      <w:pPr>
        <w:pStyle w:val="ListParagraph"/>
        <w:numPr>
          <w:ilvl w:val="0"/>
          <w:numId w:val="11"/>
        </w:numPr>
        <w:spacing w:after="120"/>
        <w:ind w:left="284" w:hanging="284"/>
        <w:rPr>
          <w:rFonts w:ascii="Calibri" w:hAnsi="Calibri"/>
          <w:sz w:val="22"/>
          <w:szCs w:val="22"/>
        </w:rPr>
      </w:pPr>
      <w:r w:rsidRPr="00B66B48">
        <w:rPr>
          <w:rFonts w:ascii="Calibri" w:hAnsi="Calibri"/>
          <w:sz w:val="22"/>
          <w:szCs w:val="22"/>
        </w:rPr>
        <w:t>it provides the media with facts (preferably in the form of quotes from credible spokespeople) and a balanced narrative they can publish; and</w:t>
      </w:r>
    </w:p>
    <w:p w14:paraId="2A9BE83C" w14:textId="7EAA8953" w:rsidR="000A2C2E" w:rsidRDefault="008F0707" w:rsidP="00983956">
      <w:pPr>
        <w:pStyle w:val="ListParagraph"/>
        <w:numPr>
          <w:ilvl w:val="0"/>
          <w:numId w:val="11"/>
        </w:numPr>
        <w:spacing w:before="0" w:after="240"/>
        <w:ind w:left="284" w:hanging="284"/>
        <w:rPr>
          <w:rFonts w:ascii="Calibri" w:hAnsi="Calibri"/>
          <w:sz w:val="22"/>
          <w:szCs w:val="22"/>
        </w:rPr>
        <w:sectPr w:rsidR="000A2C2E" w:rsidSect="000A2C2E">
          <w:type w:val="continuous"/>
          <w:pgSz w:w="11906" w:h="16838"/>
          <w:pgMar w:top="1418" w:right="1418" w:bottom="1418" w:left="1418" w:header="567" w:footer="283" w:gutter="0"/>
          <w:pgNumType w:start="1"/>
          <w:cols w:num="2" w:space="708"/>
          <w:docGrid w:linePitch="360"/>
        </w:sectPr>
      </w:pPr>
      <w:r w:rsidRPr="00B66B48">
        <w:rPr>
          <w:rFonts w:ascii="Calibri" w:hAnsi="Calibri"/>
          <w:sz w:val="22"/>
          <w:szCs w:val="22"/>
        </w:rPr>
        <w:t>factual information may, in some cases, debunk myths and extinguish interest in the story before it gains momentum and causes unnecessary concer</w:t>
      </w:r>
      <w:r w:rsidR="004650A8">
        <w:rPr>
          <w:rFonts w:ascii="Calibri" w:hAnsi="Calibri"/>
          <w:sz w:val="22"/>
          <w:szCs w:val="22"/>
        </w:rPr>
        <w:t>n</w:t>
      </w:r>
      <w:r w:rsidR="000E3863">
        <w:rPr>
          <w:rFonts w:ascii="Calibri" w:hAnsi="Calibri"/>
          <w:sz w:val="22"/>
          <w:szCs w:val="22"/>
        </w:rPr>
        <w:t>.</w:t>
      </w:r>
    </w:p>
    <w:p w14:paraId="3F5EF1F8" w14:textId="77777777" w:rsidR="009D4E94" w:rsidRPr="002075B9" w:rsidRDefault="009D4E94" w:rsidP="00A5408E">
      <w:pPr>
        <w:pStyle w:val="BoxHeading"/>
        <w:shd w:val="clear" w:color="auto" w:fill="F2F2F2" w:themeFill="background1" w:themeFillShade="F2"/>
      </w:pPr>
      <w:r w:rsidRPr="002075B9">
        <w:t>KEY CONSIDERATIONS</w:t>
      </w:r>
    </w:p>
    <w:p w14:paraId="38758CBD" w14:textId="21FC9EFD" w:rsidR="009D4E94" w:rsidRDefault="009D4E94" w:rsidP="006A44C2">
      <w:pPr>
        <w:pStyle w:val="BoxTextBullet"/>
        <w:shd w:val="clear" w:color="auto" w:fill="F2F2F2" w:themeFill="background1" w:themeFillShade="F2"/>
      </w:pPr>
      <w:r>
        <w:t xml:space="preserve">Being proactive does not mean saying something for the sake of it. Communities lose patience very quickly when government conducts communication and engagement activities for no clear purpose (see Principle #2 – Know your purpose). </w:t>
      </w:r>
    </w:p>
    <w:p w14:paraId="10A4F9BE" w14:textId="158AD372" w:rsidR="009D4E94" w:rsidRDefault="009D4E94" w:rsidP="006A44C2">
      <w:pPr>
        <w:pStyle w:val="BoxTextBullet"/>
        <w:shd w:val="clear" w:color="auto" w:fill="F2F2F2" w:themeFill="background1" w:themeFillShade="F2"/>
      </w:pPr>
      <w:r>
        <w:t>Being proactive means anticipating situations where the community may receive information from other sources (e.g. the media, or special interest groups) and getting the message across before counter-productive reporting shapes community sentiment, through the use of clear facts and straightforward information that helps the community to understand a situation.</w:t>
      </w:r>
    </w:p>
    <w:p w14:paraId="17E2992E" w14:textId="36184842" w:rsidR="009D4E94" w:rsidRDefault="009D4E94" w:rsidP="006A44C2">
      <w:pPr>
        <w:pStyle w:val="BoxTextBullet"/>
        <w:shd w:val="clear" w:color="auto" w:fill="F2F2F2" w:themeFill="background1" w:themeFillShade="F2"/>
      </w:pPr>
      <w:r>
        <w:t>In situations where the information communities want to receive is not yet available (e.g. investigation results, policy decisions, report findings), the best approach is to provide clear and transparent information from the outset about the process, the likely timeframes, and any obstacles to delivering on time.</w:t>
      </w:r>
    </w:p>
    <w:p w14:paraId="2D0FEE31" w14:textId="45D5CFE1" w:rsidR="00F7379E" w:rsidRDefault="00F7379E" w:rsidP="000357AA">
      <w:pPr>
        <w:pStyle w:val="Heading3"/>
        <w:keepNext/>
        <w:pageBreakBefore/>
      </w:pPr>
      <w:bookmarkStart w:id="14" w:name="_Toc47106366"/>
      <w:r w:rsidRPr="00F7379E">
        <w:t>PRINCIPLE #2 – KNOW YOUR PURPOSE</w:t>
      </w:r>
      <w:bookmarkEnd w:id="14"/>
    </w:p>
    <w:p w14:paraId="1CF1EDFC" w14:textId="77777777" w:rsidR="00B3158A" w:rsidRDefault="00B3158A" w:rsidP="00B3158A">
      <w:pPr>
        <w:keepNext/>
        <w:sectPr w:rsidR="00B3158A" w:rsidSect="00FE0AC8">
          <w:type w:val="continuous"/>
          <w:pgSz w:w="11906" w:h="16838"/>
          <w:pgMar w:top="1418" w:right="1418" w:bottom="1418" w:left="1418" w:header="567" w:footer="709" w:gutter="0"/>
          <w:pgNumType w:start="8"/>
          <w:cols w:space="708"/>
          <w:docGrid w:linePitch="360"/>
        </w:sectPr>
      </w:pPr>
    </w:p>
    <w:p w14:paraId="79FA7792" w14:textId="27E3C2B0" w:rsidR="005363B7" w:rsidRDefault="005363B7" w:rsidP="00B3158A">
      <w:pPr>
        <w:keepNext/>
      </w:pPr>
      <w:r>
        <w:t>Establish a clear reason for communicating – identify the purpose of communication and/or engagement activities before taking any further steps.</w:t>
      </w:r>
    </w:p>
    <w:p w14:paraId="7F16402C" w14:textId="77777777" w:rsidR="00A47E11" w:rsidRDefault="00A47E11" w:rsidP="00A47E11">
      <w:pPr>
        <w:pStyle w:val="BoxText"/>
        <w:pBdr>
          <w:top w:val="single" w:sz="18" w:space="1" w:color="4F81BD" w:themeColor="accent1"/>
          <w:left w:val="none" w:sz="0" w:space="0" w:color="auto"/>
          <w:bottom w:val="single" w:sz="18" w:space="1" w:color="4F81BD" w:themeColor="accent1"/>
          <w:right w:val="none" w:sz="0" w:space="0" w:color="auto"/>
        </w:pBdr>
        <w:jc w:val="center"/>
        <w:rPr>
          <w:i/>
          <w:iCs/>
        </w:rPr>
      </w:pPr>
      <w:r w:rsidRPr="005B3B63">
        <w:rPr>
          <w:i/>
          <w:iCs/>
        </w:rPr>
        <w:t>Establish a clear reason for communicating before taking any further steps</w:t>
      </w:r>
    </w:p>
    <w:p w14:paraId="18CA24B6" w14:textId="4F880CAC" w:rsidR="005363B7" w:rsidRDefault="005363B7" w:rsidP="00A47E11">
      <w:r>
        <w:t xml:space="preserve">Determining the intended outcomes of the activity will help to establish why it is needed and how it should be approached. It will also help to assess </w:t>
      </w:r>
      <w:r w:rsidR="00A47E11">
        <w:t>whether c</w:t>
      </w:r>
      <w:r>
        <w:t>ommunication/engagement is helpful at this time. Reasons for communicating/engaging could include:</w:t>
      </w:r>
    </w:p>
    <w:p w14:paraId="1DEF1995" w14:textId="215004AD" w:rsidR="005363B7" w:rsidRDefault="005363B7" w:rsidP="00B3158A">
      <w:pPr>
        <w:pStyle w:val="ListBullet"/>
        <w:keepNext/>
      </w:pPr>
      <w:r>
        <w:t>transparency – e.g. advising a community that PFAS-containing fire-fighting foams were used at a nearby site, and testing is about to commence to determine whether PFAS have leached into the surrounding areas;</w:t>
      </w:r>
    </w:p>
    <w:p w14:paraId="12716017" w14:textId="0142E54E" w:rsidR="005363B7" w:rsidRDefault="005363B7" w:rsidP="00B3158A">
      <w:pPr>
        <w:pStyle w:val="ListBullet"/>
        <w:keepNext/>
      </w:pPr>
      <w:r>
        <w:t xml:space="preserve">new information – e.g. investigation results, research, a new remediation technology to be used in the area, or a new government policy response; </w:t>
      </w:r>
    </w:p>
    <w:p w14:paraId="22800AB4" w14:textId="32B9E449" w:rsidR="005363B7" w:rsidRDefault="005363B7" w:rsidP="00B3158A">
      <w:pPr>
        <w:pStyle w:val="ListBullet"/>
        <w:keepNext/>
      </w:pPr>
      <w:r>
        <w:t>incident management – e.g. a spill of PFAS-containing fire-fighting foam, or unusually high levels of PFAS detected in a community’s water supply; and</w:t>
      </w:r>
    </w:p>
    <w:p w14:paraId="0FE5C1E8" w14:textId="2D30AA0F" w:rsidR="00677DD3" w:rsidRDefault="005363B7" w:rsidP="00677DD3">
      <w:pPr>
        <w:pStyle w:val="ListBullet"/>
        <w:keepNext/>
      </w:pPr>
      <w:r>
        <w:t>information gathering – e.g. local knowledge about site history, local commercial and recreational activities, local water/food sources and consumption.</w:t>
      </w:r>
    </w:p>
    <w:p w14:paraId="73734501" w14:textId="77777777" w:rsidR="005363B7" w:rsidRDefault="005363B7" w:rsidP="00B3158A">
      <w:pPr>
        <w:keepNext/>
      </w:pPr>
      <w:r>
        <w:t>Each of these reasons for engaging require different methods of communication to achieve a successful outcome. Think about the best method to suit the purpose and desired outcomes.</w:t>
      </w:r>
    </w:p>
    <w:p w14:paraId="2745F652" w14:textId="016589DF" w:rsidR="00B3158A" w:rsidRDefault="005363B7" w:rsidP="00CE5030">
      <w:pPr>
        <w:keepNext/>
        <w:keepLines/>
        <w:suppressAutoHyphens/>
        <w:sectPr w:rsidR="00B3158A" w:rsidSect="00B3158A">
          <w:type w:val="continuous"/>
          <w:pgSz w:w="11906" w:h="16838"/>
          <w:pgMar w:top="1418" w:right="1418" w:bottom="1418" w:left="1418" w:header="567" w:footer="283" w:gutter="0"/>
          <w:pgNumType w:start="1"/>
          <w:cols w:num="2" w:space="708"/>
          <w:docGrid w:linePitch="360"/>
        </w:sectPr>
      </w:pPr>
      <w:r>
        <w:t xml:space="preserve">A list of different types of communication and engagement activities, and examples of where they may be most effective, is at </w:t>
      </w:r>
      <w:r w:rsidR="00CE5030">
        <w:br/>
      </w:r>
      <w:r w:rsidRPr="00340628">
        <w:rPr>
          <w:b/>
          <w:bCs/>
        </w:rPr>
        <w:t>Attachment 1</w:t>
      </w:r>
      <w:r>
        <w:t>.</w:t>
      </w:r>
    </w:p>
    <w:p w14:paraId="768738B4" w14:textId="0843ACB9" w:rsidR="005363B7" w:rsidRDefault="005363B7" w:rsidP="00C318CD"/>
    <w:p w14:paraId="4ABDBEF8" w14:textId="77777777" w:rsidR="00F84DCA" w:rsidRPr="00F84DCA" w:rsidRDefault="00F84DCA" w:rsidP="00A5408E">
      <w:pPr>
        <w:pStyle w:val="BoxHeading"/>
        <w:shd w:val="clear" w:color="auto" w:fill="F2F2F2" w:themeFill="background1" w:themeFillShade="F2"/>
      </w:pPr>
      <w:r w:rsidRPr="00F84DCA">
        <w:t>KEY CONSIDERATIONS</w:t>
      </w:r>
    </w:p>
    <w:p w14:paraId="6C5411CC" w14:textId="24913354" w:rsidR="00F84DCA" w:rsidRDefault="00F84DCA" w:rsidP="00F84DCA">
      <w:pPr>
        <w:pStyle w:val="BoxTextBullet"/>
        <w:shd w:val="clear" w:color="auto" w:fill="F2F2F2" w:themeFill="background1" w:themeFillShade="F2"/>
      </w:pPr>
      <w:r>
        <w:t>Different governments/agencies will have different reasons for engaging, so there is no one-size-fits-all approach. However, all can benefit by learning from each other’s experiences, so consulting others is always a good idea.</w:t>
      </w:r>
    </w:p>
    <w:p w14:paraId="703BB9EA" w14:textId="2AB52860" w:rsidR="00F84DCA" w:rsidRDefault="00F84DCA" w:rsidP="00F84DCA">
      <w:pPr>
        <w:pStyle w:val="BoxTextBullet"/>
        <w:shd w:val="clear" w:color="auto" w:fill="F2F2F2" w:themeFill="background1" w:themeFillShade="F2"/>
      </w:pPr>
      <w:r>
        <w:t>Knowing your purpose will also help to identify which other governments/agencies may need to be involved in the activity. Make sure all the relevant agencies are included – Australian Government, state/territory as well as local government – so they understand the goal and can provide assistance.</w:t>
      </w:r>
    </w:p>
    <w:p w14:paraId="3E583B1F" w14:textId="1DF2EF91" w:rsidR="00F84DCA" w:rsidRDefault="00F84DCA" w:rsidP="00F84DCA">
      <w:pPr>
        <w:pStyle w:val="BoxTextBullet"/>
        <w:shd w:val="clear" w:color="auto" w:fill="F2F2F2" w:themeFill="background1" w:themeFillShade="F2"/>
      </w:pPr>
      <w:r>
        <w:t>Communication and consultation works in both directions. Consider the input that the community can provide to investigations and decision-making.</w:t>
      </w:r>
    </w:p>
    <w:p w14:paraId="22D4F71E" w14:textId="1471A29E" w:rsidR="005363B7" w:rsidRDefault="00EB0B3B" w:rsidP="000357AA">
      <w:pPr>
        <w:pStyle w:val="Heading3"/>
        <w:pageBreakBefore/>
      </w:pPr>
      <w:bookmarkStart w:id="15" w:name="_Toc47106367"/>
      <w:r w:rsidRPr="00EB0B3B">
        <w:t>PRINCIPLE #3 – KNOW YOUR AUDIENCE</w:t>
      </w:r>
      <w:bookmarkEnd w:id="15"/>
    </w:p>
    <w:p w14:paraId="0CC3C39C" w14:textId="77777777" w:rsidR="00227B9D" w:rsidRDefault="00227B9D" w:rsidP="00AA2517">
      <w:pPr>
        <w:sectPr w:rsidR="00227B9D" w:rsidSect="00FE0AC8">
          <w:type w:val="continuous"/>
          <w:pgSz w:w="11906" w:h="16838"/>
          <w:pgMar w:top="1418" w:right="1418" w:bottom="1418" w:left="1418" w:header="567" w:footer="709" w:gutter="0"/>
          <w:pgNumType w:start="9"/>
          <w:cols w:space="708"/>
          <w:docGrid w:linePitch="360"/>
        </w:sectPr>
      </w:pPr>
    </w:p>
    <w:p w14:paraId="0C32611E" w14:textId="7F4B7490" w:rsidR="00AA2517" w:rsidRDefault="00AA2517" w:rsidP="00AA2517">
      <w:r>
        <w:t>Invest in understanding who the audience is and what their information needs are, before determining the approach.</w:t>
      </w:r>
    </w:p>
    <w:p w14:paraId="03C482C9" w14:textId="77777777" w:rsidR="00AA2517" w:rsidRDefault="00AA2517" w:rsidP="00AA2517">
      <w:r>
        <w:t>Understanding the community, their values (i.e. what is important to that particular community), their concerns, interests and background, will greatly assist in ensuring the type of engagement meets the community’s needs.</w:t>
      </w:r>
    </w:p>
    <w:p w14:paraId="24DA060E" w14:textId="4FC52052" w:rsidR="00AA2517" w:rsidRDefault="00AA2517" w:rsidP="00AA2517">
      <w:r>
        <w:t xml:space="preserve">Recognise that there will be many different sub-groups within the community, with differing interests and concerns. A better outcome will be achieved if these groups are addressed separately wherever possible. This means agencies can answer each group’s specific questions and ensure they leave with a good understanding of the facts pertaining to their concerns. </w:t>
      </w:r>
    </w:p>
    <w:p w14:paraId="5C43458F" w14:textId="77777777" w:rsidR="00D20BF1" w:rsidRPr="00D20BF1" w:rsidRDefault="00D20BF1" w:rsidP="00D20BF1">
      <w:pPr>
        <w:pStyle w:val="BoxText"/>
        <w:pBdr>
          <w:top w:val="single" w:sz="18" w:space="1" w:color="4F81BD" w:themeColor="accent1"/>
          <w:left w:val="none" w:sz="0" w:space="0" w:color="auto"/>
          <w:bottom w:val="single" w:sz="18" w:space="1" w:color="4F81BD" w:themeColor="accent1"/>
          <w:right w:val="none" w:sz="0" w:space="0" w:color="auto"/>
        </w:pBdr>
        <w:jc w:val="center"/>
        <w:rPr>
          <w:i/>
          <w:iCs/>
        </w:rPr>
      </w:pPr>
      <w:r w:rsidRPr="00D20BF1">
        <w:rPr>
          <w:i/>
          <w:iCs/>
        </w:rPr>
        <w:t>Understand who you are engaging with before you determine your approach</w:t>
      </w:r>
    </w:p>
    <w:p w14:paraId="5B2700EE" w14:textId="77777777" w:rsidR="00AA2517" w:rsidRDefault="00AA2517" w:rsidP="00AA2517">
      <w:r>
        <w:t>Local knowledge is essential for understanding audiences, so consider meeting with individuals and groups who represent the community and can outline values, concerns, key demographics and economic profiles. These individuals/groups might include:</w:t>
      </w:r>
    </w:p>
    <w:p w14:paraId="025B8CFF" w14:textId="78497167" w:rsidR="00AA2517" w:rsidRDefault="00AA2517" w:rsidP="00AA2517">
      <w:pPr>
        <w:pStyle w:val="ListBullet"/>
      </w:pPr>
      <w:r>
        <w:t>local GPs;</w:t>
      </w:r>
    </w:p>
    <w:p w14:paraId="0D3CC0A5" w14:textId="227A7A95" w:rsidR="00AA2517" w:rsidRDefault="00AA2517" w:rsidP="00AA2517">
      <w:pPr>
        <w:pStyle w:val="ListBullet"/>
      </w:pPr>
      <w:r>
        <w:t>community representative groups;</w:t>
      </w:r>
    </w:p>
    <w:p w14:paraId="6EB741A6" w14:textId="0A7FD723" w:rsidR="00AA2517" w:rsidRDefault="00AA2517" w:rsidP="00AA2517">
      <w:pPr>
        <w:pStyle w:val="ListBullet"/>
      </w:pPr>
      <w:r>
        <w:t>local environment centres;</w:t>
      </w:r>
    </w:p>
    <w:p w14:paraId="075E679F" w14:textId="1C56ED9A" w:rsidR="00AA2517" w:rsidRDefault="00AA2517" w:rsidP="00AA2517">
      <w:pPr>
        <w:pStyle w:val="ListBullet"/>
      </w:pPr>
      <w:r>
        <w:t>catchment management organisations;</w:t>
      </w:r>
    </w:p>
    <w:p w14:paraId="4BB9FFB9" w14:textId="254C2F34" w:rsidR="00AA2517" w:rsidRDefault="00AA2517" w:rsidP="00AA2517">
      <w:pPr>
        <w:pStyle w:val="ListBullet"/>
      </w:pPr>
      <w:r>
        <w:t>Indigenous community health organisations;</w:t>
      </w:r>
    </w:p>
    <w:p w14:paraId="3994488E" w14:textId="1A6A73C6" w:rsidR="00AA2517" w:rsidRDefault="00AA2517" w:rsidP="00AA2517">
      <w:pPr>
        <w:pStyle w:val="ListBullet"/>
      </w:pPr>
      <w:r>
        <w:t>local council;</w:t>
      </w:r>
    </w:p>
    <w:p w14:paraId="08B03C17" w14:textId="64D6F84C" w:rsidR="00AA2517" w:rsidRDefault="00AA2517" w:rsidP="00AA2517">
      <w:pPr>
        <w:pStyle w:val="ListBullet"/>
      </w:pPr>
      <w:r>
        <w:t>Primary Health Networks;</w:t>
      </w:r>
    </w:p>
    <w:p w14:paraId="6BFE034A" w14:textId="62776CC4" w:rsidR="00AA2517" w:rsidRDefault="00AA2517" w:rsidP="00AA2517">
      <w:pPr>
        <w:pStyle w:val="ListBullet"/>
      </w:pPr>
      <w:r>
        <w:t>Community Liaison Officers;</w:t>
      </w:r>
    </w:p>
    <w:p w14:paraId="0AD10BEC" w14:textId="4C2CFABD" w:rsidR="00AA2517" w:rsidRDefault="00AA2517" w:rsidP="00AA2517">
      <w:pPr>
        <w:pStyle w:val="ListBullet"/>
      </w:pPr>
      <w:r>
        <w:t>local chambers of commerce;</w:t>
      </w:r>
    </w:p>
    <w:p w14:paraId="10C30EB7" w14:textId="1DD01993" w:rsidR="00AA2517" w:rsidRDefault="00AA2517" w:rsidP="00AA2517">
      <w:pPr>
        <w:pStyle w:val="ListBullet"/>
      </w:pPr>
      <w:r>
        <w:t>Country Women’s Association or similar community associations; and</w:t>
      </w:r>
    </w:p>
    <w:p w14:paraId="26183BE1" w14:textId="50D635AF" w:rsidR="00AA2517" w:rsidRDefault="00AA2517" w:rsidP="00AA2517">
      <w:pPr>
        <w:pStyle w:val="ListBullet"/>
      </w:pPr>
      <w:r>
        <w:t>Indigenous Elders.</w:t>
      </w:r>
    </w:p>
    <w:p w14:paraId="66784CA1" w14:textId="0ABDDF76" w:rsidR="00EB0B3B" w:rsidRDefault="00AA2517" w:rsidP="00AA2517">
      <w:r>
        <w:t>Acknowledging the distinction between primary stakeholders, secondary stakeholders and influencers will greatly assist in tailoring the engagement and messaging to meet the information and emotional needs of the stakeholders.</w:t>
      </w:r>
    </w:p>
    <w:p w14:paraId="59EDF834" w14:textId="77777777" w:rsidR="00227B9D" w:rsidRDefault="00227B9D" w:rsidP="00C318CD">
      <w:pPr>
        <w:sectPr w:rsidR="00227B9D" w:rsidSect="00227B9D">
          <w:type w:val="continuous"/>
          <w:pgSz w:w="11906" w:h="16838"/>
          <w:pgMar w:top="1418" w:right="1418" w:bottom="1418" w:left="1418" w:header="567" w:footer="283" w:gutter="0"/>
          <w:pgNumType w:start="1"/>
          <w:cols w:num="2" w:space="708"/>
          <w:docGrid w:linePitch="360"/>
        </w:sectPr>
      </w:pPr>
    </w:p>
    <w:p w14:paraId="72022ED5" w14:textId="4D33DE8F" w:rsidR="00EB0B3B" w:rsidRDefault="00EB0B3B" w:rsidP="00C318CD"/>
    <w:p w14:paraId="5542148C" w14:textId="77777777" w:rsidR="00227B9D" w:rsidRDefault="00227B9D" w:rsidP="00227B9D">
      <w:pPr>
        <w:pStyle w:val="BoxHeading"/>
        <w:shd w:val="clear" w:color="auto" w:fill="F2F2F2" w:themeFill="background1" w:themeFillShade="F2"/>
      </w:pPr>
      <w:r>
        <w:t>KEY CONSIDERATIONS</w:t>
      </w:r>
    </w:p>
    <w:p w14:paraId="631B316C" w14:textId="141185EC" w:rsidR="00227B9D" w:rsidRDefault="00227B9D" w:rsidP="00227B9D">
      <w:pPr>
        <w:pStyle w:val="BoxTextBullet"/>
        <w:shd w:val="clear" w:color="auto" w:fill="F2F2F2" w:themeFill="background1" w:themeFillShade="F2"/>
      </w:pPr>
      <w:r>
        <w:t>Most communities have a significant number of existing local networks – both government and non-government. Make use of these networks and the local knowledge they can provide.</w:t>
      </w:r>
    </w:p>
    <w:p w14:paraId="1713E21A" w14:textId="70E8F202" w:rsidR="00EB0B3B" w:rsidRDefault="00227B9D" w:rsidP="00227B9D">
      <w:pPr>
        <w:pStyle w:val="BoxTextBullet"/>
        <w:shd w:val="clear" w:color="auto" w:fill="F2F2F2" w:themeFill="background1" w:themeFillShade="F2"/>
      </w:pPr>
      <w:r>
        <w:t>Gathering local knowledge does not have to be resource-intensive. Most of the contact can be made over the phone well in advance of any engagement activity.</w:t>
      </w:r>
    </w:p>
    <w:p w14:paraId="3D4CA898" w14:textId="1731B758" w:rsidR="00EB0B3B" w:rsidRDefault="00495C4A" w:rsidP="007A7F74">
      <w:pPr>
        <w:pStyle w:val="Heading3"/>
        <w:pageBreakBefore/>
      </w:pPr>
      <w:bookmarkStart w:id="16" w:name="_Toc47106368"/>
      <w:r w:rsidRPr="00495C4A">
        <w:t>PRINCIPLE #4 – COMMUNICATE CLEARLY, HONESTLY AND CONSISTENTLY</w:t>
      </w:r>
      <w:bookmarkEnd w:id="16"/>
    </w:p>
    <w:p w14:paraId="2F50BB0A" w14:textId="77777777" w:rsidR="00CD02B7" w:rsidRDefault="00CD02B7" w:rsidP="00FA6E49">
      <w:pPr>
        <w:sectPr w:rsidR="00CD02B7" w:rsidSect="00FE0AC8">
          <w:type w:val="continuous"/>
          <w:pgSz w:w="11906" w:h="16838"/>
          <w:pgMar w:top="1418" w:right="1418" w:bottom="1418" w:left="1418" w:header="567" w:footer="709" w:gutter="0"/>
          <w:pgNumType w:start="10"/>
          <w:cols w:space="708"/>
          <w:docGrid w:linePitch="360"/>
        </w:sectPr>
      </w:pPr>
    </w:p>
    <w:p w14:paraId="3787A1B9" w14:textId="4971D6F8" w:rsidR="00FA6E49" w:rsidRDefault="00FA6E49" w:rsidP="00FA6E49">
      <w:r>
        <w:t xml:space="preserve">PFAS contamination is a complex issue; much of the scientific information can easily be misunderstood. </w:t>
      </w:r>
    </w:p>
    <w:p w14:paraId="695406E7" w14:textId="77777777" w:rsidR="00FA6E49" w:rsidRDefault="00FA6E49" w:rsidP="00FA6E49">
      <w:r>
        <w:t>Communicating to members of the community in plain terms is critical to ensure the information is easy to understand.</w:t>
      </w:r>
    </w:p>
    <w:p w14:paraId="5799BDCF" w14:textId="77777777" w:rsidR="00FA6E49" w:rsidRDefault="00FA6E49" w:rsidP="00FA6E49">
      <w:r>
        <w:t xml:space="preserve">If people affected by PFAS contamination cannot understand what governments are saying, they are more likely to view the information with scepticism or as a deliberate attempt to disguise the facts. </w:t>
      </w:r>
    </w:p>
    <w:p w14:paraId="40138BA3" w14:textId="218F4ADE" w:rsidR="00FA6E49" w:rsidRDefault="00FA6E49" w:rsidP="00FA6E49">
      <w:r>
        <w:t>Know your audience (Principle #3), tailor communication to suit audience needs, and make sure the information is easy to understand. If possible, test the message with a sample group before communicating with a wider audience to maximise the chances of achieving the desired result.</w:t>
      </w:r>
    </w:p>
    <w:p w14:paraId="702B984B" w14:textId="77777777" w:rsidR="00875B6E" w:rsidRPr="00875B6E" w:rsidRDefault="00875B6E" w:rsidP="00875B6E">
      <w:pPr>
        <w:pStyle w:val="BoxText"/>
        <w:pBdr>
          <w:top w:val="single" w:sz="18" w:space="1" w:color="4F81BD" w:themeColor="accent1"/>
          <w:left w:val="none" w:sz="0" w:space="0" w:color="auto"/>
          <w:bottom w:val="single" w:sz="18" w:space="1" w:color="4F81BD" w:themeColor="accent1"/>
          <w:right w:val="none" w:sz="0" w:space="0" w:color="auto"/>
        </w:pBdr>
        <w:jc w:val="center"/>
        <w:rPr>
          <w:i/>
          <w:iCs/>
        </w:rPr>
      </w:pPr>
      <w:r w:rsidRPr="00875B6E">
        <w:rPr>
          <w:i/>
          <w:iCs/>
        </w:rPr>
        <w:t>Be honest about what you do and don’t know, what you can and can’t say, and why</w:t>
      </w:r>
    </w:p>
    <w:p w14:paraId="1137F374" w14:textId="77777777" w:rsidR="00DF6EF3" w:rsidRDefault="00DF6EF3" w:rsidP="00FA6E49"/>
    <w:p w14:paraId="48E0B319" w14:textId="77777777" w:rsidR="00FA6E49" w:rsidRDefault="00FA6E49" w:rsidP="00FA6E49">
      <w:r>
        <w:t>Be honest about what is, and is not known at this point in time and – most importantly – why.</w:t>
      </w:r>
    </w:p>
    <w:p w14:paraId="6F43997A" w14:textId="77777777" w:rsidR="00FA6E49" w:rsidRDefault="00FA6E49" w:rsidP="00FA6E49">
      <w:r>
        <w:t>Additionally, if government agencies, whether Australian Government, state/territory, or local government, provide differing advice (for example about health and environmental risks, research, investigations, remediation technologies or unforeseen incidents), this can create confusion, anxiety and mistrust. This is why sharing information and consulting with other relevant agencies at all levels of government, well ahead of any public release, is critical.</w:t>
      </w:r>
    </w:p>
    <w:p w14:paraId="566D3696" w14:textId="79E6D508" w:rsidR="00CD02B7" w:rsidRDefault="00FA6E49" w:rsidP="00C318CD">
      <w:pPr>
        <w:sectPr w:rsidR="00CD02B7" w:rsidSect="00CD02B7">
          <w:type w:val="continuous"/>
          <w:pgSz w:w="11906" w:h="16838"/>
          <w:pgMar w:top="1418" w:right="1418" w:bottom="1418" w:left="1418" w:header="567" w:footer="283" w:gutter="0"/>
          <w:pgNumType w:start="1"/>
          <w:cols w:num="2" w:space="708"/>
          <w:docGrid w:linePitch="360"/>
        </w:sectPr>
      </w:pPr>
      <w:r>
        <w:t>Governments and agencies must understand that, while each is responsible for communicating issues within its jurisdiction/portfolio, communication activity will have an impact on all the other entities with PFAS-related responsibilities. This is why consultation and information sharing across governments and agencies is essential.</w:t>
      </w:r>
    </w:p>
    <w:p w14:paraId="5FF3FA51" w14:textId="77777777" w:rsidR="00CD02B7" w:rsidRDefault="00CD02B7" w:rsidP="00CD02B7">
      <w:pPr>
        <w:pStyle w:val="BoxHeading"/>
        <w:shd w:val="clear" w:color="auto" w:fill="F2F2F2" w:themeFill="background1" w:themeFillShade="F2"/>
      </w:pPr>
      <w:r>
        <w:t>KEY CONSIDERATIONS</w:t>
      </w:r>
    </w:p>
    <w:p w14:paraId="2DD6D7F5" w14:textId="55C37E9C" w:rsidR="00CD02B7" w:rsidRDefault="00CD02B7" w:rsidP="00CD02B7">
      <w:pPr>
        <w:pStyle w:val="BoxTextBullet"/>
        <w:shd w:val="clear" w:color="auto" w:fill="F2F2F2" w:themeFill="background1" w:themeFillShade="F2"/>
      </w:pPr>
      <w:r>
        <w:t>An effective way to ensure the message is not distorted through retelling is to publish media enquiries and agency responses on portfolio websites, within 24 hours of receiving the enquiry.</w:t>
      </w:r>
    </w:p>
    <w:p w14:paraId="2627A660" w14:textId="51EF97CD" w:rsidR="00CD02B7" w:rsidRDefault="00CD02B7" w:rsidP="00CD02B7">
      <w:pPr>
        <w:pStyle w:val="BoxTextBullet"/>
        <w:shd w:val="clear" w:color="auto" w:fill="F2F2F2" w:themeFill="background1" w:themeFillShade="F2"/>
      </w:pPr>
      <w:r>
        <w:t>Being consistent with communication does not mean all agencies publish the same set of standard messages with responses for every situation – each agency will need to develop communication specific to the activities within their responsibility. Broader, recurring issues should be addressed consistently, using agreed Talking Points, and any specific and individualised messaging developed should be shared across agencies.</w:t>
      </w:r>
    </w:p>
    <w:p w14:paraId="07BC6144" w14:textId="65797804" w:rsidR="00EB0B3B" w:rsidRDefault="00CD02B7" w:rsidP="00CD02B7">
      <w:pPr>
        <w:pStyle w:val="BoxTextBullet"/>
        <w:shd w:val="clear" w:color="auto" w:fill="F2F2F2" w:themeFill="background1" w:themeFillShade="F2"/>
      </w:pPr>
      <w:r>
        <w:t>Always bear in mind that messages may reach a wider audience than intended, so be sure to provide sufficient context that will allow anyone to understand the issues.</w:t>
      </w:r>
    </w:p>
    <w:p w14:paraId="0DCA5E25" w14:textId="023A1E55" w:rsidR="00EB0B3B" w:rsidRDefault="00035846" w:rsidP="007A7F74">
      <w:pPr>
        <w:pStyle w:val="Heading3"/>
        <w:pageBreakBefore/>
      </w:pPr>
      <w:bookmarkStart w:id="17" w:name="_Toc47106369"/>
      <w:r w:rsidRPr="00035846">
        <w:t>PRINCIPLE #5 – NEVER UNDERESTIMATE THE VALUE OF FACE-TO-FACE COMMUNICATION</w:t>
      </w:r>
      <w:bookmarkEnd w:id="17"/>
    </w:p>
    <w:p w14:paraId="6FF18993" w14:textId="77777777" w:rsidR="009F2046" w:rsidRDefault="009F2046" w:rsidP="0013501A">
      <w:pPr>
        <w:sectPr w:rsidR="009F2046" w:rsidSect="00FE0AC8">
          <w:type w:val="continuous"/>
          <w:pgSz w:w="11906" w:h="16838"/>
          <w:pgMar w:top="1418" w:right="1418" w:bottom="1418" w:left="1418" w:header="567" w:footer="709" w:gutter="0"/>
          <w:pgNumType w:start="11"/>
          <w:cols w:space="708"/>
          <w:docGrid w:linePitch="360"/>
        </w:sectPr>
      </w:pPr>
    </w:p>
    <w:p w14:paraId="6B99CFA0" w14:textId="57CE8779" w:rsidR="0013501A" w:rsidRDefault="0013501A" w:rsidP="0013501A">
      <w:r>
        <w:t>Face-to-face engagement provides people with a direct assurance that they matter and have been heard.</w:t>
      </w:r>
    </w:p>
    <w:p w14:paraId="29301FBD" w14:textId="6D6ECC18" w:rsidR="001904C0" w:rsidRPr="001904C0" w:rsidRDefault="001904C0" w:rsidP="001904C0">
      <w:pPr>
        <w:pStyle w:val="BoxText"/>
        <w:pBdr>
          <w:top w:val="single" w:sz="18" w:space="1" w:color="4F81BD" w:themeColor="accent1"/>
          <w:left w:val="none" w:sz="0" w:space="0" w:color="auto"/>
          <w:bottom w:val="single" w:sz="18" w:space="1" w:color="4F81BD" w:themeColor="accent1"/>
          <w:right w:val="none" w:sz="0" w:space="0" w:color="auto"/>
        </w:pBdr>
        <w:jc w:val="center"/>
        <w:rPr>
          <w:i/>
          <w:iCs/>
        </w:rPr>
      </w:pPr>
      <w:r w:rsidRPr="001904C0">
        <w:rPr>
          <w:i/>
          <w:iCs/>
        </w:rPr>
        <w:t>People will always appreciate the effort of reaching out and engaging in person</w:t>
      </w:r>
    </w:p>
    <w:p w14:paraId="06BF1820" w14:textId="77777777" w:rsidR="0013501A" w:rsidRDefault="0013501A" w:rsidP="0013501A">
      <w:r>
        <w:t xml:space="preserve">Face-to-face engagement gives the ‘messenger’ the chance to provide information first hand, correct any misunderstandings early and address concerns for people who are anxious about the news they have received. </w:t>
      </w:r>
    </w:p>
    <w:p w14:paraId="6C0D45C9" w14:textId="77777777" w:rsidR="0013501A" w:rsidRDefault="0013501A" w:rsidP="0013501A">
      <w:r>
        <w:t>People may not like what they are being told, but they generally appreciate the effort of reaching out and engaging in person, and the opportunity to ask questions and request further information.</w:t>
      </w:r>
    </w:p>
    <w:p w14:paraId="543B18C5" w14:textId="77777777" w:rsidR="0013501A" w:rsidRDefault="0013501A" w:rsidP="0013501A">
      <w:r>
        <w:t xml:space="preserve">There will be situations with PFAS communication where the information is difficult to understand and has different implications for sub-sets of the community. The most effective way to reduce confusion and anxiety is to offer people opportunities to engage with decision-makers and authoritative spokespeople face-to-face, to address their specific concerns and questions. There are a variety of ways to do this, including ‘walk-in sessions’ or roundtable meetings with special interest groups. </w:t>
      </w:r>
    </w:p>
    <w:p w14:paraId="7A321501" w14:textId="77777777" w:rsidR="0013501A" w:rsidRDefault="0013501A" w:rsidP="0013501A">
      <w:r>
        <w:t>Another very effective form of face-to-face communication is to undertake a community co-design project. This is where government agencies work with communities to design a solution to a problem. Involving communities in decision making is a very effective way of gaining an in-depth understanding of a community's values and concerns, building trust in government processes, and increasing community understanding of the issues. A community co-design framework and step-by-step guidance is available from the Department of the Environment and Energy.</w:t>
      </w:r>
    </w:p>
    <w:p w14:paraId="6E5CC697" w14:textId="77777777" w:rsidR="0013501A" w:rsidRDefault="0013501A" w:rsidP="0013501A">
      <w:r w:rsidRPr="0013501A">
        <w:rPr>
          <w:b/>
          <w:bCs/>
        </w:rPr>
        <w:t>Attachment 1</w:t>
      </w:r>
      <w:r>
        <w:t xml:space="preserve"> outlines the relative merits of different communication and engagement approaches.</w:t>
      </w:r>
    </w:p>
    <w:p w14:paraId="0AAA5D8D" w14:textId="3AA6D29F" w:rsidR="00035846" w:rsidRDefault="0013501A" w:rsidP="0013501A">
      <w:r>
        <w:t>The next section of this document, ‘</w:t>
      </w:r>
      <w:r w:rsidRPr="0013501A">
        <w:rPr>
          <w:b/>
          <w:bCs/>
        </w:rPr>
        <w:t>Identifying Stakeholders</w:t>
      </w:r>
      <w:r>
        <w:t>’</w:t>
      </w:r>
      <w:r w:rsidR="00F74023">
        <w:t>,</w:t>
      </w:r>
      <w:r>
        <w:t xml:space="preserve"> outlines in more detail the merits of engaging with ‘influencers’ who can significantly shape the public discourse if they have the facts and understand the issues in-depth. Face-to-face engagement with influencers will always be most effective.</w:t>
      </w:r>
    </w:p>
    <w:p w14:paraId="33A7917A" w14:textId="77777777" w:rsidR="00160720" w:rsidRDefault="00160720" w:rsidP="00C318CD">
      <w:pPr>
        <w:sectPr w:rsidR="00160720" w:rsidSect="00160720">
          <w:type w:val="continuous"/>
          <w:pgSz w:w="11906" w:h="16838"/>
          <w:pgMar w:top="1418" w:right="1418" w:bottom="1418" w:left="1418" w:header="567" w:footer="283" w:gutter="0"/>
          <w:pgNumType w:start="1"/>
          <w:cols w:num="2" w:space="708"/>
          <w:docGrid w:linePitch="360"/>
        </w:sectPr>
      </w:pPr>
    </w:p>
    <w:p w14:paraId="4F7003E1" w14:textId="77777777" w:rsidR="00160720" w:rsidRDefault="00160720" w:rsidP="00C318CD"/>
    <w:p w14:paraId="3DC8D92D" w14:textId="77777777" w:rsidR="009F2046" w:rsidRDefault="009F2046" w:rsidP="009F2046">
      <w:pPr>
        <w:pStyle w:val="BoxHeading"/>
        <w:shd w:val="clear" w:color="auto" w:fill="F2F2F2" w:themeFill="background1" w:themeFillShade="F2"/>
      </w:pPr>
      <w:r>
        <w:t>KEY CONSIDERATIONS</w:t>
      </w:r>
    </w:p>
    <w:p w14:paraId="5D406A0A" w14:textId="55786D89" w:rsidR="009F2046" w:rsidRDefault="009F2046" w:rsidP="009F2046">
      <w:pPr>
        <w:pStyle w:val="BoxTextBullet"/>
        <w:shd w:val="clear" w:color="auto" w:fill="F2F2F2" w:themeFill="background1" w:themeFillShade="F2"/>
      </w:pPr>
      <w:r>
        <w:t>Face-to-face engagement can be resource-intensive, but this should be viewed as an investment in understanding people and their concerns, and establishing relationships to pave the way for future communications.</w:t>
      </w:r>
    </w:p>
    <w:p w14:paraId="0B30E18B" w14:textId="44E9FF3A" w:rsidR="009F2046" w:rsidRDefault="009F2046" w:rsidP="009F2046">
      <w:pPr>
        <w:pStyle w:val="BoxTextBullet"/>
        <w:shd w:val="clear" w:color="auto" w:fill="F2F2F2" w:themeFill="background1" w:themeFillShade="F2"/>
      </w:pPr>
      <w:r>
        <w:t>Knowing the purpose of communication (Principle #2 – Know your purpose) will help determine who the face-to-face engagement should be with. Using judgement with these decisions can reduce the resourcing needs for communication and engagement activities.</w:t>
      </w:r>
    </w:p>
    <w:p w14:paraId="177A0059" w14:textId="4363EAD7" w:rsidR="009F2046" w:rsidRDefault="009F2046" w:rsidP="009F2046">
      <w:pPr>
        <w:pStyle w:val="BoxTextBullet"/>
        <w:shd w:val="clear" w:color="auto" w:fill="F2F2F2" w:themeFill="background1" w:themeFillShade="F2"/>
      </w:pPr>
      <w:r>
        <w:t>Consider whether community co-design could be employed to solve a specific problem or deliver a particular project.</w:t>
      </w:r>
    </w:p>
    <w:p w14:paraId="57D096E0" w14:textId="168F0A34" w:rsidR="009F2046" w:rsidRDefault="003D49EF" w:rsidP="007A7F74">
      <w:pPr>
        <w:pStyle w:val="Heading3"/>
        <w:pageBreakBefore/>
      </w:pPr>
      <w:bookmarkStart w:id="18" w:name="_Toc47106370"/>
      <w:r w:rsidRPr="003D49EF">
        <w:t>PRINCIPLE #6 – LEARN FROM EXPERIENCE</w:t>
      </w:r>
      <w:bookmarkEnd w:id="18"/>
    </w:p>
    <w:p w14:paraId="711EF021" w14:textId="77777777" w:rsidR="004A5299" w:rsidRDefault="004A5299" w:rsidP="00E50A4B">
      <w:pPr>
        <w:sectPr w:rsidR="004A5299" w:rsidSect="00FE0AC8">
          <w:type w:val="continuous"/>
          <w:pgSz w:w="11906" w:h="16838"/>
          <w:pgMar w:top="1418" w:right="1418" w:bottom="1418" w:left="1418" w:header="567" w:footer="709" w:gutter="0"/>
          <w:pgNumType w:start="12"/>
          <w:cols w:space="708"/>
          <w:docGrid w:linePitch="360"/>
        </w:sectPr>
      </w:pPr>
    </w:p>
    <w:p w14:paraId="72702B14" w14:textId="74EE32C7" w:rsidR="00E50A4B" w:rsidRDefault="00E50A4B" w:rsidP="00E50A4B">
      <w:r>
        <w:t xml:space="preserve">Commonwealth and state/territory agencies, and some local governments, have been conducting communication and engagement activities in relation to PFAS for a number of years, in a variety of formats. </w:t>
      </w:r>
    </w:p>
    <w:p w14:paraId="54318823" w14:textId="77777777" w:rsidR="00E50A4B" w:rsidRDefault="00E50A4B" w:rsidP="00E50A4B">
      <w:r>
        <w:t>As well as informing the development of this document, these experiences should continue to inform any engagement activity now and in the future.</w:t>
      </w:r>
    </w:p>
    <w:p w14:paraId="0B4099E2" w14:textId="77777777" w:rsidR="00E50A4B" w:rsidRDefault="00E50A4B" w:rsidP="00E50A4B">
      <w:r>
        <w:t>It is essential that every communication and engagement activity is evaluated to assess its effectiveness and analyse the public response (including media reactions). However, this evaluation is not useful unless the lessons learned are shared with relevant agencies and applied to future activities.</w:t>
      </w:r>
    </w:p>
    <w:p w14:paraId="0887185A" w14:textId="7024A03F" w:rsidR="003D49EF" w:rsidRDefault="00E50A4B" w:rsidP="00E50A4B">
      <w:r>
        <w:t>De-briefs should be arranged after every major activity, to ensure experiences and evaluations are shared between all the involved agencies.</w:t>
      </w:r>
    </w:p>
    <w:p w14:paraId="48247D28" w14:textId="60748EB6" w:rsidR="004A5299" w:rsidRPr="004A5299" w:rsidRDefault="004A5299" w:rsidP="004A5299">
      <w:pPr>
        <w:pStyle w:val="BoxText"/>
        <w:pBdr>
          <w:top w:val="single" w:sz="18" w:space="1" w:color="4F81BD" w:themeColor="accent1"/>
          <w:left w:val="none" w:sz="0" w:space="0" w:color="auto"/>
          <w:bottom w:val="single" w:sz="18" w:space="1" w:color="4F81BD" w:themeColor="accent1"/>
          <w:right w:val="none" w:sz="0" w:space="0" w:color="auto"/>
        </w:pBdr>
        <w:jc w:val="center"/>
        <w:rPr>
          <w:i/>
          <w:iCs/>
        </w:rPr>
      </w:pPr>
      <w:r w:rsidRPr="004A5299">
        <w:rPr>
          <w:i/>
          <w:iCs/>
        </w:rPr>
        <w:t>Evaluation is essential for continual improvements in how government communicates</w:t>
      </w:r>
    </w:p>
    <w:p w14:paraId="51F70F72" w14:textId="77777777" w:rsidR="004A5299" w:rsidRDefault="004A5299" w:rsidP="00E50A4B">
      <w:pPr>
        <w:sectPr w:rsidR="004A5299" w:rsidSect="004A5299">
          <w:type w:val="continuous"/>
          <w:pgSz w:w="11906" w:h="16838"/>
          <w:pgMar w:top="1418" w:right="1418" w:bottom="1418" w:left="1418" w:header="567" w:footer="283" w:gutter="0"/>
          <w:pgNumType w:start="1"/>
          <w:cols w:num="2" w:space="708"/>
          <w:docGrid w:linePitch="360"/>
        </w:sectPr>
      </w:pPr>
    </w:p>
    <w:p w14:paraId="6AAA92E8" w14:textId="4AEF1B4C" w:rsidR="00E50A4B" w:rsidRDefault="00E50A4B" w:rsidP="00E50A4B"/>
    <w:p w14:paraId="5303F6C2" w14:textId="77777777" w:rsidR="003F7D02" w:rsidRDefault="003F7D02" w:rsidP="003F7D02">
      <w:pPr>
        <w:pStyle w:val="BoxHeading"/>
        <w:shd w:val="clear" w:color="auto" w:fill="F2F2F2" w:themeFill="background1" w:themeFillShade="F2"/>
      </w:pPr>
      <w:r>
        <w:t>KEY CONSIDERATIONS</w:t>
      </w:r>
    </w:p>
    <w:p w14:paraId="5A1E59AD" w14:textId="5158DDEB" w:rsidR="003F7D02" w:rsidRDefault="003F7D02" w:rsidP="003F7D02">
      <w:pPr>
        <w:pStyle w:val="BoxTextBullet"/>
        <w:shd w:val="clear" w:color="auto" w:fill="F2F2F2" w:themeFill="background1" w:themeFillShade="F2"/>
      </w:pPr>
      <w:r>
        <w:t xml:space="preserve">Principle #5 Value of Face-to-Face Communication should not only be applied in the context of communicating with the public – government agencies will also benefit greatly from face-to-face communication and information sharing with each other. </w:t>
      </w:r>
    </w:p>
    <w:p w14:paraId="2C0396D8" w14:textId="4CDCF9D2" w:rsidR="00E50A4B" w:rsidRDefault="003F7D02" w:rsidP="003F7D02">
      <w:pPr>
        <w:pStyle w:val="BoxTextBullet"/>
        <w:shd w:val="clear" w:color="auto" w:fill="F2F2F2" w:themeFill="background1" w:themeFillShade="F2"/>
      </w:pPr>
      <w:r>
        <w:t>Making the time to talk through experiences together and share opportunities for improvement are invaluable for shaping future activities, while also creating a supportive environment for the individuals involved.</w:t>
      </w:r>
    </w:p>
    <w:p w14:paraId="660D1091" w14:textId="034ADC11" w:rsidR="002909FB" w:rsidRDefault="002909FB" w:rsidP="007A7F74">
      <w:pPr>
        <w:pStyle w:val="Heading2"/>
        <w:pageBreakBefore/>
      </w:pPr>
      <w:bookmarkStart w:id="19" w:name="_Toc47106371"/>
      <w:r>
        <w:t xml:space="preserve">Identifying </w:t>
      </w:r>
      <w:r w:rsidR="00CB5AF7">
        <w:t>s</w:t>
      </w:r>
      <w:r>
        <w:t>takeholders</w:t>
      </w:r>
      <w:bookmarkEnd w:id="19"/>
    </w:p>
    <w:p w14:paraId="7F7899B3" w14:textId="77777777" w:rsidR="00E467C7" w:rsidRDefault="00E467C7" w:rsidP="002909FB">
      <w:pPr>
        <w:sectPr w:rsidR="00E467C7" w:rsidSect="00FE0AC8">
          <w:type w:val="continuous"/>
          <w:pgSz w:w="11906" w:h="16838"/>
          <w:pgMar w:top="1418" w:right="1418" w:bottom="1418" w:left="1418" w:header="567" w:footer="709" w:gutter="0"/>
          <w:pgNumType w:start="13"/>
          <w:cols w:space="708"/>
          <w:docGrid w:linePitch="360"/>
        </w:sectPr>
      </w:pPr>
    </w:p>
    <w:p w14:paraId="5248F91E" w14:textId="054692C1" w:rsidR="002909FB" w:rsidRDefault="002909FB" w:rsidP="002909FB">
      <w:r>
        <w:t xml:space="preserve">Before undertaking any communication and engagement activity, it is important to identify the key stakeholders so a plan for reaching them effectively can be developed. Grouping stakeholders will help to target engagement activities and tailor messages and materials to suit the audience. </w:t>
      </w:r>
    </w:p>
    <w:p w14:paraId="5489DC1F" w14:textId="77777777" w:rsidR="002909FB" w:rsidRDefault="002909FB" w:rsidP="002909FB">
      <w:r>
        <w:t>It is not necessary to engage with all stakeholders with the same level of intensity all of the time. It is important to be strategic and clear about who you are engaging with, how you are engaging with them, and why.</w:t>
      </w:r>
    </w:p>
    <w:p w14:paraId="58BE0A46" w14:textId="77777777" w:rsidR="002909FB" w:rsidRDefault="002909FB" w:rsidP="00E467C7">
      <w:pPr>
        <w:keepNext/>
      </w:pPr>
      <w:r>
        <w:t>For the purpose of these Guidelines, stakeholders can generally be grouped into:</w:t>
      </w:r>
    </w:p>
    <w:p w14:paraId="0D9D0F3A" w14:textId="4ABCC9A7" w:rsidR="002909FB" w:rsidRDefault="002909FB" w:rsidP="00322814">
      <w:pPr>
        <w:pStyle w:val="ListBullet"/>
      </w:pPr>
      <w:r w:rsidRPr="00322814">
        <w:rPr>
          <w:b/>
          <w:bCs/>
        </w:rPr>
        <w:t>primary stakeholders</w:t>
      </w:r>
      <w:r>
        <w:t xml:space="preserve"> – those who are directly affected.</w:t>
      </w:r>
    </w:p>
    <w:p w14:paraId="5D5DD7D8" w14:textId="1C2EE47F" w:rsidR="002909FB" w:rsidRDefault="002909FB" w:rsidP="00322814">
      <w:pPr>
        <w:pStyle w:val="ListBullet"/>
      </w:pPr>
      <w:r w:rsidRPr="00322814">
        <w:rPr>
          <w:b/>
          <w:bCs/>
        </w:rPr>
        <w:t>secondary stakeholders</w:t>
      </w:r>
      <w:r>
        <w:t xml:space="preserve"> – those with a vested interest and/or the ability to lobby decision makers.</w:t>
      </w:r>
    </w:p>
    <w:p w14:paraId="742E6703" w14:textId="430EC673" w:rsidR="002909FB" w:rsidRDefault="002909FB" w:rsidP="00322814">
      <w:pPr>
        <w:pStyle w:val="ListBullet"/>
      </w:pPr>
      <w:r w:rsidRPr="00322814">
        <w:rPr>
          <w:b/>
          <w:bCs/>
        </w:rPr>
        <w:t>influencers</w:t>
      </w:r>
      <w:r>
        <w:t>, including:</w:t>
      </w:r>
    </w:p>
    <w:p w14:paraId="3332CD5C" w14:textId="32AA5095" w:rsidR="002909FB" w:rsidRDefault="002909FB" w:rsidP="00322814">
      <w:pPr>
        <w:pStyle w:val="ListBullet2"/>
      </w:pPr>
      <w:r>
        <w:t xml:space="preserve">media; </w:t>
      </w:r>
    </w:p>
    <w:p w14:paraId="3EFD1239" w14:textId="647E841E" w:rsidR="002909FB" w:rsidRDefault="002909FB" w:rsidP="00322814">
      <w:pPr>
        <w:pStyle w:val="ListBullet2"/>
      </w:pPr>
      <w:r>
        <w:t>decision makers.</w:t>
      </w:r>
    </w:p>
    <w:p w14:paraId="206B1A21" w14:textId="77777777" w:rsidR="00E467C7" w:rsidRDefault="002909FB" w:rsidP="002909FB">
      <w:r>
        <w:t xml:space="preserve">A comprehensive list of potential stakeholders and influencers, and reasons for engaging with them, is at </w:t>
      </w:r>
      <w:r w:rsidRPr="001230D9">
        <w:rPr>
          <w:b/>
          <w:bCs/>
        </w:rPr>
        <w:t>Attachment 2</w:t>
      </w:r>
      <w:r>
        <w:t>.</w:t>
      </w:r>
    </w:p>
    <w:p w14:paraId="7D6889B7" w14:textId="77777777" w:rsidR="0040728C" w:rsidRDefault="0040728C" w:rsidP="002909FB"/>
    <w:p w14:paraId="291F7EC3" w14:textId="47D6257A" w:rsidR="0040728C" w:rsidRDefault="0040728C" w:rsidP="002909FB">
      <w:pPr>
        <w:sectPr w:rsidR="0040728C" w:rsidSect="00E467C7">
          <w:type w:val="continuous"/>
          <w:pgSz w:w="11906" w:h="16838"/>
          <w:pgMar w:top="1418" w:right="1418" w:bottom="1418" w:left="1418" w:header="567" w:footer="283" w:gutter="0"/>
          <w:pgNumType w:start="1"/>
          <w:cols w:num="2" w:space="708"/>
          <w:docGrid w:linePitch="360"/>
        </w:sectPr>
      </w:pPr>
    </w:p>
    <w:p w14:paraId="19E17BF4" w14:textId="2618DCD2" w:rsidR="007A4C26" w:rsidRDefault="007A4C26" w:rsidP="007A4C26">
      <w:pPr>
        <w:pStyle w:val="Heading3"/>
      </w:pPr>
      <w:bookmarkStart w:id="20" w:name="_Toc47106372"/>
      <w:r>
        <w:t>Primary stakeholders</w:t>
      </w:r>
      <w:bookmarkEnd w:id="20"/>
      <w:r>
        <w:t xml:space="preserve"> </w:t>
      </w:r>
    </w:p>
    <w:p w14:paraId="08B39C88" w14:textId="77777777" w:rsidR="00F40979" w:rsidRDefault="00F40979" w:rsidP="007A4C26">
      <w:pPr>
        <w:sectPr w:rsidR="00F40979" w:rsidSect="00B209B6">
          <w:type w:val="continuous"/>
          <w:pgSz w:w="11906" w:h="16838"/>
          <w:pgMar w:top="1418" w:right="1418" w:bottom="1418" w:left="1418" w:header="567" w:footer="283" w:gutter="0"/>
          <w:pgNumType w:start="1"/>
          <w:cols w:space="708"/>
          <w:docGrid w:linePitch="360"/>
        </w:sectPr>
      </w:pPr>
    </w:p>
    <w:p w14:paraId="692EB506" w14:textId="59DACED3" w:rsidR="003F7D02" w:rsidRDefault="00C464CF" w:rsidP="007A4C26">
      <w:r>
        <w:rPr>
          <w:noProof/>
          <w:lang w:eastAsia="en-AU"/>
        </w:rPr>
        <w:drawing>
          <wp:anchor distT="0" distB="0" distL="114300" distR="114300" simplePos="0" relativeHeight="251658240" behindDoc="0" locked="0" layoutInCell="1" allowOverlap="0" wp14:anchorId="575817E7" wp14:editId="3C67C12F">
            <wp:simplePos x="0" y="0"/>
            <wp:positionH relativeFrom="column">
              <wp:posOffset>2948039</wp:posOffset>
            </wp:positionH>
            <wp:positionV relativeFrom="paragraph">
              <wp:posOffset>788841</wp:posOffset>
            </wp:positionV>
            <wp:extent cx="2470150" cy="1369695"/>
            <wp:effectExtent l="0" t="0" r="6350" b="1905"/>
            <wp:wrapTopAndBottom/>
            <wp:docPr id="7" name="Pictur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0" cy="1369695"/>
                    </a:xfrm>
                    <a:prstGeom prst="rect">
                      <a:avLst/>
                    </a:prstGeom>
                    <a:noFill/>
                  </pic:spPr>
                </pic:pic>
              </a:graphicData>
            </a:graphic>
            <wp14:sizeRelH relativeFrom="margin">
              <wp14:pctWidth>0</wp14:pctWidth>
            </wp14:sizeRelH>
            <wp14:sizeRelV relativeFrom="margin">
              <wp14:pctHeight>0</wp14:pctHeight>
            </wp14:sizeRelV>
          </wp:anchor>
        </w:drawing>
      </w:r>
      <w:r w:rsidR="007A4C26">
        <w:t>Primary stakeholders are generally those who will be directly affected by a situation; emotionally, physically or financially. They are the priority for communication and their needs should be at the fore when considering engagement activities. These stakeholders will include residents living within investigation sites and surrounding areas, as well as people operating businesses in these areas. In situations where agricultural, aquacultural and fisheries industries operate in the local area, the primary stakeholders may include businesses affected by reputational issues associated with being near a contaminated site, even if their produce isn’t directly affected by PFAS contamination.</w:t>
      </w:r>
    </w:p>
    <w:p w14:paraId="31B5B747" w14:textId="77777777" w:rsidR="00F40979" w:rsidRDefault="00F40979" w:rsidP="007A4C26">
      <w:pPr>
        <w:sectPr w:rsidR="00F40979" w:rsidSect="00F40979">
          <w:type w:val="continuous"/>
          <w:pgSz w:w="11906" w:h="16838"/>
          <w:pgMar w:top="1418" w:right="1418" w:bottom="1418" w:left="1418" w:header="567" w:footer="283" w:gutter="0"/>
          <w:pgNumType w:start="1"/>
          <w:cols w:num="2" w:space="708"/>
          <w:docGrid w:linePitch="360"/>
        </w:sectPr>
      </w:pPr>
    </w:p>
    <w:p w14:paraId="6C8E7C7F" w14:textId="77777777" w:rsidR="005959AF" w:rsidRDefault="005959AF" w:rsidP="007A7F74">
      <w:pPr>
        <w:pStyle w:val="Heading3"/>
        <w:pageBreakBefore/>
      </w:pPr>
      <w:bookmarkStart w:id="21" w:name="_Toc47106373"/>
      <w:r>
        <w:t>Secondary stakeholders</w:t>
      </w:r>
      <w:bookmarkEnd w:id="21"/>
    </w:p>
    <w:p w14:paraId="092C2D3A" w14:textId="77777777" w:rsidR="00344E70" w:rsidRDefault="00344E70" w:rsidP="000761AD">
      <w:pPr>
        <w:sectPr w:rsidR="00344E70" w:rsidSect="00FE0AC8">
          <w:type w:val="continuous"/>
          <w:pgSz w:w="11906" w:h="16838"/>
          <w:pgMar w:top="1418" w:right="1418" w:bottom="1418" w:left="1418" w:header="567" w:footer="709" w:gutter="0"/>
          <w:pgNumType w:start="15"/>
          <w:cols w:space="708"/>
          <w:docGrid w:linePitch="360"/>
        </w:sectPr>
      </w:pPr>
    </w:p>
    <w:p w14:paraId="272D2CCE" w14:textId="64B18445" w:rsidR="005959AF" w:rsidRDefault="005959AF" w:rsidP="000761AD">
      <w:r>
        <w:t xml:space="preserve">Secondary stakeholders are generally people, organisations or groups with an indirect interest in the situation. They can be very vocal and, even though they may not be directly or personally affected, they can have an impact on policy direction and responses from government. </w:t>
      </w:r>
    </w:p>
    <w:p w14:paraId="0B1C9B6D" w14:textId="77777777" w:rsidR="005959AF" w:rsidRDefault="005959AF" w:rsidP="000761AD">
      <w:r>
        <w:t>Secondary stakeholders can include:</w:t>
      </w:r>
    </w:p>
    <w:p w14:paraId="63836E1A" w14:textId="62B7C9DB" w:rsidR="005959AF" w:rsidRDefault="005959AF" w:rsidP="00CD1003">
      <w:pPr>
        <w:pStyle w:val="ListBullet"/>
      </w:pPr>
      <w:r>
        <w:t>peak bodies and associations;</w:t>
      </w:r>
    </w:p>
    <w:p w14:paraId="4423BC8D" w14:textId="6F5341D0" w:rsidR="005959AF" w:rsidRDefault="005959AF" w:rsidP="00CD1003">
      <w:pPr>
        <w:pStyle w:val="ListBullet"/>
      </w:pPr>
      <w:r>
        <w:t>organisations leading, coordinating and managing engagement with the community;</w:t>
      </w:r>
    </w:p>
    <w:p w14:paraId="2A0556A6" w14:textId="62C5890F" w:rsidR="005959AF" w:rsidRDefault="005959AF" w:rsidP="00CD1003">
      <w:pPr>
        <w:pStyle w:val="ListBullet"/>
      </w:pPr>
      <w:r>
        <w:t>other government agencies; and</w:t>
      </w:r>
    </w:p>
    <w:p w14:paraId="29D9E796" w14:textId="484825E4" w:rsidR="005959AF" w:rsidRDefault="005959AF" w:rsidP="00CD1003">
      <w:pPr>
        <w:pStyle w:val="ListBullet"/>
      </w:pPr>
      <w:r>
        <w:t>local, state/territory and Australian Government Members and Senators.</w:t>
      </w:r>
    </w:p>
    <w:p w14:paraId="279631B2" w14:textId="77777777" w:rsidR="005959AF" w:rsidRDefault="005959AF" w:rsidP="00344DAA">
      <w:pPr>
        <w:pStyle w:val="ListBullet"/>
        <w:numPr>
          <w:ilvl w:val="0"/>
          <w:numId w:val="0"/>
        </w:numPr>
      </w:pPr>
      <w:r>
        <w:t>It is important that these stakeholders are not overlooked. A sound understanding of their intent and positions and an open dialogue with them will help ensure they have the opportunity to listen and to be heard.</w:t>
      </w:r>
    </w:p>
    <w:p w14:paraId="47FD4917" w14:textId="77777777" w:rsidR="005959AF" w:rsidRPr="00CD1003" w:rsidRDefault="005959AF" w:rsidP="00CD1003">
      <w:pPr>
        <w:rPr>
          <w:rStyle w:val="Strong"/>
        </w:rPr>
      </w:pPr>
      <w:r w:rsidRPr="00CD1003">
        <w:rPr>
          <w:rStyle w:val="Strong"/>
        </w:rPr>
        <w:t>Influencers</w:t>
      </w:r>
    </w:p>
    <w:p w14:paraId="5AE9BF83" w14:textId="77777777" w:rsidR="005959AF" w:rsidRDefault="005959AF" w:rsidP="000761AD">
      <w:r>
        <w:t>Influencers are groups, organisations, experts and professionals who influence community sentiment and can shape commentary about the issue (either negatively or positively). They are the organisations and people others turn to for commentary and advice. They may also be decision makers whose decisions will have a direct impact on the community, thus indirectly influencing community sentiment.</w:t>
      </w:r>
    </w:p>
    <w:p w14:paraId="5464DB5B" w14:textId="77777777" w:rsidR="005959AF" w:rsidRDefault="005959AF" w:rsidP="000761AD">
      <w:r>
        <w:t>Influencer engagement is a core element of the communication approach as governments continue to respond to PFAS contamination. Early investment in this type of engagement can help shape community sentiment from the beginning. It is an integral part of community engagement and should not be seen as an optional activity to undertake only if time permits.</w:t>
      </w:r>
    </w:p>
    <w:p w14:paraId="3C4018F0" w14:textId="77777777" w:rsidR="005959AF" w:rsidRDefault="005959AF" w:rsidP="000761AD">
      <w:r>
        <w:t>Successful engagement with influencers requires a commitment to allocate time and resources to provide relevant information and explain what the information means.</w:t>
      </w:r>
    </w:p>
    <w:p w14:paraId="020971BA" w14:textId="77777777" w:rsidR="005959AF" w:rsidRDefault="005959AF" w:rsidP="000761AD">
      <w:r>
        <w:t>Engaging directly with influencers ensures they receive accurate information and have the opportunity to digest the facts and raise questions and concerns before being approached for comment. This enables them to respond accurately and rationally when fielding questions and representing the community, rather than reacting to community outrage without being adequately informed.</w:t>
      </w:r>
    </w:p>
    <w:p w14:paraId="3F5CAB6F" w14:textId="77777777" w:rsidR="005959AF" w:rsidRPr="00067EEE" w:rsidRDefault="005959AF" w:rsidP="000761AD">
      <w:pPr>
        <w:rPr>
          <w:rStyle w:val="Strong"/>
          <w:b w:val="0"/>
          <w:bCs w:val="0"/>
          <w:i/>
          <w:iCs/>
          <w:sz w:val="22"/>
          <w:szCs w:val="20"/>
        </w:rPr>
      </w:pPr>
      <w:r w:rsidRPr="00067EEE">
        <w:rPr>
          <w:rStyle w:val="Strong"/>
          <w:b w:val="0"/>
          <w:bCs w:val="0"/>
          <w:i/>
          <w:iCs/>
          <w:sz w:val="22"/>
          <w:szCs w:val="20"/>
        </w:rPr>
        <w:t>The media</w:t>
      </w:r>
    </w:p>
    <w:p w14:paraId="6129AA60" w14:textId="77777777" w:rsidR="005959AF" w:rsidRDefault="005959AF" w:rsidP="000761AD">
      <w:r>
        <w:t xml:space="preserve">The media is a key influencer with a unique ability to reach a large number of people rapidly and effectively. </w:t>
      </w:r>
    </w:p>
    <w:p w14:paraId="167A08AF" w14:textId="77777777" w:rsidR="005959AF" w:rsidRDefault="005959AF" w:rsidP="000761AD">
      <w:r>
        <w:t xml:space="preserve">Inconsistent and contradictory media reporting leads to a lack of trust and damages the reputation of governments. Government agencies need a collective view of what the issues are and how and when to respond. </w:t>
      </w:r>
    </w:p>
    <w:p w14:paraId="62ABD2F3" w14:textId="77777777" w:rsidR="005959AF" w:rsidRDefault="005959AF" w:rsidP="000761AD">
      <w:r>
        <w:t>Government agencies should respond to media enquiries related to their portfolio responsibilities. To ensure a coordinated approach, agencies should share media enquiries and responses with each other as they arise.</w:t>
      </w:r>
    </w:p>
    <w:p w14:paraId="74C8A903" w14:textId="77777777" w:rsidR="005959AF" w:rsidRDefault="005959AF" w:rsidP="000761AD">
      <w:r>
        <w:t>Agencies should maintain an awareness of media coverage and engage positively and proactively with media outlets where possible. Agencies should:</w:t>
      </w:r>
    </w:p>
    <w:p w14:paraId="5108D824" w14:textId="1B39FA65" w:rsidR="005959AF" w:rsidRDefault="005959AF" w:rsidP="00E457A8">
      <w:pPr>
        <w:pStyle w:val="ListBullet"/>
      </w:pPr>
      <w:r>
        <w:t>proactively engage with media in relation to new information, incidents and events whenever possible;</w:t>
      </w:r>
    </w:p>
    <w:p w14:paraId="17D23B0B" w14:textId="77777777" w:rsidR="000761AD" w:rsidRDefault="005959AF" w:rsidP="00E457A8">
      <w:pPr>
        <w:pStyle w:val="ListBullet"/>
      </w:pPr>
      <w:r>
        <w:t>ensure that any written information provided to media is consistent, succinct, clear and easily understood – if the media cannot decipher the information they will seek input elsewhere;</w:t>
      </w:r>
    </w:p>
    <w:p w14:paraId="77E0CAD9" w14:textId="53E874B6" w:rsidR="005959AF" w:rsidRDefault="005959AF" w:rsidP="00E457A8">
      <w:pPr>
        <w:pStyle w:val="ListBullet"/>
      </w:pPr>
      <w:r>
        <w:t>use agreed Talking Points wherever possible, to ensure consistency of messaging;</w:t>
      </w:r>
    </w:p>
    <w:p w14:paraId="05D2D68E" w14:textId="00279041" w:rsidR="005959AF" w:rsidRDefault="005959AF" w:rsidP="00E457A8">
      <w:pPr>
        <w:pStyle w:val="ListBullet"/>
      </w:pPr>
      <w:r>
        <w:t>provide usable quotes from credible spokespeople – avoid jargon;</w:t>
      </w:r>
    </w:p>
    <w:p w14:paraId="047DB279" w14:textId="08B6FF8E" w:rsidR="005959AF" w:rsidRDefault="005959AF" w:rsidP="00E457A8">
      <w:pPr>
        <w:pStyle w:val="ListBullet"/>
      </w:pPr>
      <w:r>
        <w:t>monitor local, national, and social media and understand who is saying what, and why;</w:t>
      </w:r>
    </w:p>
    <w:p w14:paraId="653477DD" w14:textId="32F69462" w:rsidR="005959AF" w:rsidRDefault="005959AF" w:rsidP="00E457A8">
      <w:pPr>
        <w:pStyle w:val="ListBullet"/>
      </w:pPr>
      <w:r>
        <w:t>be willing to quickly correct the record if appropriate; and</w:t>
      </w:r>
    </w:p>
    <w:p w14:paraId="28E7440F" w14:textId="043EC624" w:rsidR="005959AF" w:rsidRDefault="005959AF" w:rsidP="00E457A8">
      <w:pPr>
        <w:pStyle w:val="ListBullet"/>
      </w:pPr>
      <w:r>
        <w:t>consider alternatives to media releases – such as opinion pieces and in depth interviews with spokespeople, if appropriate.</w:t>
      </w:r>
    </w:p>
    <w:p w14:paraId="4B2AC712" w14:textId="77777777" w:rsidR="005959AF" w:rsidRPr="00E457A8" w:rsidRDefault="005959AF" w:rsidP="000761AD">
      <w:pPr>
        <w:rPr>
          <w:rStyle w:val="Strong"/>
        </w:rPr>
      </w:pPr>
      <w:r w:rsidRPr="00E457A8">
        <w:rPr>
          <w:rStyle w:val="Strong"/>
        </w:rPr>
        <w:t>Decision makers</w:t>
      </w:r>
    </w:p>
    <w:p w14:paraId="4323CC4A" w14:textId="77777777" w:rsidR="005959AF" w:rsidRDefault="005959AF" w:rsidP="000761AD">
      <w:r>
        <w:t>Financial institutions (e.g. banks and other lenders), property valuers, and insurance providers are all examples of decision makers who will make assessments based on the available information that will influence perceptions and can have life-altering impacts on communities and individuals. Providing these organisations with up-to-date, accurate information and data in relation to site investigations and any other issues that could affect critical economic determinants, such as property values, may prevent disproportionate responses and adverse consequences.</w:t>
      </w:r>
    </w:p>
    <w:p w14:paraId="4C2ADD37" w14:textId="0081CFB5" w:rsidR="007A4C26" w:rsidRDefault="005959AF" w:rsidP="000761AD">
      <w:r>
        <w:t>Governments and agencies should work together to coordinate regular approaches to decision makers, providing relevant data and information that will support informed and balanced decisions.</w:t>
      </w:r>
    </w:p>
    <w:p w14:paraId="025CB8E6" w14:textId="66A5898B" w:rsidR="004A528B" w:rsidRDefault="004A528B" w:rsidP="000761AD">
      <w:pPr>
        <w:sectPr w:rsidR="004A528B" w:rsidSect="00FE0AC8">
          <w:type w:val="continuous"/>
          <w:pgSz w:w="11906" w:h="16838"/>
          <w:pgMar w:top="1418" w:right="1418" w:bottom="1418" w:left="1418" w:header="567" w:footer="709" w:gutter="0"/>
          <w:pgNumType w:start="15"/>
          <w:cols w:num="2" w:space="708"/>
          <w:docGrid w:linePitch="360"/>
        </w:sectPr>
      </w:pPr>
    </w:p>
    <w:p w14:paraId="177DB6C7" w14:textId="77777777" w:rsidR="008C766C" w:rsidRDefault="008C766C">
      <w:pPr>
        <w:spacing w:before="0" w:after="0"/>
      </w:pPr>
    </w:p>
    <w:p w14:paraId="0336D215" w14:textId="7F8417F0" w:rsidR="004A528B" w:rsidRDefault="00763C1C" w:rsidP="007F0FD0">
      <w:pPr>
        <w:pStyle w:val="Heading2"/>
        <w:pageBreakBefore/>
      </w:pPr>
      <w:bookmarkStart w:id="22" w:name="_Toc20817489"/>
      <w:bookmarkStart w:id="23" w:name="_Toc47106374"/>
      <w:r w:rsidRPr="00763C1C">
        <w:t>ATTACHMENT 1: COMMUNICATION AND ENGAGEMENT ACTIVITIES</w:t>
      </w:r>
      <w:bookmarkEnd w:id="22"/>
      <w:bookmarkEnd w:id="23"/>
    </w:p>
    <w:tbl>
      <w:tblPr>
        <w:tblStyle w:val="TableClassic2"/>
        <w:tblW w:w="5000" w:type="pct"/>
        <w:tblBorders>
          <w:top w:val="none" w:sz="0" w:space="0" w:color="auto"/>
          <w:bottom w:val="none" w:sz="0" w:space="0" w:color="auto"/>
        </w:tblBorders>
        <w:tblLook w:val="04A0" w:firstRow="1" w:lastRow="0" w:firstColumn="1" w:lastColumn="0" w:noHBand="0" w:noVBand="1"/>
        <w:tblCaption w:val="Communication and engagement activities"/>
        <w:tblDescription w:val="Engagement type, benefits of approach, risks of approach."/>
      </w:tblPr>
      <w:tblGrid>
        <w:gridCol w:w="2265"/>
        <w:gridCol w:w="3768"/>
        <w:gridCol w:w="3037"/>
      </w:tblGrid>
      <w:tr w:rsidR="003B6877" w:rsidRPr="00FC1BCE" w14:paraId="250EC282" w14:textId="77777777" w:rsidTr="00D37D3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uto"/>
              <w:bottom w:val="single" w:sz="4" w:space="0" w:color="auto"/>
            </w:tcBorders>
            <w:shd w:val="clear" w:color="auto" w:fill="auto"/>
          </w:tcPr>
          <w:p w14:paraId="35DEE8C2" w14:textId="77777777" w:rsidR="00FC1BCE" w:rsidRPr="005D51B0" w:rsidRDefault="00FC1BCE" w:rsidP="00FC1BCE">
            <w:pPr>
              <w:pStyle w:val="TableHeading"/>
              <w:rPr>
                <w:b/>
                <w:bCs w:val="0"/>
                <w:color w:val="auto"/>
              </w:rPr>
            </w:pPr>
            <w:r w:rsidRPr="005D51B0">
              <w:rPr>
                <w:b/>
                <w:bCs w:val="0"/>
                <w:color w:val="auto"/>
              </w:rPr>
              <w:t>Engagement type</w:t>
            </w:r>
          </w:p>
        </w:tc>
        <w:tc>
          <w:tcPr>
            <w:tcW w:w="2077" w:type="pct"/>
            <w:tcBorders>
              <w:top w:val="single" w:sz="4" w:space="0" w:color="auto"/>
              <w:bottom w:val="single" w:sz="4" w:space="0" w:color="auto"/>
            </w:tcBorders>
            <w:shd w:val="clear" w:color="auto" w:fill="auto"/>
          </w:tcPr>
          <w:p w14:paraId="43941991" w14:textId="77777777" w:rsidR="00FC1BCE" w:rsidRPr="005D51B0" w:rsidRDefault="00FC1BCE" w:rsidP="00FC1BC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5D51B0">
              <w:rPr>
                <w:color w:val="auto"/>
              </w:rPr>
              <w:t>Benefits of approach</w:t>
            </w:r>
          </w:p>
        </w:tc>
        <w:tc>
          <w:tcPr>
            <w:tcW w:w="1674" w:type="pct"/>
            <w:tcBorders>
              <w:top w:val="single" w:sz="4" w:space="0" w:color="auto"/>
              <w:bottom w:val="single" w:sz="4" w:space="0" w:color="auto"/>
            </w:tcBorders>
            <w:shd w:val="clear" w:color="auto" w:fill="auto"/>
          </w:tcPr>
          <w:p w14:paraId="23A5A745" w14:textId="77777777" w:rsidR="00FC1BCE" w:rsidRPr="005D51B0" w:rsidRDefault="00FC1BCE" w:rsidP="00FC1BC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5D51B0">
              <w:rPr>
                <w:color w:val="auto"/>
              </w:rPr>
              <w:t>Risks of approach</w:t>
            </w:r>
          </w:p>
        </w:tc>
      </w:tr>
      <w:tr w:rsidR="00D37D3D" w:rsidRPr="00FC1BCE" w14:paraId="0AA6E998" w14:textId="77777777" w:rsidTr="00D37D3D">
        <w:trPr>
          <w:cantSplit/>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bottom w:val="single" w:sz="4" w:space="0" w:color="auto"/>
            </w:tcBorders>
            <w:shd w:val="clear" w:color="auto" w:fill="auto"/>
          </w:tcPr>
          <w:p w14:paraId="4248B0CB" w14:textId="77777777" w:rsidR="00FC1BCE" w:rsidRPr="00FC1BCE" w:rsidRDefault="00FC1BCE" w:rsidP="005D51B0">
            <w:pPr>
              <w:pStyle w:val="TableText"/>
            </w:pPr>
            <w:r w:rsidRPr="00FC1BCE">
              <w:t>Community town hall meeting / presentation</w:t>
            </w:r>
          </w:p>
        </w:tc>
        <w:tc>
          <w:tcPr>
            <w:tcW w:w="2077" w:type="pct"/>
            <w:tcBorders>
              <w:top w:val="single" w:sz="4" w:space="0" w:color="auto"/>
              <w:bottom w:val="single" w:sz="4" w:space="0" w:color="auto"/>
            </w:tcBorders>
          </w:tcPr>
          <w:p w14:paraId="79B34518" w14:textId="77777777" w:rsidR="00FC1BCE" w:rsidRPr="00FC1BCE" w:rsidRDefault="00FC1BCE" w:rsidP="009A2269">
            <w:pPr>
              <w:pStyle w:val="TableBullet1"/>
              <w:cnfStyle w:val="000000000000" w:firstRow="0" w:lastRow="0" w:firstColumn="0" w:lastColumn="0" w:oddVBand="0" w:evenVBand="0" w:oddHBand="0" w:evenHBand="0" w:firstRowFirstColumn="0" w:firstRowLastColumn="0" w:lastRowFirstColumn="0" w:lastRowLastColumn="0"/>
            </w:pPr>
            <w:r w:rsidRPr="00FC1BCE">
              <w:t>Provides the opportunity to deliver information to a large audience simultaneously.</w:t>
            </w:r>
          </w:p>
          <w:p w14:paraId="6D6E9264" w14:textId="77777777" w:rsidR="00FC1BCE" w:rsidRPr="00FC1BCE" w:rsidRDefault="00FC1BCE" w:rsidP="009A2269">
            <w:pPr>
              <w:pStyle w:val="TableBullet1"/>
              <w:cnfStyle w:val="000000000000" w:firstRow="0" w:lastRow="0" w:firstColumn="0" w:lastColumn="0" w:oddVBand="0" w:evenVBand="0" w:oddHBand="0" w:evenHBand="0" w:firstRowFirstColumn="0" w:firstRowLastColumn="0" w:lastRowFirstColumn="0" w:lastRowLastColumn="0"/>
            </w:pPr>
            <w:r w:rsidRPr="00FC1BCE">
              <w:t xml:space="preserve">Ensures everyone gets the same information and messages. </w:t>
            </w:r>
          </w:p>
          <w:p w14:paraId="45F2FD17" w14:textId="77777777" w:rsidR="00FC1BCE" w:rsidRPr="00FC1BCE" w:rsidRDefault="00FC1BCE" w:rsidP="009A2269">
            <w:pPr>
              <w:pStyle w:val="TableBullet1"/>
              <w:cnfStyle w:val="000000000000" w:firstRow="0" w:lastRow="0" w:firstColumn="0" w:lastColumn="0" w:oddVBand="0" w:evenVBand="0" w:oddHBand="0" w:evenHBand="0" w:firstRowFirstColumn="0" w:firstRowLastColumn="0" w:lastRowFirstColumn="0" w:lastRowLastColumn="0"/>
            </w:pPr>
            <w:r w:rsidRPr="00FC1BCE">
              <w:t>Allows the community to ask questions.</w:t>
            </w:r>
          </w:p>
          <w:p w14:paraId="15E43173" w14:textId="77777777" w:rsidR="00FC1BCE" w:rsidRPr="00FC1BCE" w:rsidRDefault="00FC1BCE" w:rsidP="009A2269">
            <w:pPr>
              <w:pStyle w:val="TableBullet1"/>
              <w:cnfStyle w:val="000000000000" w:firstRow="0" w:lastRow="0" w:firstColumn="0" w:lastColumn="0" w:oddVBand="0" w:evenVBand="0" w:oddHBand="0" w:evenHBand="0" w:firstRowFirstColumn="0" w:firstRowLastColumn="0" w:lastRowFirstColumn="0" w:lastRowLastColumn="0"/>
            </w:pPr>
            <w:r w:rsidRPr="00FC1BCE">
              <w:t>Ensures broad and common issues can be clarified on the spot.</w:t>
            </w:r>
          </w:p>
          <w:p w14:paraId="6E49D74D" w14:textId="77777777" w:rsidR="00FC1BCE" w:rsidRPr="00763C1C" w:rsidRDefault="00FC1BCE" w:rsidP="00763C1C">
            <w:pPr>
              <w:pStyle w:val="TableText"/>
              <w:cnfStyle w:val="000000000000" w:firstRow="0" w:lastRow="0" w:firstColumn="0" w:lastColumn="0" w:oddVBand="0" w:evenVBand="0" w:oddHBand="0" w:evenHBand="0" w:firstRowFirstColumn="0" w:firstRowLastColumn="0" w:lastRowFirstColumn="0" w:lastRowLastColumn="0"/>
              <w:rPr>
                <w:i/>
                <w:iCs/>
              </w:rPr>
            </w:pPr>
            <w:r w:rsidRPr="00763C1C">
              <w:rPr>
                <w:i/>
                <w:iCs/>
              </w:rPr>
              <w:t>Most useful when the information to be delivered is not contentious or highly emotive in nature.</w:t>
            </w:r>
          </w:p>
        </w:tc>
        <w:tc>
          <w:tcPr>
            <w:tcW w:w="1674" w:type="pct"/>
            <w:tcBorders>
              <w:top w:val="single" w:sz="4" w:space="0" w:color="auto"/>
              <w:bottom w:val="single" w:sz="4" w:space="0" w:color="auto"/>
            </w:tcBorders>
          </w:tcPr>
          <w:p w14:paraId="21D58C9A" w14:textId="77777777" w:rsidR="00FC1BCE" w:rsidRPr="00FC1BCE" w:rsidRDefault="00FC1BCE" w:rsidP="003B6877">
            <w:pPr>
              <w:pStyle w:val="TableBullet1"/>
              <w:cnfStyle w:val="000000000000" w:firstRow="0" w:lastRow="0" w:firstColumn="0" w:lastColumn="0" w:oddVBand="0" w:evenVBand="0" w:oddHBand="0" w:evenHBand="0" w:firstRowFirstColumn="0" w:firstRowLastColumn="0" w:lastRowFirstColumn="0" w:lastRowLastColumn="0"/>
            </w:pPr>
            <w:r w:rsidRPr="00FC1BCE">
              <w:t>Physical distance between presenters and attendees makes it difficult for presenters to show they are listening and demonstrate empathy.</w:t>
            </w:r>
          </w:p>
          <w:p w14:paraId="187FAB84" w14:textId="77777777" w:rsidR="00FC1BCE" w:rsidRPr="00FC1BCE" w:rsidRDefault="00FC1BCE" w:rsidP="003B6877">
            <w:pPr>
              <w:pStyle w:val="TableBullet1"/>
              <w:cnfStyle w:val="000000000000" w:firstRow="0" w:lastRow="0" w:firstColumn="0" w:lastColumn="0" w:oddVBand="0" w:evenVBand="0" w:oddHBand="0" w:evenHBand="0" w:firstRowFirstColumn="0" w:firstRowLastColumn="0" w:lastRowFirstColumn="0" w:lastRowLastColumn="0"/>
            </w:pPr>
            <w:r w:rsidRPr="00FC1BCE">
              <w:t>Creates the opportunity for a ‘media spectacle’ and/or promotion of other agendas.</w:t>
            </w:r>
          </w:p>
          <w:p w14:paraId="74E3A9F0" w14:textId="77777777" w:rsidR="00FC1BCE" w:rsidRPr="00FC1BCE" w:rsidRDefault="00FC1BCE" w:rsidP="003B6877">
            <w:pPr>
              <w:pStyle w:val="TableBullet1"/>
              <w:cnfStyle w:val="000000000000" w:firstRow="0" w:lastRow="0" w:firstColumn="0" w:lastColumn="0" w:oddVBand="0" w:evenVBand="0" w:oddHBand="0" w:evenHBand="0" w:firstRowFirstColumn="0" w:firstRowLastColumn="0" w:lastRowFirstColumn="0" w:lastRowLastColumn="0"/>
            </w:pPr>
            <w:r w:rsidRPr="00FC1BCE">
              <w:t>Can set up confrontation between speakers ‘panel’ and audience.</w:t>
            </w:r>
          </w:p>
          <w:p w14:paraId="5CFB44DC" w14:textId="77777777" w:rsidR="00FC1BCE" w:rsidRPr="00FC1BCE" w:rsidRDefault="00FC1BCE" w:rsidP="003B6877">
            <w:pPr>
              <w:pStyle w:val="TableBullet1"/>
              <w:cnfStyle w:val="000000000000" w:firstRow="0" w:lastRow="0" w:firstColumn="0" w:lastColumn="0" w:oddVBand="0" w:evenVBand="0" w:oddHBand="0" w:evenHBand="0" w:firstRowFirstColumn="0" w:firstRowLastColumn="0" w:lastRowFirstColumn="0" w:lastRowLastColumn="0"/>
            </w:pPr>
            <w:r w:rsidRPr="00FC1BCE">
              <w:t>Limits the number of and type of questions that can be answered.</w:t>
            </w:r>
          </w:p>
          <w:p w14:paraId="2E8DA2AF" w14:textId="77777777" w:rsidR="00FC1BCE" w:rsidRPr="00FC1BCE" w:rsidRDefault="00FC1BCE" w:rsidP="003B6877">
            <w:pPr>
              <w:pStyle w:val="TableBullet1"/>
              <w:cnfStyle w:val="000000000000" w:firstRow="0" w:lastRow="0" w:firstColumn="0" w:lastColumn="0" w:oddVBand="0" w:evenVBand="0" w:oddHBand="0" w:evenHBand="0" w:firstRowFirstColumn="0" w:firstRowLastColumn="0" w:lastRowFirstColumn="0" w:lastRowLastColumn="0"/>
            </w:pPr>
            <w:r w:rsidRPr="00FC1BCE">
              <w:t>Audience members may not be comfortable asking questions in front of the whole group.</w:t>
            </w:r>
          </w:p>
        </w:tc>
      </w:tr>
      <w:tr w:rsidR="00D37D3D" w:rsidRPr="00FC1BCE" w14:paraId="7BFB7A24" w14:textId="77777777" w:rsidTr="00D37D3D">
        <w:trPr>
          <w:cantSplit/>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bottom w:val="single" w:sz="4" w:space="0" w:color="auto"/>
            </w:tcBorders>
            <w:shd w:val="clear" w:color="auto" w:fill="auto"/>
          </w:tcPr>
          <w:p w14:paraId="405C33C7" w14:textId="77777777" w:rsidR="00FC1BCE" w:rsidRPr="00FC1BCE" w:rsidRDefault="00FC1BCE" w:rsidP="005D51B0">
            <w:pPr>
              <w:pStyle w:val="TableText"/>
              <w:rPr>
                <w:rFonts w:asciiTheme="minorHAnsi" w:hAnsiTheme="minorHAnsi" w:cstheme="minorHAnsi"/>
              </w:rPr>
            </w:pPr>
            <w:r w:rsidRPr="00FC1BCE">
              <w:rPr>
                <w:rFonts w:asciiTheme="minorHAnsi" w:hAnsiTheme="minorHAnsi" w:cstheme="minorHAnsi"/>
              </w:rPr>
              <w:t>Community walk-in session</w:t>
            </w:r>
          </w:p>
          <w:p w14:paraId="2C3B1EAE" w14:textId="77777777" w:rsidR="00FC1BCE" w:rsidRPr="00722A8F" w:rsidRDefault="00FC1BCE" w:rsidP="00722A8F">
            <w:pPr>
              <w:pStyle w:val="TableText"/>
              <w:rPr>
                <w:b w:val="0"/>
                <w:bCs w:val="0"/>
              </w:rPr>
            </w:pPr>
            <w:r w:rsidRPr="00722A8F">
              <w:rPr>
                <w:b w:val="0"/>
                <w:bCs w:val="0"/>
              </w:rPr>
              <w:t>(held in a venue where representatives from all relevant Commonwealth and state/territory agencies, and local government representatives (where required) can be seated at subject-specific tables that community members can approach for one-to-one discussion)</w:t>
            </w:r>
          </w:p>
        </w:tc>
        <w:tc>
          <w:tcPr>
            <w:tcW w:w="2077" w:type="pct"/>
            <w:tcBorders>
              <w:top w:val="single" w:sz="4" w:space="0" w:color="auto"/>
              <w:bottom w:val="single" w:sz="4" w:space="0" w:color="auto"/>
            </w:tcBorders>
          </w:tcPr>
          <w:p w14:paraId="7314B454"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Provides a forum for targeted, personalised communication with community members.</w:t>
            </w:r>
          </w:p>
          <w:p w14:paraId="7C56E06A"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 xml:space="preserve">Creates direct contact with the community and helps to build relationships that assist with future face-to-face engagement. </w:t>
            </w:r>
          </w:p>
          <w:p w14:paraId="2BEC43E9"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Provides an opportunity for communities to ask personalised questions in a non-confrontational environment.</w:t>
            </w:r>
          </w:p>
          <w:p w14:paraId="21F60FCC"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Controls the situation more effectively.</w:t>
            </w:r>
          </w:p>
          <w:p w14:paraId="77C8C9E4"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Allows for one-on-one attention from experts.</w:t>
            </w:r>
          </w:p>
          <w:p w14:paraId="6CF6264A" w14:textId="77777777" w:rsidR="00FC1BCE" w:rsidRPr="004A528B" w:rsidRDefault="00FC1BCE" w:rsidP="007B4CA9">
            <w:pPr>
              <w:pStyle w:val="TableText"/>
              <w:cnfStyle w:val="000000000000" w:firstRow="0" w:lastRow="0" w:firstColumn="0" w:lastColumn="0" w:oddVBand="0" w:evenVBand="0" w:oddHBand="0" w:evenHBand="0" w:firstRowFirstColumn="0" w:firstRowLastColumn="0" w:lastRowFirstColumn="0" w:lastRowLastColumn="0"/>
              <w:rPr>
                <w:i/>
                <w:iCs/>
              </w:rPr>
            </w:pPr>
            <w:r w:rsidRPr="004A528B">
              <w:rPr>
                <w:i/>
                <w:iCs/>
              </w:rPr>
              <w:t>Most useful when the information to be delivered is technical or raises questions and concerns from the community that are best addressed in detail, and in a more personalised context.</w:t>
            </w:r>
          </w:p>
        </w:tc>
        <w:tc>
          <w:tcPr>
            <w:tcW w:w="1674" w:type="pct"/>
            <w:tcBorders>
              <w:top w:val="single" w:sz="4" w:space="0" w:color="auto"/>
              <w:bottom w:val="single" w:sz="4" w:space="0" w:color="auto"/>
            </w:tcBorders>
          </w:tcPr>
          <w:p w14:paraId="3A27C577"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Can be resource intensive.</w:t>
            </w:r>
          </w:p>
          <w:p w14:paraId="22CF4551"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Not all community members will engage with this format.</w:t>
            </w:r>
          </w:p>
          <w:p w14:paraId="04A2FB29" w14:textId="77777777" w:rsidR="00FC1BCE" w:rsidRPr="00FC1BCE" w:rsidRDefault="00FC1BCE" w:rsidP="007B4CA9">
            <w:pPr>
              <w:pStyle w:val="TableBullet1"/>
              <w:cnfStyle w:val="000000000000" w:firstRow="0" w:lastRow="0" w:firstColumn="0" w:lastColumn="0" w:oddVBand="0" w:evenVBand="0" w:oddHBand="0" w:evenHBand="0" w:firstRowFirstColumn="0" w:firstRowLastColumn="0" w:lastRowFirstColumn="0" w:lastRowLastColumn="0"/>
            </w:pPr>
            <w:r w:rsidRPr="00FC1BCE">
              <w:t>Ongoing legacy issues can fuel negative community sentiment</w:t>
            </w:r>
          </w:p>
          <w:p w14:paraId="7B8A195A" w14:textId="77777777" w:rsidR="00FC1BCE" w:rsidRPr="00FC1BCE" w:rsidRDefault="00FC1BCE" w:rsidP="00FC1B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37D3D" w:rsidRPr="00FC1BCE" w14:paraId="6BE36524" w14:textId="77777777" w:rsidTr="00D37D3D">
        <w:trPr>
          <w:cantSplit/>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bottom w:val="single" w:sz="4" w:space="0" w:color="auto"/>
            </w:tcBorders>
            <w:shd w:val="clear" w:color="auto" w:fill="auto"/>
          </w:tcPr>
          <w:p w14:paraId="7989BF5F" w14:textId="77777777" w:rsidR="00FC1BCE" w:rsidRPr="00FC1BCE" w:rsidRDefault="00FC1BCE" w:rsidP="005D51B0">
            <w:pPr>
              <w:pStyle w:val="TableText"/>
              <w:rPr>
                <w:rFonts w:asciiTheme="minorHAnsi" w:hAnsiTheme="minorHAnsi" w:cstheme="minorHAnsi"/>
              </w:rPr>
            </w:pPr>
            <w:r w:rsidRPr="00FC1BCE">
              <w:rPr>
                <w:rFonts w:asciiTheme="minorHAnsi" w:hAnsiTheme="minorHAnsi" w:cstheme="minorHAnsi"/>
              </w:rPr>
              <w:t>Community round table</w:t>
            </w:r>
          </w:p>
          <w:p w14:paraId="347F88F0" w14:textId="77777777" w:rsidR="00FC1BCE" w:rsidRPr="006B318F" w:rsidRDefault="00FC1BCE" w:rsidP="006B318F">
            <w:pPr>
              <w:pStyle w:val="TableText"/>
              <w:rPr>
                <w:b w:val="0"/>
                <w:bCs w:val="0"/>
              </w:rPr>
            </w:pPr>
            <w:r w:rsidRPr="006B318F">
              <w:rPr>
                <w:b w:val="0"/>
                <w:bCs w:val="0"/>
              </w:rPr>
              <w:t>(facilitated and requiring registration to attend)</w:t>
            </w:r>
          </w:p>
        </w:tc>
        <w:tc>
          <w:tcPr>
            <w:tcW w:w="2077" w:type="pct"/>
            <w:tcBorders>
              <w:top w:val="single" w:sz="4" w:space="0" w:color="auto"/>
              <w:bottom w:val="single" w:sz="4" w:space="0" w:color="auto"/>
            </w:tcBorders>
          </w:tcPr>
          <w:p w14:paraId="1BB5288B" w14:textId="77777777" w:rsidR="00FC1BCE" w:rsidRPr="00FC1BCE" w:rsidRDefault="00FC1BCE" w:rsidP="006B318F">
            <w:pPr>
              <w:pStyle w:val="TableBullet1"/>
              <w:cnfStyle w:val="000000000000" w:firstRow="0" w:lastRow="0" w:firstColumn="0" w:lastColumn="0" w:oddVBand="0" w:evenVBand="0" w:oddHBand="0" w:evenHBand="0" w:firstRowFirstColumn="0" w:firstRowLastColumn="0" w:lastRowFirstColumn="0" w:lastRowLastColumn="0"/>
            </w:pPr>
            <w:r w:rsidRPr="00FC1BCE">
              <w:t>Provides the opportunity to inform, educate, provide the facts and answer questions in a smaller and more controlled group setting. Allows all people to have their views heard and questions answered.</w:t>
            </w:r>
          </w:p>
          <w:p w14:paraId="0FE12FAB" w14:textId="77777777" w:rsidR="00FC1BCE" w:rsidRPr="00FC1BCE" w:rsidRDefault="00FC1BCE" w:rsidP="006B318F">
            <w:pPr>
              <w:pStyle w:val="TableBullet1"/>
              <w:cnfStyle w:val="000000000000" w:firstRow="0" w:lastRow="0" w:firstColumn="0" w:lastColumn="0" w:oddVBand="0" w:evenVBand="0" w:oddHBand="0" w:evenHBand="0" w:firstRowFirstColumn="0" w:firstRowLastColumn="0" w:lastRowFirstColumn="0" w:lastRowLastColumn="0"/>
            </w:pPr>
            <w:r w:rsidRPr="00FC1BCE">
              <w:t>Reduces the risk that the meeting will be hijacked by the vocal minority – maximises the opportunity for reasonable and respectful discussion.</w:t>
            </w:r>
          </w:p>
          <w:p w14:paraId="4CEE7E6C" w14:textId="77777777" w:rsidR="00FC1BCE" w:rsidRPr="00B95968" w:rsidRDefault="00FC1BCE" w:rsidP="005D51B0">
            <w:pPr>
              <w:pStyle w:val="TableText"/>
              <w:cnfStyle w:val="000000000000" w:firstRow="0" w:lastRow="0" w:firstColumn="0" w:lastColumn="0" w:oddVBand="0" w:evenVBand="0" w:oddHBand="0" w:evenHBand="0" w:firstRowFirstColumn="0" w:firstRowLastColumn="0" w:lastRowFirstColumn="0" w:lastRowLastColumn="0"/>
              <w:rPr>
                <w:i/>
                <w:iCs/>
              </w:rPr>
            </w:pPr>
            <w:r w:rsidRPr="00B95968">
              <w:rPr>
                <w:i/>
                <w:iCs/>
              </w:rPr>
              <w:t>Most useful when engagement has become heated and the message is being drowned out by enraged members of the community.</w:t>
            </w:r>
          </w:p>
        </w:tc>
        <w:tc>
          <w:tcPr>
            <w:tcW w:w="1674" w:type="pct"/>
            <w:tcBorders>
              <w:top w:val="single" w:sz="4" w:space="0" w:color="auto"/>
              <w:bottom w:val="single" w:sz="4" w:space="0" w:color="auto"/>
            </w:tcBorders>
          </w:tcPr>
          <w:p w14:paraId="7474E420" w14:textId="77777777" w:rsidR="00FC1BCE" w:rsidRPr="00FC1BCE" w:rsidRDefault="00FC1BCE" w:rsidP="00B95968">
            <w:pPr>
              <w:pStyle w:val="TableBullet1"/>
              <w:cnfStyle w:val="000000000000" w:firstRow="0" w:lastRow="0" w:firstColumn="0" w:lastColumn="0" w:oddVBand="0" w:evenVBand="0" w:oddHBand="0" w:evenHBand="0" w:firstRowFirstColumn="0" w:firstRowLastColumn="0" w:lastRowFirstColumn="0" w:lastRowLastColumn="0"/>
            </w:pPr>
            <w:r w:rsidRPr="00FC1BCE">
              <w:t>Can be resource intensive.</w:t>
            </w:r>
          </w:p>
          <w:p w14:paraId="4360993C" w14:textId="77777777" w:rsidR="00FC1BCE" w:rsidRPr="00FC1BCE" w:rsidRDefault="00FC1BCE" w:rsidP="00B95968">
            <w:pPr>
              <w:pStyle w:val="TableBullet1"/>
              <w:cnfStyle w:val="000000000000" w:firstRow="0" w:lastRow="0" w:firstColumn="0" w:lastColumn="0" w:oddVBand="0" w:evenVBand="0" w:oddHBand="0" w:evenHBand="0" w:firstRowFirstColumn="0" w:firstRowLastColumn="0" w:lastRowFirstColumn="0" w:lastRowLastColumn="0"/>
            </w:pPr>
            <w:r w:rsidRPr="00FC1BCE">
              <w:t>Not all community members will engage with this format.</w:t>
            </w:r>
          </w:p>
        </w:tc>
      </w:tr>
      <w:tr w:rsidR="00D37D3D" w:rsidRPr="00FC1BCE" w14:paraId="565EDFF4" w14:textId="77777777" w:rsidTr="00D37D3D">
        <w:trPr>
          <w:cantSplit/>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bottom w:val="single" w:sz="4" w:space="0" w:color="auto"/>
            </w:tcBorders>
            <w:shd w:val="clear" w:color="auto" w:fill="auto"/>
          </w:tcPr>
          <w:p w14:paraId="0DAC07D3" w14:textId="77777777" w:rsidR="00FC1BCE" w:rsidRPr="00FC1BCE" w:rsidRDefault="00FC1BCE" w:rsidP="005D51B0">
            <w:pPr>
              <w:pStyle w:val="TableText"/>
              <w:rPr>
                <w:rFonts w:asciiTheme="minorHAnsi" w:hAnsiTheme="minorHAnsi" w:cstheme="minorHAnsi"/>
              </w:rPr>
            </w:pPr>
            <w:r w:rsidRPr="00FC1BCE">
              <w:rPr>
                <w:rFonts w:asciiTheme="minorHAnsi" w:hAnsiTheme="minorHAnsi" w:cstheme="minorHAnsi"/>
              </w:rPr>
              <w:t>Community representative group</w:t>
            </w:r>
          </w:p>
        </w:tc>
        <w:tc>
          <w:tcPr>
            <w:tcW w:w="2077" w:type="pct"/>
            <w:tcBorders>
              <w:top w:val="single" w:sz="4" w:space="0" w:color="auto"/>
              <w:bottom w:val="single" w:sz="4" w:space="0" w:color="auto"/>
            </w:tcBorders>
          </w:tcPr>
          <w:p w14:paraId="1BB4D2F1" w14:textId="77777777" w:rsidR="00FC1BCE" w:rsidRPr="00FC1BCE" w:rsidRDefault="00FC1BCE" w:rsidP="00763C1C">
            <w:pPr>
              <w:pStyle w:val="TableBullet1"/>
              <w:cnfStyle w:val="000000000000" w:firstRow="0" w:lastRow="0" w:firstColumn="0" w:lastColumn="0" w:oddVBand="0" w:evenVBand="0" w:oddHBand="0" w:evenHBand="0" w:firstRowFirstColumn="0" w:firstRowLastColumn="0" w:lastRowFirstColumn="0" w:lastRowLastColumn="0"/>
            </w:pPr>
            <w:r w:rsidRPr="00FC1BCE">
              <w:t>Provides the opportunity for ongoing engagement with community and interest group representatives.</w:t>
            </w:r>
          </w:p>
          <w:p w14:paraId="030D1E41" w14:textId="77777777" w:rsidR="00FC1BCE" w:rsidRPr="00FC1BCE" w:rsidRDefault="00FC1BCE" w:rsidP="00763C1C">
            <w:pPr>
              <w:pStyle w:val="TableBullet1"/>
              <w:cnfStyle w:val="000000000000" w:firstRow="0" w:lastRow="0" w:firstColumn="0" w:lastColumn="0" w:oddVBand="0" w:evenVBand="0" w:oddHBand="0" w:evenHBand="0" w:firstRowFirstColumn="0" w:firstRowLastColumn="0" w:lastRowFirstColumn="0" w:lastRowLastColumn="0"/>
            </w:pPr>
            <w:r w:rsidRPr="00FC1BCE">
              <w:t xml:space="preserve">The small group format allows for concerns to be thoroughly addressed and misinformation to be corrected. </w:t>
            </w:r>
          </w:p>
          <w:p w14:paraId="294E47A8" w14:textId="77777777" w:rsidR="00FC1BCE" w:rsidRPr="00FC1BCE" w:rsidRDefault="00FC1BCE" w:rsidP="00763C1C">
            <w:pPr>
              <w:pStyle w:val="TableBullet1"/>
              <w:cnfStyle w:val="000000000000" w:firstRow="0" w:lastRow="0" w:firstColumn="0" w:lastColumn="0" w:oddVBand="0" w:evenVBand="0" w:oddHBand="0" w:evenHBand="0" w:firstRowFirstColumn="0" w:firstRowLastColumn="0" w:lastRowFirstColumn="0" w:lastRowLastColumn="0"/>
            </w:pPr>
            <w:r w:rsidRPr="00FC1BCE">
              <w:t>Allows for in-depth explanations and open dialogue.</w:t>
            </w:r>
          </w:p>
          <w:p w14:paraId="3B1FB9AC" w14:textId="77777777" w:rsidR="00FC1BCE" w:rsidRPr="00FC1BCE" w:rsidRDefault="00FC1BCE" w:rsidP="00763C1C">
            <w:pPr>
              <w:pStyle w:val="TableBullet1"/>
              <w:cnfStyle w:val="000000000000" w:firstRow="0" w:lastRow="0" w:firstColumn="0" w:lastColumn="0" w:oddVBand="0" w:evenVBand="0" w:oddHBand="0" w:evenHBand="0" w:firstRowFirstColumn="0" w:firstRowLastColumn="0" w:lastRowFirstColumn="0" w:lastRowLastColumn="0"/>
            </w:pPr>
            <w:r w:rsidRPr="00FC1BCE">
              <w:t>Helps to build trust.</w:t>
            </w:r>
          </w:p>
          <w:p w14:paraId="4B22CA75" w14:textId="77777777" w:rsidR="00FC1BCE" w:rsidRPr="00FC1BCE" w:rsidRDefault="00FC1BCE" w:rsidP="00763C1C">
            <w:pPr>
              <w:pStyle w:val="TableBullet1"/>
              <w:cnfStyle w:val="000000000000" w:firstRow="0" w:lastRow="0" w:firstColumn="0" w:lastColumn="0" w:oddVBand="0" w:evenVBand="0" w:oddHBand="0" w:evenHBand="0" w:firstRowFirstColumn="0" w:firstRowLastColumn="0" w:lastRowFirstColumn="0" w:lastRowLastColumn="0"/>
            </w:pPr>
            <w:r w:rsidRPr="00FC1BCE">
              <w:t>Provides an opportunity to test messages, information materials and engagement styles.</w:t>
            </w:r>
          </w:p>
          <w:p w14:paraId="10BDD594" w14:textId="77777777" w:rsidR="00FC1BCE" w:rsidRPr="00763C1C" w:rsidRDefault="00FC1BCE" w:rsidP="00763C1C">
            <w:pPr>
              <w:pStyle w:val="TableText"/>
              <w:cnfStyle w:val="000000000000" w:firstRow="0" w:lastRow="0" w:firstColumn="0" w:lastColumn="0" w:oddVBand="0" w:evenVBand="0" w:oddHBand="0" w:evenHBand="0" w:firstRowFirstColumn="0" w:firstRowLastColumn="0" w:lastRowFirstColumn="0" w:lastRowLastColumn="0"/>
              <w:rPr>
                <w:i/>
                <w:iCs/>
              </w:rPr>
            </w:pPr>
            <w:r w:rsidRPr="00763C1C">
              <w:rPr>
                <w:i/>
                <w:iCs/>
              </w:rPr>
              <w:t>Most useful as a forum for discussion and feedback between government and local communities.</w:t>
            </w:r>
          </w:p>
        </w:tc>
        <w:tc>
          <w:tcPr>
            <w:tcW w:w="1674" w:type="pct"/>
            <w:tcBorders>
              <w:top w:val="single" w:sz="4" w:space="0" w:color="auto"/>
              <w:bottom w:val="single" w:sz="4" w:space="0" w:color="auto"/>
            </w:tcBorders>
          </w:tcPr>
          <w:p w14:paraId="5DB757E5" w14:textId="77777777" w:rsidR="00FC1BCE" w:rsidRPr="00FC1BCE" w:rsidRDefault="00FC1BCE" w:rsidP="00DB34E7">
            <w:pPr>
              <w:pStyle w:val="TableBullet1"/>
              <w:cnfStyle w:val="000000000000" w:firstRow="0" w:lastRow="0" w:firstColumn="0" w:lastColumn="0" w:oddVBand="0" w:evenVBand="0" w:oddHBand="0" w:evenHBand="0" w:firstRowFirstColumn="0" w:firstRowLastColumn="0" w:lastRowFirstColumn="0" w:lastRowLastColumn="0"/>
            </w:pPr>
            <w:r w:rsidRPr="00FC1BCE">
              <w:t>Selection of appropriate community representatives can be difficult and create additional concerns, particularly if the wider community does not feel their views are represented well by those who put themselves forward for these roles.</w:t>
            </w:r>
          </w:p>
          <w:p w14:paraId="5DB3D0D2" w14:textId="77777777" w:rsidR="00FC1BCE" w:rsidRPr="00FC1BCE" w:rsidRDefault="00FC1BCE" w:rsidP="00DB34E7">
            <w:pPr>
              <w:pStyle w:val="TableBullet1"/>
              <w:cnfStyle w:val="000000000000" w:firstRow="0" w:lastRow="0" w:firstColumn="0" w:lastColumn="0" w:oddVBand="0" w:evenVBand="0" w:oddHBand="0" w:evenHBand="0" w:firstRowFirstColumn="0" w:firstRowLastColumn="0" w:lastRowFirstColumn="0" w:lastRowLastColumn="0"/>
            </w:pPr>
            <w:r w:rsidRPr="00FC1BCE">
              <w:t>Success relies on a chairperson or facilitator and representatives’ commitment to work together collegiately.</w:t>
            </w:r>
          </w:p>
        </w:tc>
      </w:tr>
      <w:tr w:rsidR="00D37D3D" w:rsidRPr="00FC1BCE" w14:paraId="103D3237" w14:textId="77777777" w:rsidTr="00D37D3D">
        <w:trPr>
          <w:cantSplit/>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bottom w:val="single" w:sz="4" w:space="0" w:color="auto"/>
            </w:tcBorders>
            <w:shd w:val="clear" w:color="auto" w:fill="auto"/>
          </w:tcPr>
          <w:p w14:paraId="10C2816A" w14:textId="77777777" w:rsidR="00FC1BCE" w:rsidRPr="00FC1BCE" w:rsidRDefault="00FC1BCE" w:rsidP="005D51B0">
            <w:pPr>
              <w:pStyle w:val="TableText"/>
              <w:rPr>
                <w:rFonts w:asciiTheme="minorHAnsi" w:hAnsiTheme="minorHAnsi" w:cstheme="minorHAnsi"/>
              </w:rPr>
            </w:pPr>
            <w:r w:rsidRPr="00FC1BCE">
              <w:rPr>
                <w:rFonts w:asciiTheme="minorHAnsi" w:hAnsiTheme="minorHAnsi" w:cstheme="minorHAnsi"/>
              </w:rPr>
              <w:t>Influencer briefing</w:t>
            </w:r>
          </w:p>
        </w:tc>
        <w:tc>
          <w:tcPr>
            <w:tcW w:w="2077" w:type="pct"/>
            <w:tcBorders>
              <w:top w:val="single" w:sz="4" w:space="0" w:color="auto"/>
              <w:bottom w:val="single" w:sz="4" w:space="0" w:color="auto"/>
            </w:tcBorders>
          </w:tcPr>
          <w:p w14:paraId="10EB76F5" w14:textId="77777777" w:rsidR="00FC1BCE" w:rsidRPr="00FC1BCE" w:rsidRDefault="00FC1BCE" w:rsidP="008D7CF6">
            <w:pPr>
              <w:pStyle w:val="TableBullet1"/>
              <w:ind w:left="284" w:hanging="284"/>
              <w:cnfStyle w:val="000000000000" w:firstRow="0" w:lastRow="0" w:firstColumn="0" w:lastColumn="0" w:oddVBand="0" w:evenVBand="0" w:oddHBand="0" w:evenHBand="0" w:firstRowFirstColumn="0" w:firstRowLastColumn="0" w:lastRowFirstColumn="0" w:lastRowLastColumn="0"/>
            </w:pPr>
            <w:r w:rsidRPr="00FC1BCE">
              <w:t>Provides the opportunity to inform, educate, provide the facts, and answer questions directly with the aim of influencing commentary and community sentiment.</w:t>
            </w:r>
          </w:p>
          <w:p w14:paraId="343F585E" w14:textId="77777777" w:rsidR="00FC1BCE" w:rsidRPr="00FC1BCE" w:rsidRDefault="00FC1BCE" w:rsidP="008D7CF6">
            <w:pPr>
              <w:pStyle w:val="TableBullet1"/>
              <w:ind w:left="284" w:hanging="284"/>
              <w:cnfStyle w:val="000000000000" w:firstRow="0" w:lastRow="0" w:firstColumn="0" w:lastColumn="0" w:oddVBand="0" w:evenVBand="0" w:oddHBand="0" w:evenHBand="0" w:firstRowFirstColumn="0" w:firstRowLastColumn="0" w:lastRowFirstColumn="0" w:lastRowLastColumn="0"/>
            </w:pPr>
            <w:r w:rsidRPr="00FC1BCE">
              <w:t>These influencers can then become ‘credible, trusted’ communication conduits to the broader community.</w:t>
            </w:r>
          </w:p>
          <w:p w14:paraId="7D2DCCEF" w14:textId="77777777" w:rsidR="00FC1BCE" w:rsidRPr="00FC1BCE" w:rsidRDefault="00FC1BCE" w:rsidP="000B451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451D">
              <w:rPr>
                <w:i/>
                <w:iCs/>
              </w:rPr>
              <w:t>Should be done first, so influencers are ready to respond when other engagement occurs.</w:t>
            </w:r>
          </w:p>
        </w:tc>
        <w:tc>
          <w:tcPr>
            <w:tcW w:w="1674" w:type="pct"/>
            <w:tcBorders>
              <w:top w:val="single" w:sz="4" w:space="0" w:color="auto"/>
              <w:bottom w:val="single" w:sz="4" w:space="0" w:color="auto"/>
            </w:tcBorders>
          </w:tcPr>
          <w:p w14:paraId="611BF544" w14:textId="77777777" w:rsidR="00FC1BCE" w:rsidRPr="000B451D" w:rsidRDefault="00FC1BCE" w:rsidP="000B451D">
            <w:pPr>
              <w:pStyle w:val="TableBullet1"/>
              <w:cnfStyle w:val="000000000000" w:firstRow="0" w:lastRow="0" w:firstColumn="0" w:lastColumn="0" w:oddVBand="0" w:evenVBand="0" w:oddHBand="0" w:evenHBand="0" w:firstRowFirstColumn="0" w:firstRowLastColumn="0" w:lastRowFirstColumn="0" w:lastRowLastColumn="0"/>
            </w:pPr>
            <w:r w:rsidRPr="000B451D">
              <w:t>Can be resource intensive.</w:t>
            </w:r>
          </w:p>
          <w:p w14:paraId="089D2911" w14:textId="77777777" w:rsidR="00FC1BCE" w:rsidRPr="00FC1BCE" w:rsidRDefault="00FC1BCE" w:rsidP="000B451D">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451D">
              <w:t>Influencers could use briefings as an opportunity to promote other agendas (however, they are likely to do this with or without a briefing – this way they are informed).</w:t>
            </w:r>
          </w:p>
        </w:tc>
      </w:tr>
      <w:tr w:rsidR="00D37D3D" w:rsidRPr="00FC1BCE" w14:paraId="6C2932DB" w14:textId="77777777" w:rsidTr="00D37D3D">
        <w:trPr>
          <w:cantSplit/>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bottom w:val="single" w:sz="4" w:space="0" w:color="auto"/>
            </w:tcBorders>
            <w:shd w:val="clear" w:color="auto" w:fill="auto"/>
          </w:tcPr>
          <w:p w14:paraId="16BC34EF" w14:textId="77777777" w:rsidR="00FC1BCE" w:rsidRPr="00FC1BCE" w:rsidRDefault="00FC1BCE" w:rsidP="005D51B0">
            <w:pPr>
              <w:pStyle w:val="TableText"/>
              <w:rPr>
                <w:rFonts w:asciiTheme="minorHAnsi" w:hAnsiTheme="minorHAnsi" w:cstheme="minorHAnsi"/>
              </w:rPr>
            </w:pPr>
            <w:r w:rsidRPr="00FC1BCE">
              <w:rPr>
                <w:rFonts w:asciiTheme="minorHAnsi" w:hAnsiTheme="minorHAnsi" w:cstheme="minorHAnsi"/>
              </w:rPr>
              <w:t>Targeted stakeholder meeting</w:t>
            </w:r>
          </w:p>
        </w:tc>
        <w:tc>
          <w:tcPr>
            <w:tcW w:w="2077" w:type="pct"/>
            <w:tcBorders>
              <w:top w:val="single" w:sz="4" w:space="0" w:color="auto"/>
              <w:bottom w:val="single" w:sz="4" w:space="0" w:color="auto"/>
            </w:tcBorders>
          </w:tcPr>
          <w:p w14:paraId="4D477D34" w14:textId="77777777" w:rsidR="00FC1BCE" w:rsidRPr="00E32CDE" w:rsidRDefault="00FC1BCE" w:rsidP="00E32CDE">
            <w:pPr>
              <w:pStyle w:val="TableBullet1"/>
              <w:ind w:left="284" w:hanging="284"/>
              <w:cnfStyle w:val="000000000000" w:firstRow="0" w:lastRow="0" w:firstColumn="0" w:lastColumn="0" w:oddVBand="0" w:evenVBand="0" w:oddHBand="0" w:evenHBand="0" w:firstRowFirstColumn="0" w:firstRowLastColumn="0" w:lastRowFirstColumn="0" w:lastRowLastColumn="0"/>
            </w:pPr>
            <w:r w:rsidRPr="00E32CDE">
              <w:t>Provides the opportunity to inform, educate, provide the facts specific to their issues and concerns, and answer questions.</w:t>
            </w:r>
          </w:p>
          <w:p w14:paraId="4A9B1F90" w14:textId="77777777" w:rsidR="00FC1BCE" w:rsidRPr="00E32CDE" w:rsidRDefault="00FC1BCE" w:rsidP="00E32CDE">
            <w:pPr>
              <w:pStyle w:val="TableBullet1"/>
              <w:ind w:left="284" w:hanging="284"/>
              <w:cnfStyle w:val="000000000000" w:firstRow="0" w:lastRow="0" w:firstColumn="0" w:lastColumn="0" w:oddVBand="0" w:evenVBand="0" w:oddHBand="0" w:evenHBand="0" w:firstRowFirstColumn="0" w:firstRowLastColumn="0" w:lastRowFirstColumn="0" w:lastRowLastColumn="0"/>
            </w:pPr>
            <w:r w:rsidRPr="00E32CDE">
              <w:t>Allows for in-depth explanations.</w:t>
            </w:r>
          </w:p>
          <w:p w14:paraId="3C16B1D4" w14:textId="77777777" w:rsidR="00FC1BCE" w:rsidRPr="00E32CDE" w:rsidRDefault="00FC1BCE" w:rsidP="00E32CDE">
            <w:pPr>
              <w:pStyle w:val="TableBullet1"/>
              <w:ind w:left="284" w:hanging="284"/>
              <w:cnfStyle w:val="000000000000" w:firstRow="0" w:lastRow="0" w:firstColumn="0" w:lastColumn="0" w:oddVBand="0" w:evenVBand="0" w:oddHBand="0" w:evenHBand="0" w:firstRowFirstColumn="0" w:firstRowLastColumn="0" w:lastRowFirstColumn="0" w:lastRowLastColumn="0"/>
            </w:pPr>
            <w:r w:rsidRPr="00E32CDE">
              <w:t>A targeted approach helps build positive relationships.</w:t>
            </w:r>
          </w:p>
          <w:p w14:paraId="4DB0D5AD" w14:textId="77777777" w:rsidR="00FC1BCE" w:rsidRPr="00FC1BCE" w:rsidRDefault="00FC1BCE" w:rsidP="00E32CD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2CDE">
              <w:rPr>
                <w:i/>
                <w:iCs/>
              </w:rPr>
              <w:t>Should be part of any engagement approach.</w:t>
            </w:r>
          </w:p>
        </w:tc>
        <w:tc>
          <w:tcPr>
            <w:tcW w:w="1674" w:type="pct"/>
            <w:tcBorders>
              <w:top w:val="single" w:sz="4" w:space="0" w:color="auto"/>
              <w:bottom w:val="single" w:sz="4" w:space="0" w:color="auto"/>
            </w:tcBorders>
          </w:tcPr>
          <w:p w14:paraId="14022884" w14:textId="77777777" w:rsidR="00FC1BCE" w:rsidRPr="00E32CDE" w:rsidRDefault="00FC1BCE" w:rsidP="00E32CDE">
            <w:pPr>
              <w:pStyle w:val="TableBullet1"/>
              <w:ind w:left="284" w:hanging="284"/>
              <w:cnfStyle w:val="000000000000" w:firstRow="0" w:lastRow="0" w:firstColumn="0" w:lastColumn="0" w:oddVBand="0" w:evenVBand="0" w:oddHBand="0" w:evenHBand="0" w:firstRowFirstColumn="0" w:firstRowLastColumn="0" w:lastRowFirstColumn="0" w:lastRowLastColumn="0"/>
            </w:pPr>
            <w:r w:rsidRPr="00E32CDE">
              <w:t>Can be resource intensive.</w:t>
            </w:r>
          </w:p>
          <w:p w14:paraId="31D8FB30" w14:textId="77777777" w:rsidR="00FC1BCE" w:rsidRPr="00FC1BCE" w:rsidRDefault="00FC1BCE" w:rsidP="00E32CDE">
            <w:pPr>
              <w:pStyle w:val="TableBullet1"/>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2CDE">
              <w:t>Stakeholders could use briefings as an opportunity to promote other agendas (however, they are likely to do this with or without a briefing – this way they are informed).</w:t>
            </w:r>
          </w:p>
        </w:tc>
      </w:tr>
      <w:tr w:rsidR="00D37D3D" w:rsidRPr="00FC1BCE" w14:paraId="543665B5" w14:textId="77777777" w:rsidTr="00D37D3D">
        <w:trPr>
          <w:cantSplit/>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bottom w:val="single" w:sz="4" w:space="0" w:color="auto"/>
            </w:tcBorders>
            <w:shd w:val="clear" w:color="auto" w:fill="auto"/>
          </w:tcPr>
          <w:p w14:paraId="0390F446" w14:textId="096CD0EC" w:rsidR="00FC1BCE" w:rsidRPr="00FC1BCE" w:rsidRDefault="00FC1BCE" w:rsidP="005D51B0">
            <w:pPr>
              <w:pStyle w:val="TableText"/>
              <w:rPr>
                <w:rFonts w:asciiTheme="minorHAnsi" w:hAnsiTheme="minorHAnsi" w:cstheme="minorHAnsi"/>
              </w:rPr>
            </w:pPr>
            <w:r w:rsidRPr="00FC1BCE">
              <w:rPr>
                <w:rFonts w:asciiTheme="minorHAnsi" w:hAnsiTheme="minorHAnsi" w:cstheme="minorHAnsi"/>
              </w:rPr>
              <w:t>Community co-design</w:t>
            </w:r>
          </w:p>
          <w:p w14:paraId="6AF7C684" w14:textId="77777777" w:rsidR="00FC1BCE" w:rsidRPr="001F2E9A" w:rsidRDefault="00FC1BCE" w:rsidP="001F2E9A">
            <w:pPr>
              <w:pStyle w:val="TableText"/>
              <w:rPr>
                <w:b w:val="0"/>
                <w:bCs w:val="0"/>
              </w:rPr>
            </w:pPr>
            <w:r w:rsidRPr="001F2E9A">
              <w:rPr>
                <w:b w:val="0"/>
                <w:bCs w:val="0"/>
              </w:rPr>
              <w:t>(a collaborative approach that actively involves stakeholders in the process of designing programs or activities, with the aim of ensuring the result meets their needs)</w:t>
            </w:r>
          </w:p>
        </w:tc>
        <w:tc>
          <w:tcPr>
            <w:tcW w:w="2077" w:type="pct"/>
            <w:tcBorders>
              <w:top w:val="single" w:sz="4" w:space="0" w:color="auto"/>
              <w:bottom w:val="single" w:sz="4" w:space="0" w:color="auto"/>
            </w:tcBorders>
          </w:tcPr>
          <w:p w14:paraId="3E87B2C9" w14:textId="77777777" w:rsidR="00FC1BCE" w:rsidRPr="00FC1BCE" w:rsidRDefault="00FC1BCE" w:rsidP="001F2E9A">
            <w:pPr>
              <w:pStyle w:val="TableBullet1"/>
              <w:cnfStyle w:val="000000000000" w:firstRow="0" w:lastRow="0" w:firstColumn="0" w:lastColumn="0" w:oddVBand="0" w:evenVBand="0" w:oddHBand="0" w:evenHBand="0" w:firstRowFirstColumn="0" w:firstRowLastColumn="0" w:lastRowFirstColumn="0" w:lastRowLastColumn="0"/>
            </w:pPr>
            <w:r w:rsidRPr="00FC1BCE">
              <w:t>Gives community a sense of ownership over decisions that will directly affect their lives.</w:t>
            </w:r>
          </w:p>
          <w:p w14:paraId="76E2942B" w14:textId="77777777" w:rsidR="00FC1BCE" w:rsidRPr="00FC1BCE" w:rsidRDefault="00FC1BCE" w:rsidP="001F2E9A">
            <w:pPr>
              <w:pStyle w:val="TableBullet1"/>
              <w:cnfStyle w:val="000000000000" w:firstRow="0" w:lastRow="0" w:firstColumn="0" w:lastColumn="0" w:oddVBand="0" w:evenVBand="0" w:oddHBand="0" w:evenHBand="0" w:firstRowFirstColumn="0" w:firstRowLastColumn="0" w:lastRowFirstColumn="0" w:lastRowLastColumn="0"/>
            </w:pPr>
            <w:r w:rsidRPr="00FC1BCE">
              <w:t xml:space="preserve">Builds trust and shared understanding. </w:t>
            </w:r>
          </w:p>
          <w:p w14:paraId="6D5B3CF0" w14:textId="77777777" w:rsidR="00FC1BCE" w:rsidRPr="00FC1BCE" w:rsidRDefault="00FC1BCE" w:rsidP="001F2E9A">
            <w:pPr>
              <w:pStyle w:val="TableBullet1"/>
              <w:cnfStyle w:val="000000000000" w:firstRow="0" w:lastRow="0" w:firstColumn="0" w:lastColumn="0" w:oddVBand="0" w:evenVBand="0" w:oddHBand="0" w:evenHBand="0" w:firstRowFirstColumn="0" w:firstRowLastColumn="0" w:lastRowFirstColumn="0" w:lastRowLastColumn="0"/>
            </w:pPr>
            <w:r w:rsidRPr="00FC1BCE">
              <w:t>Community input/local knowledge can improve responses.</w:t>
            </w:r>
          </w:p>
          <w:p w14:paraId="5AADF05E" w14:textId="592F3DE1" w:rsidR="00A902CC" w:rsidRPr="00A902CC" w:rsidRDefault="00FC1BCE" w:rsidP="00A902CC">
            <w:pPr>
              <w:pStyle w:val="TableText"/>
              <w:cnfStyle w:val="000000000000" w:firstRow="0" w:lastRow="0" w:firstColumn="0" w:lastColumn="0" w:oddVBand="0" w:evenVBand="0" w:oddHBand="0" w:evenHBand="0" w:firstRowFirstColumn="0" w:firstRowLastColumn="0" w:lastRowFirstColumn="0" w:lastRowLastColumn="0"/>
              <w:rPr>
                <w:i/>
                <w:iCs/>
              </w:rPr>
            </w:pPr>
            <w:r w:rsidRPr="00A902CC">
              <w:rPr>
                <w:i/>
                <w:iCs/>
              </w:rPr>
              <w:t>Beneficial in situations where there is a readiness to collaborate, a shared understanding of available options, and follow-through to implement agreed actions.</w:t>
            </w:r>
          </w:p>
          <w:p w14:paraId="603DC530" w14:textId="5DEB2DFF" w:rsidR="00A902CC" w:rsidRPr="003F7420" w:rsidRDefault="00A902CC" w:rsidP="00A902CC">
            <w:pPr>
              <w:pStyle w:val="TableText"/>
              <w:cnfStyle w:val="000000000000" w:firstRow="0" w:lastRow="0" w:firstColumn="0" w:lastColumn="0" w:oddVBand="0" w:evenVBand="0" w:oddHBand="0" w:evenHBand="0" w:firstRowFirstColumn="0" w:firstRowLastColumn="0" w:lastRowFirstColumn="0" w:lastRowLastColumn="0"/>
            </w:pPr>
            <w:r w:rsidRPr="00A902CC">
              <w:t>A Community Co-design Framework and step-by-step Implementation Guide is available from the Commonwealth Department of the Environment and Energy.</w:t>
            </w:r>
          </w:p>
        </w:tc>
        <w:tc>
          <w:tcPr>
            <w:tcW w:w="1674" w:type="pct"/>
            <w:tcBorders>
              <w:top w:val="single" w:sz="4" w:space="0" w:color="auto"/>
              <w:bottom w:val="single" w:sz="4" w:space="0" w:color="auto"/>
            </w:tcBorders>
          </w:tcPr>
          <w:p w14:paraId="3CC2A1F9" w14:textId="77777777" w:rsidR="00FC1BCE" w:rsidRPr="00FC1BCE" w:rsidRDefault="00FC1BCE" w:rsidP="003F7420">
            <w:pPr>
              <w:pStyle w:val="TableBullet1"/>
              <w:cnfStyle w:val="000000000000" w:firstRow="0" w:lastRow="0" w:firstColumn="0" w:lastColumn="0" w:oddVBand="0" w:evenVBand="0" w:oddHBand="0" w:evenHBand="0" w:firstRowFirstColumn="0" w:firstRowLastColumn="0" w:lastRowFirstColumn="0" w:lastRowLastColumn="0"/>
            </w:pPr>
            <w:r w:rsidRPr="00FC1BCE">
              <w:t xml:space="preserve">Not appropriate for all situations. </w:t>
            </w:r>
          </w:p>
          <w:p w14:paraId="11CC97A4" w14:textId="77777777" w:rsidR="00FC1BCE" w:rsidRPr="00FC1BCE" w:rsidRDefault="00FC1BCE" w:rsidP="003F7420">
            <w:pPr>
              <w:pStyle w:val="TableBullet1"/>
              <w:cnfStyle w:val="000000000000" w:firstRow="0" w:lastRow="0" w:firstColumn="0" w:lastColumn="0" w:oddVBand="0" w:evenVBand="0" w:oddHBand="0" w:evenHBand="0" w:firstRowFirstColumn="0" w:firstRowLastColumn="0" w:lastRowFirstColumn="0" w:lastRowLastColumn="0"/>
            </w:pPr>
            <w:r w:rsidRPr="00FC1BCE">
              <w:t>Clear and enduring mandate required.</w:t>
            </w:r>
          </w:p>
          <w:p w14:paraId="70E21B4F" w14:textId="77777777" w:rsidR="00FC1BCE" w:rsidRPr="00FC1BCE" w:rsidRDefault="00FC1BCE" w:rsidP="003F7420">
            <w:pPr>
              <w:pStyle w:val="TableBullet1"/>
              <w:cnfStyle w:val="000000000000" w:firstRow="0" w:lastRow="0" w:firstColumn="0" w:lastColumn="0" w:oddVBand="0" w:evenVBand="0" w:oddHBand="0" w:evenHBand="0" w:firstRowFirstColumn="0" w:firstRowLastColumn="0" w:lastRowFirstColumn="0" w:lastRowLastColumn="0"/>
            </w:pPr>
            <w:r w:rsidRPr="00FC1BCE">
              <w:t xml:space="preserve">Resource intensive, and could require ongoing, long-term effort beyond initial plan. </w:t>
            </w:r>
          </w:p>
          <w:p w14:paraId="2D3E9066" w14:textId="77777777" w:rsidR="00FC1BCE" w:rsidRPr="00FC1BCE" w:rsidRDefault="00FC1BCE" w:rsidP="00FC1B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60BA517" w14:textId="70D060B4" w:rsidR="000761AD" w:rsidRDefault="00BD1E3A" w:rsidP="007F0FD0">
      <w:pPr>
        <w:pStyle w:val="Heading2"/>
        <w:pageBreakBefore/>
      </w:pPr>
      <w:bookmarkStart w:id="24" w:name="_Toc47106375"/>
      <w:r w:rsidRPr="00BD1E3A">
        <w:t>ATTACHMENT 2: IDENTIFYING STAKEHOLDERS</w:t>
      </w:r>
      <w:bookmarkEnd w:id="24"/>
    </w:p>
    <w:tbl>
      <w:tblPr>
        <w:tblStyle w:val="LightList-Accent21"/>
        <w:tblW w:w="9356" w:type="dxa"/>
        <w:tblInd w:w="-152" w:type="dxa"/>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2269"/>
        <w:gridCol w:w="7087"/>
      </w:tblGrid>
      <w:tr w:rsidR="00110640" w:rsidRPr="00110640" w14:paraId="73ACFA75" w14:textId="77777777" w:rsidTr="003014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auto"/>
          </w:tcPr>
          <w:p w14:paraId="3B9CD974" w14:textId="77777777" w:rsidR="00110640" w:rsidRPr="00776657" w:rsidRDefault="00110640" w:rsidP="00776657">
            <w:pPr>
              <w:pStyle w:val="TableHeading"/>
              <w:rPr>
                <w:b/>
                <w:bCs w:val="0"/>
                <w:color w:val="auto"/>
              </w:rPr>
            </w:pPr>
            <w:r w:rsidRPr="00776657">
              <w:rPr>
                <w:b/>
                <w:bCs w:val="0"/>
                <w:color w:val="auto"/>
              </w:rPr>
              <w:t>Stakeholder</w:t>
            </w:r>
          </w:p>
        </w:tc>
        <w:tc>
          <w:tcPr>
            <w:tcW w:w="7087" w:type="dxa"/>
            <w:tcBorders>
              <w:top w:val="single" w:sz="4" w:space="0" w:color="auto"/>
              <w:bottom w:val="single" w:sz="4" w:space="0" w:color="auto"/>
            </w:tcBorders>
            <w:shd w:val="clear" w:color="auto" w:fill="auto"/>
          </w:tcPr>
          <w:p w14:paraId="0B4F1388" w14:textId="77777777" w:rsidR="00110640" w:rsidRPr="00776657" w:rsidRDefault="00110640" w:rsidP="00776657">
            <w:pPr>
              <w:pStyle w:val="TableHeading"/>
              <w:cnfStyle w:val="100000000000" w:firstRow="1" w:lastRow="0" w:firstColumn="0" w:lastColumn="0" w:oddVBand="0" w:evenVBand="0" w:oddHBand="0" w:evenHBand="0" w:firstRowFirstColumn="0" w:firstRowLastColumn="0" w:lastRowFirstColumn="0" w:lastRowLastColumn="0"/>
              <w:rPr>
                <w:b/>
                <w:bCs w:val="0"/>
                <w:color w:val="auto"/>
              </w:rPr>
            </w:pPr>
            <w:r w:rsidRPr="00776657">
              <w:rPr>
                <w:b/>
                <w:bCs w:val="0"/>
                <w:color w:val="auto"/>
              </w:rPr>
              <w:t>Reason for engagement</w:t>
            </w:r>
          </w:p>
        </w:tc>
      </w:tr>
      <w:tr w:rsidR="00110640" w:rsidRPr="00110640" w14:paraId="5CDFD5C0" w14:textId="77777777" w:rsidTr="003014F9">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none" w:sz="0" w:space="0" w:color="auto"/>
              <w:bottom w:val="single" w:sz="4" w:space="0" w:color="auto"/>
            </w:tcBorders>
            <w:shd w:val="clear" w:color="auto" w:fill="auto"/>
          </w:tcPr>
          <w:p w14:paraId="4E11413B" w14:textId="77777777" w:rsidR="00110640" w:rsidRPr="00110640" w:rsidRDefault="00110640" w:rsidP="00776657">
            <w:pPr>
              <w:pStyle w:val="TableText"/>
            </w:pPr>
            <w:r w:rsidRPr="00110640">
              <w:t>Affected communities</w:t>
            </w:r>
          </w:p>
        </w:tc>
        <w:tc>
          <w:tcPr>
            <w:tcW w:w="7087" w:type="dxa"/>
            <w:tcBorders>
              <w:top w:val="single" w:sz="4" w:space="0" w:color="auto"/>
              <w:bottom w:val="single" w:sz="4" w:space="0" w:color="auto"/>
              <w:right w:val="none" w:sz="0" w:space="0" w:color="auto"/>
            </w:tcBorders>
            <w:shd w:val="clear" w:color="auto" w:fill="auto"/>
          </w:tcPr>
          <w:p w14:paraId="07004F7A"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pPr>
            <w:r w:rsidRPr="00110640">
              <w:t>These communities’ reactions to government responses to PFAS have shaped the national conversation to date, and are likely to continue to do so in the near future.</w:t>
            </w:r>
          </w:p>
          <w:p w14:paraId="31F5A309"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pPr>
            <w:r w:rsidRPr="00110640">
              <w:t>Community members need to receive timely, open, transparent and consistent information about what PFAS contamination means for them. Some people may have to change their behaviour to reduce risk of exposure.</w:t>
            </w:r>
          </w:p>
          <w:p w14:paraId="377C4E16"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pPr>
            <w:r w:rsidRPr="00110640">
              <w:t>These communities are concerned about health effects and loss of property value, and some people are experiencing anxiety and anger.</w:t>
            </w:r>
          </w:p>
          <w:p w14:paraId="36CC7636"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pPr>
            <w:r w:rsidRPr="00110640">
              <w:t>Communities can impart local knowledge and/or ideas to assist with effective responses to PFAS contamination in their area.</w:t>
            </w:r>
          </w:p>
        </w:tc>
      </w:tr>
      <w:tr w:rsidR="00110640" w:rsidRPr="00110640" w14:paraId="2CFCE477" w14:textId="77777777" w:rsidTr="003014F9">
        <w:trPr>
          <w:cantSplit/>
          <w:trHeight w:val="1517"/>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auto"/>
          </w:tcPr>
          <w:p w14:paraId="12180251"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National media</w:t>
            </w:r>
          </w:p>
        </w:tc>
        <w:tc>
          <w:tcPr>
            <w:tcW w:w="7087" w:type="dxa"/>
            <w:tcBorders>
              <w:top w:val="single" w:sz="4" w:space="0" w:color="auto"/>
              <w:bottom w:val="single" w:sz="4" w:space="0" w:color="auto"/>
            </w:tcBorders>
            <w:shd w:val="clear" w:color="auto" w:fill="auto"/>
          </w:tcPr>
          <w:p w14:paraId="3E1D8F8E"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The national media is valued by the community as a regular source of information and opinion.</w:t>
            </w:r>
          </w:p>
          <w:p w14:paraId="0F1901EC"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National media will shape the public conversation about PFAS.</w:t>
            </w:r>
          </w:p>
          <w:p w14:paraId="4D6B6B36"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Providing factual information will help ensure media coverage is more balanced.</w:t>
            </w:r>
          </w:p>
        </w:tc>
      </w:tr>
      <w:tr w:rsidR="00110640" w:rsidRPr="00110640" w14:paraId="3D7A30BD" w14:textId="77777777" w:rsidTr="003014F9">
        <w:trPr>
          <w:cnfStyle w:val="000000100000" w:firstRow="0" w:lastRow="0" w:firstColumn="0" w:lastColumn="0" w:oddVBand="0" w:evenVBand="0" w:oddHBand="1" w:evenHBand="0" w:firstRowFirstColumn="0" w:firstRowLastColumn="0" w:lastRowFirstColumn="0" w:lastRowLastColumn="0"/>
          <w:cantSplit/>
          <w:trHeight w:val="1172"/>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none" w:sz="0" w:space="0" w:color="auto"/>
              <w:bottom w:val="single" w:sz="4" w:space="0" w:color="auto"/>
            </w:tcBorders>
            <w:shd w:val="clear" w:color="auto" w:fill="auto"/>
          </w:tcPr>
          <w:p w14:paraId="7CD567A4"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Local media</w:t>
            </w:r>
          </w:p>
        </w:tc>
        <w:tc>
          <w:tcPr>
            <w:tcW w:w="7087" w:type="dxa"/>
            <w:tcBorders>
              <w:top w:val="single" w:sz="4" w:space="0" w:color="auto"/>
              <w:bottom w:val="single" w:sz="4" w:space="0" w:color="auto"/>
              <w:right w:val="none" w:sz="0" w:space="0" w:color="auto"/>
            </w:tcBorders>
            <w:shd w:val="clear" w:color="auto" w:fill="auto"/>
          </w:tcPr>
          <w:p w14:paraId="21F60A8C"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Local media is valued by communities as a regular source of information and opinion, and often as a ‘defender’ of communities’ interests.</w:t>
            </w:r>
          </w:p>
          <w:p w14:paraId="76FF5C05"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Providing factual information will help ensure media coverage is more balanced.</w:t>
            </w:r>
          </w:p>
        </w:tc>
      </w:tr>
      <w:tr w:rsidR="00110640" w:rsidRPr="00110640" w14:paraId="26063448" w14:textId="77777777" w:rsidTr="003014F9">
        <w:trPr>
          <w:cantSplit/>
          <w:trHeight w:val="1517"/>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auto"/>
          </w:tcPr>
          <w:p w14:paraId="13ACA57E"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Local government</w:t>
            </w:r>
          </w:p>
        </w:tc>
        <w:tc>
          <w:tcPr>
            <w:tcW w:w="7087" w:type="dxa"/>
            <w:tcBorders>
              <w:top w:val="single" w:sz="4" w:space="0" w:color="auto"/>
              <w:bottom w:val="single" w:sz="4" w:space="0" w:color="auto"/>
            </w:tcBorders>
            <w:shd w:val="clear" w:color="auto" w:fill="auto"/>
          </w:tcPr>
          <w:p w14:paraId="61559CA7" w14:textId="5A4DEEB3"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Where local government is not otherwise involved (for example, as an airport owner), they may be engaged as a stakeholder.</w:t>
            </w:r>
          </w:p>
          <w:p w14:paraId="2C679041"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Residents and local media may look to what local government is saying. They may also seek more information from them.</w:t>
            </w:r>
          </w:p>
          <w:p w14:paraId="1C15E26F"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Providing information to local government will help dispel misunderstandings, increase opportunities for a balanced narrative and mitigate the risk of the issue escalating in the media.</w:t>
            </w:r>
          </w:p>
          <w:p w14:paraId="0E9C877B"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 xml:space="preserve">Additionally, Local Government may be responsible for managing recreational water bodies affected by PFAS. Engaging them early will assist in consistent and informed decision-making in relation to precautionary actions and advice. </w:t>
            </w:r>
          </w:p>
        </w:tc>
      </w:tr>
      <w:tr w:rsidR="00110640" w:rsidRPr="00110640" w14:paraId="361F0FEC" w14:textId="77777777" w:rsidTr="003014F9">
        <w:trPr>
          <w:cnfStyle w:val="000000100000" w:firstRow="0" w:lastRow="0" w:firstColumn="0" w:lastColumn="0" w:oddVBand="0" w:evenVBand="0" w:oddHBand="1" w:evenHBand="0" w:firstRowFirstColumn="0" w:firstRowLastColumn="0" w:lastRowFirstColumn="0" w:lastRowLastColumn="0"/>
          <w:cantSplit/>
          <w:trHeight w:val="914"/>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none" w:sz="0" w:space="0" w:color="auto"/>
              <w:bottom w:val="single" w:sz="4" w:space="0" w:color="auto"/>
            </w:tcBorders>
            <w:shd w:val="clear" w:color="auto" w:fill="auto"/>
          </w:tcPr>
          <w:p w14:paraId="57106348"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Health related groups</w:t>
            </w:r>
          </w:p>
        </w:tc>
        <w:tc>
          <w:tcPr>
            <w:tcW w:w="7087" w:type="dxa"/>
            <w:tcBorders>
              <w:top w:val="single" w:sz="4" w:space="0" w:color="auto"/>
              <w:bottom w:val="single" w:sz="4" w:space="0" w:color="auto"/>
              <w:right w:val="none" w:sz="0" w:space="0" w:color="auto"/>
            </w:tcBorders>
            <w:shd w:val="clear" w:color="auto" w:fill="auto"/>
          </w:tcPr>
          <w:p w14:paraId="2ABD92AE"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Local GPs are trusted by community members about health issues.</w:t>
            </w:r>
          </w:p>
          <w:p w14:paraId="45B0E8AA"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Health groups need information to have informed discussions with their patients.</w:t>
            </w:r>
          </w:p>
          <w:p w14:paraId="2EDA983A"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Media seek comment from medical professionals about health risks.</w:t>
            </w:r>
          </w:p>
          <w:p w14:paraId="130EB414"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 xml:space="preserve">Health groups can be a valuable conduit to communicate health messages. </w:t>
            </w:r>
          </w:p>
        </w:tc>
      </w:tr>
      <w:tr w:rsidR="00110640" w:rsidRPr="00110640" w14:paraId="29069ADC" w14:textId="77777777" w:rsidTr="003014F9">
        <w:trPr>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auto"/>
          </w:tcPr>
          <w:p w14:paraId="60B2B476"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Financial bodies</w:t>
            </w:r>
          </w:p>
        </w:tc>
        <w:tc>
          <w:tcPr>
            <w:tcW w:w="7087" w:type="dxa"/>
            <w:tcBorders>
              <w:top w:val="single" w:sz="4" w:space="0" w:color="auto"/>
              <w:bottom w:val="single" w:sz="4" w:space="0" w:color="auto"/>
            </w:tcBorders>
            <w:shd w:val="clear" w:color="auto" w:fill="auto"/>
          </w:tcPr>
          <w:p w14:paraId="42C20A01"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Providing financial bodies with a better understanding of the risks of PFAS contamination and the response strategies underway will help them make informed and rational decisions, based on facts.</w:t>
            </w:r>
          </w:p>
        </w:tc>
      </w:tr>
      <w:tr w:rsidR="00110640" w:rsidRPr="00110640" w14:paraId="00F214DD" w14:textId="77777777" w:rsidTr="003014F9">
        <w:trPr>
          <w:cnfStyle w:val="000000100000" w:firstRow="0" w:lastRow="0" w:firstColumn="0" w:lastColumn="0" w:oddVBand="0" w:evenVBand="0" w:oddHBand="1" w:evenHBand="0" w:firstRowFirstColumn="0" w:firstRowLastColumn="0" w:lastRowFirstColumn="0" w:lastRowLastColumn="0"/>
          <w:cantSplit/>
          <w:trHeight w:val="175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none" w:sz="0" w:space="0" w:color="auto"/>
              <w:bottom w:val="single" w:sz="4" w:space="0" w:color="auto"/>
            </w:tcBorders>
            <w:shd w:val="clear" w:color="auto" w:fill="auto"/>
          </w:tcPr>
          <w:p w14:paraId="7D6FC33C"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Key local agricultural groups</w:t>
            </w:r>
          </w:p>
        </w:tc>
        <w:tc>
          <w:tcPr>
            <w:tcW w:w="7087" w:type="dxa"/>
            <w:tcBorders>
              <w:top w:val="single" w:sz="4" w:space="0" w:color="auto"/>
              <w:bottom w:val="single" w:sz="4" w:space="0" w:color="auto"/>
              <w:right w:val="none" w:sz="0" w:space="0" w:color="auto"/>
            </w:tcBorders>
            <w:shd w:val="clear" w:color="auto" w:fill="auto"/>
          </w:tcPr>
          <w:p w14:paraId="43A1C26B"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Organisations in and around investigation areas need to know what the implications are for them. Some of their members may have to change their operating practices.</w:t>
            </w:r>
          </w:p>
          <w:p w14:paraId="2FAC52D2"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Engaging with these organisations could help correct misconceptions about the effect of PFAS contamination on agricultural and aquacultural industries.</w:t>
            </w:r>
          </w:p>
        </w:tc>
      </w:tr>
      <w:tr w:rsidR="00110640" w:rsidRPr="00110640" w14:paraId="02EC2AFB" w14:textId="77777777" w:rsidTr="003014F9">
        <w:trPr>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auto"/>
          </w:tcPr>
          <w:p w14:paraId="62171C34"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Federal and state/territory Members and Senators</w:t>
            </w:r>
          </w:p>
        </w:tc>
        <w:tc>
          <w:tcPr>
            <w:tcW w:w="7087" w:type="dxa"/>
            <w:tcBorders>
              <w:top w:val="single" w:sz="4" w:space="0" w:color="auto"/>
              <w:bottom w:val="single" w:sz="4" w:space="0" w:color="auto"/>
            </w:tcBorders>
            <w:shd w:val="clear" w:color="auto" w:fill="auto"/>
          </w:tcPr>
          <w:p w14:paraId="2BA1E064"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Members and Senators’ constituents may be concerned about what PFAS contamination means for them.</w:t>
            </w:r>
          </w:p>
          <w:p w14:paraId="7C2A3809"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Members and Senators represent the concerns of their constituents and could seek to do this via the media.</w:t>
            </w:r>
          </w:p>
          <w:p w14:paraId="7AB4BE0E"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Providing information and briefings to Members and Senators will help dispel misunderstandings, increase opportunities for a balanced narrative and mitigate the risk of the issue escalating in the media.</w:t>
            </w:r>
          </w:p>
        </w:tc>
      </w:tr>
      <w:tr w:rsidR="00110640" w:rsidRPr="00110640" w14:paraId="12B2A62E" w14:textId="77777777" w:rsidTr="003014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none" w:sz="0" w:space="0" w:color="auto"/>
              <w:bottom w:val="single" w:sz="4" w:space="0" w:color="auto"/>
            </w:tcBorders>
            <w:shd w:val="clear" w:color="auto" w:fill="auto"/>
          </w:tcPr>
          <w:p w14:paraId="39399775"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Airport operators and tenants</w:t>
            </w:r>
          </w:p>
        </w:tc>
        <w:tc>
          <w:tcPr>
            <w:tcW w:w="7087" w:type="dxa"/>
            <w:tcBorders>
              <w:top w:val="single" w:sz="4" w:space="0" w:color="auto"/>
              <w:bottom w:val="single" w:sz="4" w:space="0" w:color="auto"/>
              <w:right w:val="none" w:sz="0" w:space="0" w:color="auto"/>
            </w:tcBorders>
            <w:shd w:val="clear" w:color="auto" w:fill="auto"/>
          </w:tcPr>
          <w:p w14:paraId="717426CA"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Organisations in and around airports where aqueous film-forming foam (AFFF) has been used need to know what the implications are for them. Some of their members may have to change their operating practices including their use of products containing PFAS and/or they may need to take some responsibility for contamination management.</w:t>
            </w:r>
          </w:p>
          <w:p w14:paraId="10010893"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Engaging these bodies may limit confusion and inconsistency.</w:t>
            </w:r>
          </w:p>
        </w:tc>
      </w:tr>
      <w:tr w:rsidR="00110640" w:rsidRPr="00110640" w14:paraId="23DB7B31" w14:textId="77777777" w:rsidTr="003014F9">
        <w:trPr>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auto"/>
          </w:tcPr>
          <w:p w14:paraId="6A9DDDB8"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 xml:space="preserve">Peak associations and unions </w:t>
            </w:r>
          </w:p>
        </w:tc>
        <w:tc>
          <w:tcPr>
            <w:tcW w:w="7087" w:type="dxa"/>
            <w:tcBorders>
              <w:top w:val="single" w:sz="4" w:space="0" w:color="auto"/>
              <w:bottom w:val="single" w:sz="4" w:space="0" w:color="auto"/>
            </w:tcBorders>
            <w:shd w:val="clear" w:color="auto" w:fill="auto"/>
          </w:tcPr>
          <w:p w14:paraId="454FBFB9"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Associations and unions seek to represent the concerns of their members and may do so via the media.</w:t>
            </w:r>
          </w:p>
          <w:p w14:paraId="1F7AFAEB"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Associations and unions may lobby governments on behalf of their members – seeking policy responses that do not negatively impact their members or sector.</w:t>
            </w:r>
          </w:p>
          <w:p w14:paraId="4BF8D3A0" w14:textId="77777777"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Providing information and briefings will help reduce misunderstandings and can reduce the risk of disagreements playing out in the media.</w:t>
            </w:r>
          </w:p>
        </w:tc>
      </w:tr>
      <w:tr w:rsidR="00110640" w:rsidRPr="00110640" w14:paraId="61EEF88A" w14:textId="77777777" w:rsidTr="003014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none" w:sz="0" w:space="0" w:color="auto"/>
              <w:bottom w:val="single" w:sz="4" w:space="0" w:color="auto"/>
            </w:tcBorders>
            <w:shd w:val="clear" w:color="auto" w:fill="auto"/>
          </w:tcPr>
          <w:p w14:paraId="3611C704"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Remediation industry and researchers</w:t>
            </w:r>
          </w:p>
        </w:tc>
        <w:tc>
          <w:tcPr>
            <w:tcW w:w="7087" w:type="dxa"/>
            <w:tcBorders>
              <w:top w:val="single" w:sz="4" w:space="0" w:color="auto"/>
              <w:bottom w:val="single" w:sz="4" w:space="0" w:color="auto"/>
              <w:right w:val="none" w:sz="0" w:space="0" w:color="auto"/>
            </w:tcBorders>
            <w:shd w:val="clear" w:color="auto" w:fill="auto"/>
          </w:tcPr>
          <w:p w14:paraId="630CB17A"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Engaging with these organisations will promote open communication about remediation work and options.</w:t>
            </w:r>
          </w:p>
          <w:p w14:paraId="79018B08"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The remediation industry and researchers can be an authoritative voice about remediation options and research into health effects.</w:t>
            </w:r>
          </w:p>
          <w:p w14:paraId="4B3F9975" w14:textId="77777777" w:rsidR="00110640" w:rsidRPr="00110640" w:rsidRDefault="00110640" w:rsidP="00B46051">
            <w:pPr>
              <w:pStyle w:val="TableBulle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Media is likely to seek comment on research and remediation options.</w:t>
            </w:r>
          </w:p>
        </w:tc>
      </w:tr>
      <w:tr w:rsidR="00110640" w:rsidRPr="00110640" w14:paraId="016FBFFB" w14:textId="77777777" w:rsidTr="003014F9">
        <w:trPr>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tcBorders>
            <w:shd w:val="clear" w:color="auto" w:fill="auto"/>
          </w:tcPr>
          <w:p w14:paraId="27C1BA93" w14:textId="77777777" w:rsidR="00110640" w:rsidRPr="00110640" w:rsidRDefault="00110640" w:rsidP="00776657">
            <w:pPr>
              <w:pStyle w:val="TableText"/>
              <w:rPr>
                <w:rFonts w:asciiTheme="minorHAnsi" w:hAnsiTheme="minorHAnsi" w:cstheme="minorHAnsi"/>
              </w:rPr>
            </w:pPr>
            <w:r w:rsidRPr="00110640">
              <w:rPr>
                <w:rFonts w:asciiTheme="minorHAnsi" w:hAnsiTheme="minorHAnsi" w:cstheme="minorHAnsi"/>
              </w:rPr>
              <w:t>Licensed water providers in states and territories</w:t>
            </w:r>
          </w:p>
        </w:tc>
        <w:tc>
          <w:tcPr>
            <w:tcW w:w="7087" w:type="dxa"/>
            <w:tcBorders>
              <w:top w:val="single" w:sz="4" w:space="0" w:color="auto"/>
            </w:tcBorders>
            <w:shd w:val="clear" w:color="auto" w:fill="auto"/>
          </w:tcPr>
          <w:p w14:paraId="4E1F5738" w14:textId="5699A780"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Water providers are responsible for water services within a state/territory, including potable and non-potable water supply, sewerage, irrigation and drainage.</w:t>
            </w:r>
          </w:p>
          <w:p w14:paraId="2361D391" w14:textId="67A596DE"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Engaging with these organisations will assist them in making decisions about water supply and provide them with guidance on drinking and recreational water levels.</w:t>
            </w:r>
          </w:p>
          <w:p w14:paraId="7AFE1B71" w14:textId="3B73E1AE" w:rsidR="00110640" w:rsidRPr="00110640" w:rsidRDefault="00110640" w:rsidP="00B46051">
            <w:pPr>
              <w:pStyle w:val="TableBulle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0640">
              <w:rPr>
                <w:rFonts w:asciiTheme="minorHAnsi" w:hAnsiTheme="minorHAnsi" w:cstheme="minorHAnsi"/>
              </w:rPr>
              <w:t>They can also provide assurance to the community regarding the safety of the water supply.</w:t>
            </w:r>
          </w:p>
        </w:tc>
      </w:tr>
    </w:tbl>
    <w:p w14:paraId="47A8B5BF" w14:textId="13C5FA84" w:rsidR="000761AD" w:rsidRDefault="00C74991" w:rsidP="004C184C">
      <w:pPr>
        <w:pStyle w:val="Heading2"/>
        <w:pageBreakBefore/>
      </w:pPr>
      <w:bookmarkStart w:id="25" w:name="_Toc47106376"/>
      <w:r w:rsidRPr="00C74991">
        <w:t>ATTACHMENT 3: CASE STUDY</w:t>
      </w:r>
      <w:bookmarkEnd w:id="25"/>
    </w:p>
    <w:p w14:paraId="1C53507C" w14:textId="77777777" w:rsidR="00982B95" w:rsidRPr="00892009" w:rsidRDefault="00982B95" w:rsidP="00D222E3">
      <w:r w:rsidRPr="00892009">
        <w:t>Government agencies encounter a wide range of issues relating to PFAS. Issues are not always problems, rather an issue could be any situation that governments must respond to in a coordinated and strategic way. Issues could include (but are not limited to):</w:t>
      </w:r>
    </w:p>
    <w:p w14:paraId="434370B9" w14:textId="77777777" w:rsidR="00982B95" w:rsidRPr="00892009" w:rsidRDefault="00982B95" w:rsidP="00982B95">
      <w:pPr>
        <w:pStyle w:val="ListBullet"/>
      </w:pPr>
      <w:r w:rsidRPr="00892009">
        <w:t>new information about a site investigation;</w:t>
      </w:r>
    </w:p>
    <w:p w14:paraId="0D485495" w14:textId="77777777" w:rsidR="00982B95" w:rsidRPr="00892009" w:rsidRDefault="00982B95" w:rsidP="00982B95">
      <w:pPr>
        <w:pStyle w:val="ListBullet"/>
      </w:pPr>
      <w:r w:rsidRPr="00892009">
        <w:t>accidental discharge of a product containing PFAS into the environment;</w:t>
      </w:r>
    </w:p>
    <w:p w14:paraId="2AE196C5" w14:textId="77777777" w:rsidR="00982B95" w:rsidRPr="00892009" w:rsidRDefault="00982B95" w:rsidP="00982B95">
      <w:pPr>
        <w:pStyle w:val="ListBullet"/>
      </w:pPr>
      <w:r w:rsidRPr="00892009">
        <w:t>factually incorrect or inflammatory media coverage;</w:t>
      </w:r>
    </w:p>
    <w:p w14:paraId="2B61D7B6" w14:textId="77777777" w:rsidR="00982B95" w:rsidRPr="00892009" w:rsidRDefault="00982B95" w:rsidP="00982B95">
      <w:pPr>
        <w:pStyle w:val="ListBullet"/>
      </w:pPr>
      <w:r w:rsidRPr="00892009">
        <w:t>new health advice;</w:t>
      </w:r>
    </w:p>
    <w:p w14:paraId="639D3A48" w14:textId="77777777" w:rsidR="00982B95" w:rsidRPr="00892009" w:rsidRDefault="00982B95" w:rsidP="00982B95">
      <w:pPr>
        <w:pStyle w:val="ListBullet"/>
      </w:pPr>
      <w:r w:rsidRPr="00892009">
        <w:t>new advice to international trading partners about PFAS levels in Australian products;</w:t>
      </w:r>
    </w:p>
    <w:p w14:paraId="21D1BBD8" w14:textId="77777777" w:rsidR="00982B95" w:rsidRPr="00892009" w:rsidRDefault="00982B95" w:rsidP="00982B95">
      <w:pPr>
        <w:pStyle w:val="ListBullet"/>
      </w:pPr>
      <w:r w:rsidRPr="00892009">
        <w:t>a new international environmental standard; or</w:t>
      </w:r>
    </w:p>
    <w:p w14:paraId="061FFF3A" w14:textId="77777777" w:rsidR="00982B95" w:rsidRPr="00892009" w:rsidRDefault="00982B95" w:rsidP="00982B95">
      <w:pPr>
        <w:pStyle w:val="ListBullet"/>
      </w:pPr>
      <w:r w:rsidRPr="00892009">
        <w:t xml:space="preserve">a new state/territory environmental management policy </w:t>
      </w:r>
      <w:r>
        <w:t xml:space="preserve">or regulatory </w:t>
      </w:r>
      <w:r w:rsidRPr="00892009">
        <w:t>announcement.</w:t>
      </w:r>
    </w:p>
    <w:p w14:paraId="4BE27165" w14:textId="77777777" w:rsidR="00982B95" w:rsidRDefault="00982B95" w:rsidP="00D222E3">
      <w:pPr>
        <w:rPr>
          <w:rFonts w:eastAsia="Arial"/>
        </w:rPr>
      </w:pPr>
      <w:r w:rsidRPr="00892009">
        <w:rPr>
          <w:lang w:eastAsia="ja-JP"/>
        </w:rPr>
        <w:t xml:space="preserve">The case study below shows how the communication and engagement principles can be applied in practice and how information should be shared across jurisdictions. </w:t>
      </w:r>
      <w:r w:rsidRPr="00892009">
        <w:rPr>
          <w:rFonts w:eastAsia="Arial"/>
        </w:rPr>
        <w:t>There is no ‘one-size-fits-all’ model – communication and engagement needs to be tailored for every issue.</w:t>
      </w:r>
    </w:p>
    <w:p w14:paraId="7D3830C2" w14:textId="129930B3" w:rsidR="00982B95" w:rsidRDefault="00FF2405" w:rsidP="002C50B3">
      <w:pPr>
        <w:pStyle w:val="Heading3"/>
      </w:pPr>
      <w:bookmarkStart w:id="26" w:name="_Toc47106377"/>
      <w:r>
        <w:t xml:space="preserve">Case Study: </w:t>
      </w:r>
      <w:r w:rsidR="002C50B3" w:rsidRPr="002C50B3">
        <w:t>Accidental discharge of PFAS into the environment</w:t>
      </w:r>
      <w:bookmarkEnd w:id="26"/>
    </w:p>
    <w:p w14:paraId="4CD6E97B" w14:textId="77777777" w:rsidR="007C2DFD" w:rsidRDefault="007C2DFD" w:rsidP="007C2DFD">
      <w:r>
        <w:t>This is a hypothetical scenario to outline how the communication and engagement principles could be applied in practice:</w:t>
      </w:r>
    </w:p>
    <w:p w14:paraId="6BC7FDA2" w14:textId="1CA0F706" w:rsidR="007C2DFD" w:rsidRDefault="007C2DFD" w:rsidP="007C2DFD">
      <w:pPr>
        <w:pStyle w:val="ListBullet"/>
      </w:pPr>
      <w:r>
        <w:t xml:space="preserve">A fire suppression system in a fuel facility at a federally leased airport is activated by mistake. </w:t>
      </w:r>
      <w:r w:rsidR="00085F2E">
        <w:t>A </w:t>
      </w:r>
      <w:r>
        <w:t>number of containment systems fail and a significant volume of product containing PFOS and PFOA is released into the environment.</w:t>
      </w:r>
    </w:p>
    <w:p w14:paraId="725A1A8C" w14:textId="0F5D477D" w:rsidR="007C2DFD" w:rsidRDefault="007C2DFD" w:rsidP="007C2DFD">
      <w:pPr>
        <w:pStyle w:val="ListBullet"/>
      </w:pPr>
      <w:r>
        <w:t>The fuel facility operator stops the release of the product and repairs the fire suppression system.</w:t>
      </w:r>
    </w:p>
    <w:p w14:paraId="05B95FE1" w14:textId="0A4D0055" w:rsidR="007C2DFD" w:rsidRDefault="007C2DFD" w:rsidP="007C2DFD">
      <w:pPr>
        <w:pStyle w:val="ListBullet"/>
      </w:pPr>
      <w:r>
        <w:t>The fuel facility operator notifies the airport operator of the incident and the airport operator then notifies the Commonwealth Department of Infrastructure and relevant state/territory authorities.</w:t>
      </w:r>
    </w:p>
    <w:p w14:paraId="339FE752" w14:textId="2BE86827" w:rsidR="007C2DFD" w:rsidRDefault="007C2DFD" w:rsidP="007C2DFD">
      <w:pPr>
        <w:pStyle w:val="ListBullet"/>
      </w:pPr>
      <w:r>
        <w:t>It is possible (but not yet confirmed) that the product spilled into a nearby waterway used for irrigation of market gardens.</w:t>
      </w:r>
    </w:p>
    <w:p w14:paraId="187A118E" w14:textId="5932C230" w:rsidR="007C2DFD" w:rsidRDefault="007C2DFD" w:rsidP="007C2DFD">
      <w:pPr>
        <w:pStyle w:val="ListBullet"/>
      </w:pPr>
      <w:r>
        <w:t>Residents surrounding the airport use reticulated water.</w:t>
      </w:r>
    </w:p>
    <w:p w14:paraId="1E00231E" w14:textId="2D128F93" w:rsidR="007C2DFD" w:rsidRDefault="007C2DFD" w:rsidP="007C2DFD">
      <w:pPr>
        <w:pStyle w:val="ListBullet"/>
      </w:pPr>
      <w:r>
        <w:t>An airline had a similar spill at another airport a month earlier. The government was criticised at the time for not responding quickly enough.</w:t>
      </w:r>
    </w:p>
    <w:p w14:paraId="06500806" w14:textId="77777777" w:rsidR="007C2DFD" w:rsidRDefault="007C2DFD" w:rsidP="007C2DFD">
      <w:r>
        <w:t xml:space="preserve">In this scenario although the fuel facility operator is responsible for the spill, governments should engage in proactive communication and engagement. This can help shape the public conversation, avoid confusion, counter misinformation, and assist state/territory agencies to perform their roles. </w:t>
      </w:r>
    </w:p>
    <w:p w14:paraId="4179EE07" w14:textId="2C21B004" w:rsidR="00967AEA" w:rsidRPr="006F1ABB" w:rsidRDefault="00194D4E" w:rsidP="006F1ABB">
      <w:pPr>
        <w:pageBreakBefore/>
        <w:rPr>
          <w:i/>
          <w:iCs/>
          <w:color w:val="365F91" w:themeColor="accent1" w:themeShade="BF"/>
        </w:rPr>
      </w:pPr>
      <w:r w:rsidRPr="006F1ABB">
        <w:rPr>
          <w:i/>
          <w:iCs/>
          <w:color w:val="365F91" w:themeColor="accent1" w:themeShade="BF"/>
        </w:rPr>
        <w:t>Case study continued: Accidental discharge of PFAS into the environment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Which agencies have an interest in this issue?"/>
      </w:tblPr>
      <w:tblGrid>
        <w:gridCol w:w="1765"/>
        <w:gridCol w:w="7305"/>
      </w:tblGrid>
      <w:tr w:rsidR="00DA282F" w:rsidRPr="00892009" w14:paraId="1709EBE4" w14:textId="77777777" w:rsidTr="006646DD">
        <w:trPr>
          <w:cantSplit/>
          <w:tblHeader/>
          <w:jc w:val="center"/>
        </w:trPr>
        <w:tc>
          <w:tcPr>
            <w:tcW w:w="5000" w:type="pct"/>
            <w:gridSpan w:val="2"/>
            <w:tcBorders>
              <w:top w:val="single" w:sz="4" w:space="0" w:color="auto"/>
              <w:bottom w:val="single" w:sz="4" w:space="0" w:color="auto"/>
            </w:tcBorders>
            <w:vAlign w:val="center"/>
          </w:tcPr>
          <w:p w14:paraId="3367252D" w14:textId="7EA72DB8" w:rsidR="00DA282F" w:rsidRPr="00DA282F" w:rsidRDefault="00DA282F" w:rsidP="00531AEC">
            <w:pPr>
              <w:pStyle w:val="TableHeading"/>
              <w:rPr>
                <w:lang w:val="en-US"/>
              </w:rPr>
            </w:pPr>
            <w:r>
              <w:rPr>
                <w:lang w:val="en-US"/>
              </w:rPr>
              <w:t>Which agencies have an interest in this issue?</w:t>
            </w:r>
          </w:p>
        </w:tc>
      </w:tr>
      <w:tr w:rsidR="00967AEA" w:rsidRPr="00892009" w14:paraId="52301FC7" w14:textId="77777777" w:rsidTr="006646DD">
        <w:trPr>
          <w:cantSplit/>
          <w:tblHeader/>
          <w:jc w:val="center"/>
        </w:trPr>
        <w:tc>
          <w:tcPr>
            <w:tcW w:w="973" w:type="pct"/>
            <w:vMerge w:val="restart"/>
            <w:tcBorders>
              <w:top w:val="single" w:sz="4" w:space="0" w:color="auto"/>
              <w:bottom w:val="nil"/>
            </w:tcBorders>
          </w:tcPr>
          <w:p w14:paraId="30E22527" w14:textId="77777777" w:rsidR="00967AEA" w:rsidRPr="000E6E9B" w:rsidRDefault="00967AEA" w:rsidP="00A70579">
            <w:pPr>
              <w:pStyle w:val="TableText"/>
              <w:rPr>
                <w:b/>
                <w:bCs/>
                <w:lang w:val="en-US"/>
              </w:rPr>
            </w:pPr>
            <w:r w:rsidRPr="000E6E9B">
              <w:rPr>
                <w:b/>
                <w:bCs/>
                <w:lang w:val="en-US"/>
              </w:rPr>
              <w:t>Commonwealth</w:t>
            </w:r>
          </w:p>
          <w:p w14:paraId="227068C3" w14:textId="39468FA2" w:rsidR="00967AEA" w:rsidRPr="00892009" w:rsidRDefault="00967AEA" w:rsidP="00A70579">
            <w:pPr>
              <w:spacing w:before="60" w:after="60"/>
              <w:rPr>
                <w:rFonts w:asciiTheme="minorHAnsi" w:hAnsiTheme="minorHAnsi" w:cstheme="minorHAnsi"/>
                <w:lang w:val="en-US"/>
              </w:rPr>
            </w:pPr>
            <w:r w:rsidRPr="00892009">
              <w:rPr>
                <w:rFonts w:asciiTheme="minorHAnsi" w:hAnsiTheme="minorHAnsi" w:cstheme="minorHAnsi"/>
                <w:noProof/>
                <w:lang w:eastAsia="en-AU"/>
              </w:rPr>
              <w:drawing>
                <wp:inline distT="0" distB="0" distL="0" distR="0" wp14:anchorId="0F36D2C4" wp14:editId="42030274">
                  <wp:extent cx="917575" cy="917575"/>
                  <wp:effectExtent l="0" t="0" r="0" b="0"/>
                  <wp:docPr id="1"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3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17575" cy="917575"/>
                          </a:xfrm>
                          <a:prstGeom prst="rect">
                            <a:avLst/>
                          </a:prstGeom>
                        </pic:spPr>
                      </pic:pic>
                    </a:graphicData>
                  </a:graphic>
                </wp:inline>
              </w:drawing>
            </w:r>
          </w:p>
        </w:tc>
        <w:tc>
          <w:tcPr>
            <w:tcW w:w="4027" w:type="pct"/>
            <w:tcBorders>
              <w:top w:val="single" w:sz="4" w:space="0" w:color="auto"/>
              <w:bottom w:val="nil"/>
            </w:tcBorders>
          </w:tcPr>
          <w:p w14:paraId="4D6FBC8F" w14:textId="77777777" w:rsidR="00967AEA" w:rsidRPr="00892009" w:rsidRDefault="00967AEA" w:rsidP="00531AEC">
            <w:pPr>
              <w:pStyle w:val="TableBullet1"/>
              <w:rPr>
                <w:lang w:val="en-US"/>
              </w:rPr>
            </w:pPr>
            <w:r w:rsidRPr="001F5D20">
              <w:rPr>
                <w:b/>
                <w:lang w:val="en-US"/>
              </w:rPr>
              <w:t>Infrastructure</w:t>
            </w:r>
            <w:r w:rsidRPr="00892009">
              <w:rPr>
                <w:lang w:val="en-US"/>
              </w:rPr>
              <w:t xml:space="preserve"> – public perception of responsibility for airports.</w:t>
            </w:r>
          </w:p>
          <w:p w14:paraId="52A18ADF" w14:textId="77777777" w:rsidR="00967AEA" w:rsidRPr="00892009" w:rsidRDefault="00967AEA" w:rsidP="00531AEC">
            <w:pPr>
              <w:pStyle w:val="TableBullet1"/>
              <w:rPr>
                <w:lang w:val="en-US"/>
              </w:rPr>
            </w:pPr>
            <w:r w:rsidRPr="001F5D20">
              <w:rPr>
                <w:b/>
                <w:lang w:val="en-US"/>
              </w:rPr>
              <w:t>Airservices</w:t>
            </w:r>
            <w:r w:rsidRPr="00892009">
              <w:rPr>
                <w:lang w:val="en-US"/>
              </w:rPr>
              <w:t xml:space="preserve"> – public perception of responsibility for airport contamination.</w:t>
            </w:r>
          </w:p>
          <w:p w14:paraId="1A596D72" w14:textId="77777777" w:rsidR="00967AEA" w:rsidRPr="00892009" w:rsidRDefault="00967AEA" w:rsidP="00531AEC">
            <w:pPr>
              <w:pStyle w:val="TableBullet1"/>
              <w:rPr>
                <w:lang w:val="en-US"/>
              </w:rPr>
            </w:pPr>
            <w:r w:rsidRPr="001F5D20">
              <w:rPr>
                <w:b/>
                <w:lang w:val="en-US"/>
              </w:rPr>
              <w:t>Environment</w:t>
            </w:r>
            <w:r w:rsidRPr="00892009">
              <w:rPr>
                <w:lang w:val="en-US"/>
              </w:rPr>
              <w:t xml:space="preserve"> – contamination could affect or be perceived to affect the environment.</w:t>
            </w:r>
          </w:p>
          <w:p w14:paraId="73C87F7C" w14:textId="77777777" w:rsidR="00967AEA" w:rsidRPr="004A0BE7" w:rsidRDefault="00967AEA" w:rsidP="00531AEC">
            <w:pPr>
              <w:pStyle w:val="TableBullet1"/>
              <w:rPr>
                <w:lang w:val="en-US"/>
              </w:rPr>
            </w:pPr>
            <w:r w:rsidRPr="001F5D20">
              <w:rPr>
                <w:b/>
                <w:lang w:val="en-US"/>
              </w:rPr>
              <w:t>Health</w:t>
            </w:r>
            <w:r w:rsidRPr="00892009">
              <w:rPr>
                <w:lang w:val="en-US"/>
              </w:rPr>
              <w:t xml:space="preserve"> – contamination could </w:t>
            </w:r>
            <w:r>
              <w:rPr>
                <w:lang w:val="en-US"/>
              </w:rPr>
              <w:t xml:space="preserve">cause public concern about perceived </w:t>
            </w:r>
            <w:r w:rsidRPr="004A0BE7">
              <w:rPr>
                <w:lang w:val="en-US"/>
              </w:rPr>
              <w:t xml:space="preserve">risks to human health.  </w:t>
            </w:r>
          </w:p>
          <w:p w14:paraId="6DCFA66A" w14:textId="77777777" w:rsidR="00967AEA" w:rsidRPr="00892009" w:rsidRDefault="00967AEA" w:rsidP="00531AEC">
            <w:pPr>
              <w:pStyle w:val="TableBullet1"/>
              <w:rPr>
                <w:lang w:val="en-US"/>
              </w:rPr>
            </w:pPr>
            <w:r w:rsidRPr="001F5D20">
              <w:rPr>
                <w:b/>
                <w:lang w:val="en-US"/>
              </w:rPr>
              <w:t>Agriculture</w:t>
            </w:r>
            <w:r w:rsidRPr="00892009">
              <w:rPr>
                <w:lang w:val="en-US"/>
              </w:rPr>
              <w:t xml:space="preserve"> – contamination could affect or be perceived to affect local agriculture and subsequently international trade.</w:t>
            </w:r>
          </w:p>
        </w:tc>
      </w:tr>
      <w:tr w:rsidR="00967AEA" w:rsidRPr="00892009" w14:paraId="48537C2B" w14:textId="77777777" w:rsidTr="006646DD">
        <w:trPr>
          <w:cantSplit/>
          <w:tblHeader/>
          <w:jc w:val="center"/>
        </w:trPr>
        <w:tc>
          <w:tcPr>
            <w:tcW w:w="973" w:type="pct"/>
            <w:vMerge/>
            <w:tcBorders>
              <w:top w:val="nil"/>
              <w:bottom w:val="nil"/>
            </w:tcBorders>
          </w:tcPr>
          <w:p w14:paraId="1B3FE518" w14:textId="77777777" w:rsidR="00967AEA" w:rsidRPr="00892009" w:rsidRDefault="00967AEA" w:rsidP="00531AEC">
            <w:pPr>
              <w:spacing w:before="60" w:after="60"/>
              <w:jc w:val="center"/>
              <w:rPr>
                <w:rFonts w:asciiTheme="minorHAnsi" w:hAnsiTheme="minorHAnsi" w:cstheme="minorHAnsi"/>
                <w:lang w:val="en-US"/>
              </w:rPr>
            </w:pPr>
          </w:p>
        </w:tc>
        <w:tc>
          <w:tcPr>
            <w:tcW w:w="4027" w:type="pct"/>
            <w:tcBorders>
              <w:top w:val="nil"/>
              <w:bottom w:val="nil"/>
            </w:tcBorders>
          </w:tcPr>
          <w:p w14:paraId="7D448E5A" w14:textId="77777777" w:rsidR="00967AEA" w:rsidRPr="00B66A5E" w:rsidRDefault="00967AEA" w:rsidP="00531AEC">
            <w:pPr>
              <w:pStyle w:val="TableText"/>
              <w:rPr>
                <w:i/>
                <w:iCs/>
                <w:lang w:val="en-US"/>
              </w:rPr>
            </w:pPr>
            <w:r w:rsidRPr="00B66A5E">
              <w:rPr>
                <w:i/>
                <w:iCs/>
                <w:lang w:val="en-US"/>
              </w:rPr>
              <w:t>Which agency is this issue most relevant to?</w:t>
            </w:r>
          </w:p>
          <w:p w14:paraId="4A15FB38" w14:textId="77777777" w:rsidR="00967AEA" w:rsidRPr="00CA0299" w:rsidRDefault="00967AEA" w:rsidP="00531AEC">
            <w:pPr>
              <w:pStyle w:val="TableBullet1"/>
              <w:rPr>
                <w:lang w:val="en-US"/>
              </w:rPr>
            </w:pPr>
            <w:r w:rsidRPr="001F5D20">
              <w:rPr>
                <w:lang w:val="en-US"/>
              </w:rPr>
              <w:t>Department of Infrastructure</w:t>
            </w:r>
            <w:r w:rsidRPr="00892009">
              <w:rPr>
                <w:lang w:val="en-US"/>
              </w:rPr>
              <w:t>.</w:t>
            </w:r>
          </w:p>
        </w:tc>
      </w:tr>
      <w:tr w:rsidR="00967AEA" w:rsidRPr="00892009" w14:paraId="4A38BBE2" w14:textId="77777777" w:rsidTr="006646DD">
        <w:tblPrEx>
          <w:jc w:val="left"/>
        </w:tblPrEx>
        <w:trPr>
          <w:cantSplit/>
          <w:tblHeader/>
        </w:trPr>
        <w:tc>
          <w:tcPr>
            <w:tcW w:w="973" w:type="pct"/>
            <w:vMerge/>
            <w:tcBorders>
              <w:top w:val="nil"/>
              <w:bottom w:val="nil"/>
            </w:tcBorders>
          </w:tcPr>
          <w:p w14:paraId="45CF5BE1" w14:textId="77777777" w:rsidR="00967AEA" w:rsidRPr="00892009" w:rsidRDefault="00967AEA" w:rsidP="00531AEC">
            <w:pPr>
              <w:spacing w:before="60" w:after="60"/>
              <w:jc w:val="center"/>
              <w:rPr>
                <w:rFonts w:asciiTheme="minorHAnsi" w:hAnsiTheme="minorHAnsi" w:cstheme="minorHAnsi"/>
                <w:b/>
              </w:rPr>
            </w:pPr>
          </w:p>
        </w:tc>
        <w:tc>
          <w:tcPr>
            <w:tcW w:w="4027" w:type="pct"/>
            <w:tcBorders>
              <w:top w:val="nil"/>
              <w:bottom w:val="nil"/>
            </w:tcBorders>
          </w:tcPr>
          <w:p w14:paraId="3F04B3E9" w14:textId="77777777" w:rsidR="00967AEA" w:rsidRPr="009764D1" w:rsidRDefault="00967AEA" w:rsidP="00531AEC">
            <w:pPr>
              <w:pStyle w:val="TableText"/>
              <w:rPr>
                <w:i/>
                <w:iCs/>
                <w:lang w:val="en-US"/>
              </w:rPr>
            </w:pPr>
            <w:r w:rsidRPr="009764D1">
              <w:rPr>
                <w:i/>
                <w:iCs/>
                <w:lang w:val="en-US"/>
              </w:rPr>
              <w:t>How can Commonwealth agencies work together?</w:t>
            </w:r>
          </w:p>
          <w:p w14:paraId="3276BE13" w14:textId="77777777" w:rsidR="00967AEA" w:rsidRPr="00892009" w:rsidRDefault="00967AEA" w:rsidP="00531AEC">
            <w:pPr>
              <w:pStyle w:val="TableText"/>
              <w:rPr>
                <w:lang w:val="en-US"/>
              </w:rPr>
            </w:pPr>
            <w:r w:rsidRPr="00892009">
              <w:rPr>
                <w:lang w:val="en-US"/>
              </w:rPr>
              <w:t>For all agencies:</w:t>
            </w:r>
          </w:p>
          <w:p w14:paraId="10669CDF" w14:textId="77777777" w:rsidR="00967AEA" w:rsidRPr="00892009" w:rsidRDefault="00967AEA" w:rsidP="00531AEC">
            <w:pPr>
              <w:pStyle w:val="TableBullet1"/>
              <w:rPr>
                <w:i/>
                <w:lang w:val="en-US"/>
              </w:rPr>
            </w:pPr>
            <w:r w:rsidRPr="00892009">
              <w:rPr>
                <w:lang w:val="en-US"/>
              </w:rPr>
              <w:t>Share information about the issue as it becomes available.</w:t>
            </w:r>
          </w:p>
          <w:p w14:paraId="4B9CD2CE" w14:textId="77777777" w:rsidR="00967AEA" w:rsidRPr="00892009" w:rsidRDefault="00967AEA" w:rsidP="00531AEC">
            <w:pPr>
              <w:pStyle w:val="TableBullet1"/>
              <w:rPr>
                <w:i/>
                <w:lang w:val="en-US"/>
              </w:rPr>
            </w:pPr>
            <w:r w:rsidRPr="00892009">
              <w:rPr>
                <w:lang w:val="en-US"/>
              </w:rPr>
              <w:t>Share and seek input on media enquiries and correspondence about this issue.</w:t>
            </w:r>
          </w:p>
          <w:p w14:paraId="5A5000BA" w14:textId="77777777" w:rsidR="00967AEA" w:rsidRPr="00892009" w:rsidRDefault="00967AEA" w:rsidP="00531AEC">
            <w:pPr>
              <w:pStyle w:val="TableBullet1"/>
              <w:rPr>
                <w:i/>
                <w:lang w:val="en-US"/>
              </w:rPr>
            </w:pPr>
            <w:r w:rsidRPr="00892009">
              <w:t>Provide advance notice of any public communication or engagement and seek input from other agencies where possible.</w:t>
            </w:r>
          </w:p>
        </w:tc>
      </w:tr>
      <w:tr w:rsidR="00967AEA" w:rsidRPr="00892009" w14:paraId="1F9E6F57" w14:textId="77777777" w:rsidTr="006646DD">
        <w:tblPrEx>
          <w:jc w:val="left"/>
        </w:tblPrEx>
        <w:trPr>
          <w:cantSplit/>
          <w:tblHeader/>
        </w:trPr>
        <w:tc>
          <w:tcPr>
            <w:tcW w:w="973" w:type="pct"/>
            <w:vMerge/>
            <w:tcBorders>
              <w:top w:val="nil"/>
              <w:bottom w:val="single" w:sz="4" w:space="0" w:color="auto"/>
            </w:tcBorders>
          </w:tcPr>
          <w:p w14:paraId="7D8C9E8C" w14:textId="77777777" w:rsidR="00967AEA" w:rsidRPr="00892009" w:rsidRDefault="00967AEA" w:rsidP="00531AEC">
            <w:pPr>
              <w:spacing w:before="60" w:after="60"/>
              <w:jc w:val="center"/>
              <w:rPr>
                <w:rFonts w:asciiTheme="minorHAnsi" w:hAnsiTheme="minorHAnsi" w:cstheme="minorHAnsi"/>
                <w:b/>
              </w:rPr>
            </w:pPr>
          </w:p>
        </w:tc>
        <w:tc>
          <w:tcPr>
            <w:tcW w:w="4027" w:type="pct"/>
            <w:tcBorders>
              <w:top w:val="nil"/>
              <w:bottom w:val="single" w:sz="4" w:space="0" w:color="auto"/>
            </w:tcBorders>
          </w:tcPr>
          <w:p w14:paraId="16AB4BB6" w14:textId="77777777" w:rsidR="00967AEA" w:rsidRPr="009764D1" w:rsidRDefault="00967AEA" w:rsidP="00531AEC">
            <w:pPr>
              <w:pStyle w:val="TableText"/>
              <w:rPr>
                <w:i/>
                <w:iCs/>
                <w:lang w:val="en-US"/>
              </w:rPr>
            </w:pPr>
            <w:r w:rsidRPr="009764D1">
              <w:rPr>
                <w:i/>
                <w:iCs/>
                <w:lang w:val="en-US"/>
              </w:rPr>
              <w:t>Which Ministers have an interest in the issue?</w:t>
            </w:r>
          </w:p>
          <w:p w14:paraId="4484397E" w14:textId="77777777" w:rsidR="00967AEA" w:rsidRPr="004E3E30" w:rsidRDefault="00967AEA" w:rsidP="00531AEC">
            <w:pPr>
              <w:pStyle w:val="TableBullet1"/>
            </w:pPr>
            <w:r w:rsidRPr="004E3E30">
              <w:rPr>
                <w:lang w:val="en-US"/>
              </w:rPr>
              <w:t>Minister for Infrastructure – public perception of responsibility for airports and airport contamination.</w:t>
            </w:r>
          </w:p>
        </w:tc>
      </w:tr>
      <w:tr w:rsidR="00967AEA" w:rsidRPr="00892009" w14:paraId="20729ADB" w14:textId="77777777" w:rsidTr="006646DD">
        <w:tblPrEx>
          <w:jc w:val="left"/>
        </w:tblPrEx>
        <w:trPr>
          <w:cantSplit/>
          <w:tblHeader/>
        </w:trPr>
        <w:tc>
          <w:tcPr>
            <w:tcW w:w="973" w:type="pct"/>
            <w:vMerge w:val="restart"/>
            <w:tcBorders>
              <w:top w:val="single" w:sz="4" w:space="0" w:color="auto"/>
            </w:tcBorders>
          </w:tcPr>
          <w:p w14:paraId="6D25ED77" w14:textId="77777777" w:rsidR="00531AEC" w:rsidRDefault="00967AEA" w:rsidP="00531AEC">
            <w:pPr>
              <w:pStyle w:val="TableText"/>
              <w:rPr>
                <w:b/>
                <w:bCs/>
                <w:lang w:val="en-US"/>
              </w:rPr>
            </w:pPr>
            <w:r w:rsidRPr="00531AEC">
              <w:rPr>
                <w:b/>
                <w:bCs/>
                <w:lang w:val="en-US"/>
              </w:rPr>
              <w:t>States / territories</w:t>
            </w:r>
          </w:p>
          <w:p w14:paraId="16A910F2" w14:textId="1366E32D" w:rsidR="00967AEA" w:rsidRPr="00531AEC" w:rsidRDefault="00531AEC" w:rsidP="00531AEC">
            <w:pPr>
              <w:pStyle w:val="TableText"/>
              <w:rPr>
                <w:b/>
                <w:bCs/>
                <w:lang w:val="en-US"/>
              </w:rPr>
            </w:pPr>
            <w:r w:rsidRPr="00531AEC">
              <w:rPr>
                <w:b/>
                <w:bCs/>
                <w:noProof/>
                <w:lang w:eastAsia="en-AU"/>
              </w:rPr>
              <w:drawing>
                <wp:inline distT="0" distB="0" distL="0" distR="0" wp14:anchorId="2B5B3A21" wp14:editId="66FAC1C5">
                  <wp:extent cx="928800" cy="982800"/>
                  <wp:effectExtent l="0" t="0" r="5080" b="8255"/>
                  <wp:docPr id="61" name="Pictur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8">
                            <a:duotone>
                              <a:schemeClr val="accent1">
                                <a:shade val="45000"/>
                                <a:satMod val="135000"/>
                              </a:schemeClr>
                              <a:prstClr val="white"/>
                            </a:duotone>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28800" cy="982800"/>
                          </a:xfrm>
                          <a:prstGeom prst="rect">
                            <a:avLst/>
                          </a:prstGeom>
                          <a:effectLst/>
                        </pic:spPr>
                      </pic:pic>
                    </a:graphicData>
                  </a:graphic>
                </wp:inline>
              </w:drawing>
            </w:r>
          </w:p>
        </w:tc>
        <w:tc>
          <w:tcPr>
            <w:tcW w:w="4027" w:type="pct"/>
            <w:tcBorders>
              <w:top w:val="single" w:sz="4" w:space="0" w:color="auto"/>
            </w:tcBorders>
          </w:tcPr>
          <w:p w14:paraId="6EFBD4F3" w14:textId="77777777" w:rsidR="00967AEA" w:rsidRPr="00531AEC" w:rsidRDefault="00967AEA" w:rsidP="00531AEC">
            <w:pPr>
              <w:pStyle w:val="TableText"/>
              <w:rPr>
                <w:i/>
                <w:iCs/>
                <w:lang w:val="en-US"/>
              </w:rPr>
            </w:pPr>
            <w:r w:rsidRPr="00531AEC">
              <w:rPr>
                <w:i/>
                <w:iCs/>
                <w:lang w:val="en-US"/>
              </w:rPr>
              <w:t>Which state/territory agencies have an interest in this issue?</w:t>
            </w:r>
          </w:p>
          <w:p w14:paraId="4E256197" w14:textId="777ACD5A" w:rsidR="00967AEA" w:rsidRDefault="00967AEA" w:rsidP="00531AEC">
            <w:pPr>
              <w:pStyle w:val="TableBullet1"/>
              <w:rPr>
                <w:lang w:val="en-US"/>
              </w:rPr>
            </w:pPr>
            <w:r>
              <w:rPr>
                <w:lang w:val="en-US"/>
              </w:rPr>
              <w:t>Environment, Health, Agriculture</w:t>
            </w:r>
            <w:r w:rsidR="002053EA">
              <w:rPr>
                <w:lang w:val="en-US"/>
              </w:rPr>
              <w:t>,</w:t>
            </w:r>
            <w:r>
              <w:rPr>
                <w:lang w:val="en-US"/>
              </w:rPr>
              <w:t xml:space="preserve"> First Ministers' departments:</w:t>
            </w:r>
          </w:p>
          <w:p w14:paraId="0B1DCCAE" w14:textId="77777777" w:rsidR="00967AEA" w:rsidRDefault="00967AEA" w:rsidP="00531AEC">
            <w:pPr>
              <w:pStyle w:val="TableBullet2"/>
              <w:rPr>
                <w:lang w:val="en-US"/>
              </w:rPr>
            </w:pPr>
            <w:r>
              <w:rPr>
                <w:lang w:val="en-US"/>
              </w:rPr>
              <w:t xml:space="preserve">Contamination could affect or be perceived to affect the environment or local agriculture, or cause public concern about </w:t>
            </w:r>
            <w:r w:rsidRPr="004A0BE7">
              <w:rPr>
                <w:lang w:val="en-US"/>
              </w:rPr>
              <w:t>perceived risks to human health;</w:t>
            </w:r>
            <w:r>
              <w:rPr>
                <w:lang w:val="en-US"/>
              </w:rPr>
              <w:t xml:space="preserve"> and/or</w:t>
            </w:r>
          </w:p>
          <w:p w14:paraId="1141D521" w14:textId="77777777" w:rsidR="00967AEA" w:rsidRDefault="00967AEA" w:rsidP="00531AEC">
            <w:pPr>
              <w:pStyle w:val="TableBullet2"/>
              <w:rPr>
                <w:lang w:val="en-US"/>
              </w:rPr>
            </w:pPr>
            <w:r>
              <w:rPr>
                <w:lang w:val="en-US"/>
              </w:rPr>
              <w:t>Conduct additional testing of the environment or food supply relevant to the investigation area; and/or</w:t>
            </w:r>
          </w:p>
          <w:p w14:paraId="259A0305" w14:textId="77777777" w:rsidR="00967AEA" w:rsidRPr="00A32C90" w:rsidRDefault="00967AEA" w:rsidP="00531AEC">
            <w:pPr>
              <w:pStyle w:val="TableBullet2"/>
              <w:rPr>
                <w:lang w:val="en-US"/>
              </w:rPr>
            </w:pPr>
            <w:r>
              <w:rPr>
                <w:lang w:val="en-US"/>
              </w:rPr>
              <w:t>May impose regulatory measures for the respective portfolios.</w:t>
            </w:r>
          </w:p>
        </w:tc>
      </w:tr>
      <w:tr w:rsidR="00967AEA" w:rsidRPr="00892009" w14:paraId="63354F79" w14:textId="77777777" w:rsidTr="006646DD">
        <w:tblPrEx>
          <w:jc w:val="left"/>
        </w:tblPrEx>
        <w:trPr>
          <w:cantSplit/>
          <w:trHeight w:val="70"/>
          <w:tblHeader/>
        </w:trPr>
        <w:tc>
          <w:tcPr>
            <w:tcW w:w="973" w:type="pct"/>
            <w:vMerge/>
          </w:tcPr>
          <w:p w14:paraId="67AB7456" w14:textId="77777777" w:rsidR="00967AEA" w:rsidRPr="00892009" w:rsidRDefault="00967AEA" w:rsidP="00531AEC">
            <w:pPr>
              <w:spacing w:before="60" w:after="60"/>
              <w:rPr>
                <w:rFonts w:asciiTheme="minorHAnsi" w:hAnsiTheme="minorHAnsi" w:cstheme="minorHAnsi"/>
                <w:lang w:val="en-US"/>
              </w:rPr>
            </w:pPr>
          </w:p>
        </w:tc>
        <w:tc>
          <w:tcPr>
            <w:tcW w:w="4027" w:type="pct"/>
          </w:tcPr>
          <w:p w14:paraId="379AEA99" w14:textId="77777777" w:rsidR="00967AEA" w:rsidRPr="00531AEC" w:rsidRDefault="00967AEA" w:rsidP="00531AEC">
            <w:pPr>
              <w:pStyle w:val="TableText"/>
              <w:rPr>
                <w:i/>
                <w:iCs/>
                <w:lang w:val="en-US"/>
              </w:rPr>
            </w:pPr>
            <w:r w:rsidRPr="00531AEC">
              <w:rPr>
                <w:i/>
                <w:iCs/>
                <w:lang w:val="en-US"/>
              </w:rPr>
              <w:t>Who is the most appropriate Commonwealth agency to share information with?</w:t>
            </w:r>
          </w:p>
          <w:p w14:paraId="4D26C3E0" w14:textId="77777777" w:rsidR="00967AEA" w:rsidRPr="00892009" w:rsidRDefault="00967AEA" w:rsidP="00531AEC">
            <w:pPr>
              <w:pStyle w:val="TableBullet1"/>
              <w:rPr>
                <w:lang w:val="en-US"/>
              </w:rPr>
            </w:pPr>
            <w:r w:rsidRPr="00892009">
              <w:rPr>
                <w:lang w:val="en-US"/>
              </w:rPr>
              <w:t xml:space="preserve">Infrastructure – </w:t>
            </w:r>
            <w:r>
              <w:rPr>
                <w:lang w:val="en-US"/>
              </w:rPr>
              <w:t xml:space="preserve">regulates and </w:t>
            </w:r>
            <w:r w:rsidRPr="00892009">
              <w:rPr>
                <w:lang w:val="en-US"/>
              </w:rPr>
              <w:t>maintains relationship with the airport operator.</w:t>
            </w:r>
          </w:p>
        </w:tc>
      </w:tr>
    </w:tbl>
    <w:p w14:paraId="5C4D00A2" w14:textId="77777777" w:rsidR="00194D4E" w:rsidRDefault="00194D4E" w:rsidP="00C318CD"/>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What information should be shared?"/>
      </w:tblPr>
      <w:tblGrid>
        <w:gridCol w:w="1709"/>
        <w:gridCol w:w="7361"/>
      </w:tblGrid>
      <w:tr w:rsidR="0017386D" w:rsidRPr="005B38E6" w14:paraId="4F366081" w14:textId="77777777" w:rsidTr="006646DD">
        <w:trPr>
          <w:cantSplit/>
          <w:trHeight w:val="50"/>
          <w:tblHeader/>
          <w:jc w:val="center"/>
        </w:trPr>
        <w:tc>
          <w:tcPr>
            <w:tcW w:w="5000" w:type="pct"/>
            <w:gridSpan w:val="2"/>
            <w:tcBorders>
              <w:top w:val="single" w:sz="4" w:space="0" w:color="auto"/>
              <w:bottom w:val="single" w:sz="4" w:space="0" w:color="auto"/>
            </w:tcBorders>
            <w:vAlign w:val="center"/>
          </w:tcPr>
          <w:p w14:paraId="0B54CC82" w14:textId="72AC61A3" w:rsidR="0017386D" w:rsidRPr="005B38E6" w:rsidRDefault="0017386D" w:rsidP="0017386D">
            <w:pPr>
              <w:pStyle w:val="TableHeading"/>
              <w:rPr>
                <w:lang w:val="en-US"/>
              </w:rPr>
            </w:pPr>
            <w:r>
              <w:rPr>
                <w:lang w:val="en-US"/>
              </w:rPr>
              <w:t>What information should be shared?</w:t>
            </w:r>
          </w:p>
        </w:tc>
      </w:tr>
      <w:tr w:rsidR="0017386D" w:rsidRPr="005B38E6" w14:paraId="7EA9CFBF" w14:textId="77777777" w:rsidTr="006646DD">
        <w:trPr>
          <w:cantSplit/>
          <w:trHeight w:val="3359"/>
          <w:tblHeader/>
          <w:jc w:val="center"/>
        </w:trPr>
        <w:tc>
          <w:tcPr>
            <w:tcW w:w="942" w:type="pct"/>
            <w:tcBorders>
              <w:top w:val="single" w:sz="4" w:space="0" w:color="auto"/>
              <w:bottom w:val="single" w:sz="4" w:space="0" w:color="auto"/>
            </w:tcBorders>
          </w:tcPr>
          <w:p w14:paraId="6BDC1644" w14:textId="77777777" w:rsidR="0017386D" w:rsidRPr="00446FCD" w:rsidRDefault="0017386D" w:rsidP="00A70579">
            <w:pPr>
              <w:pStyle w:val="TableText"/>
              <w:rPr>
                <w:b/>
                <w:bCs/>
                <w:lang w:val="en-US"/>
              </w:rPr>
            </w:pPr>
            <w:r w:rsidRPr="00446FCD">
              <w:rPr>
                <w:b/>
                <w:bCs/>
                <w:lang w:val="en-US"/>
              </w:rPr>
              <w:t>Governments</w:t>
            </w:r>
          </w:p>
          <w:p w14:paraId="078B7E06" w14:textId="69BDFB00" w:rsidR="0017386D" w:rsidRPr="005B38E6" w:rsidRDefault="0017386D" w:rsidP="00A70579">
            <w:pPr>
              <w:spacing w:before="60" w:after="60"/>
              <w:rPr>
                <w:rFonts w:asciiTheme="minorHAnsi" w:hAnsiTheme="minorHAnsi"/>
                <w:b/>
                <w:lang w:val="en-US"/>
              </w:rPr>
            </w:pPr>
            <w:r w:rsidRPr="005B38E6">
              <w:rPr>
                <w:rFonts w:asciiTheme="minorHAnsi" w:hAnsiTheme="minorHAnsi" w:cstheme="minorHAnsi"/>
                <w:noProof/>
                <w:lang w:eastAsia="en-AU"/>
              </w:rPr>
              <w:drawing>
                <wp:inline distT="0" distB="0" distL="0" distR="0" wp14:anchorId="546655D7" wp14:editId="01804458">
                  <wp:extent cx="917575" cy="917575"/>
                  <wp:effectExtent l="0" t="0" r="0" b="0"/>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3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17575" cy="917575"/>
                          </a:xfrm>
                          <a:prstGeom prst="rect">
                            <a:avLst/>
                          </a:prstGeom>
                        </pic:spPr>
                      </pic:pic>
                    </a:graphicData>
                  </a:graphic>
                </wp:inline>
              </w:drawing>
            </w:r>
            <w:r w:rsidRPr="005B38E6">
              <w:rPr>
                <w:rFonts w:asciiTheme="minorHAnsi" w:hAnsiTheme="minorHAnsi"/>
                <w:noProof/>
                <w:lang w:eastAsia="en-AU"/>
              </w:rPr>
              <w:drawing>
                <wp:inline distT="0" distB="0" distL="0" distR="0" wp14:anchorId="69AE22E0" wp14:editId="30CA9A71">
                  <wp:extent cx="928370" cy="982345"/>
                  <wp:effectExtent l="0" t="0" r="5080" b="8255"/>
                  <wp:docPr id="8" name="Pictur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8">
                            <a:duotone>
                              <a:schemeClr val="accent1">
                                <a:shade val="45000"/>
                                <a:satMod val="135000"/>
                              </a:schemeClr>
                              <a:prstClr val="white"/>
                            </a:duotone>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28370" cy="982345"/>
                          </a:xfrm>
                          <a:prstGeom prst="rect">
                            <a:avLst/>
                          </a:prstGeom>
                          <a:effectLst/>
                        </pic:spPr>
                      </pic:pic>
                    </a:graphicData>
                  </a:graphic>
                </wp:inline>
              </w:drawing>
            </w:r>
          </w:p>
        </w:tc>
        <w:tc>
          <w:tcPr>
            <w:tcW w:w="4058" w:type="pct"/>
            <w:tcBorders>
              <w:top w:val="single" w:sz="4" w:space="0" w:color="auto"/>
              <w:bottom w:val="single" w:sz="4" w:space="0" w:color="auto"/>
            </w:tcBorders>
          </w:tcPr>
          <w:p w14:paraId="0D6E5398" w14:textId="77777777" w:rsidR="0017386D" w:rsidRPr="005B38E6" w:rsidRDefault="0017386D" w:rsidP="0017386D">
            <w:pPr>
              <w:pStyle w:val="TableBullet1"/>
              <w:rPr>
                <w:lang w:val="en-US"/>
              </w:rPr>
            </w:pPr>
            <w:r w:rsidRPr="005B38E6">
              <w:rPr>
                <w:lang w:val="en-US"/>
              </w:rPr>
              <w:t>Commonwealth Department of Infrastructure ensures all relevant Commonwealth and state/territory agencies are aware of the situation.</w:t>
            </w:r>
          </w:p>
          <w:p w14:paraId="5C89B686" w14:textId="77777777" w:rsidR="0017386D" w:rsidRPr="005B38E6" w:rsidRDefault="0017386D" w:rsidP="0017386D">
            <w:pPr>
              <w:pStyle w:val="TableBullet1"/>
              <w:rPr>
                <w:lang w:val="en-US"/>
              </w:rPr>
            </w:pPr>
            <w:r w:rsidRPr="005B38E6">
              <w:rPr>
                <w:lang w:val="en-US"/>
              </w:rPr>
              <w:t>Clarify the extent of lead responsibilities.</w:t>
            </w:r>
          </w:p>
          <w:p w14:paraId="2A2C1763" w14:textId="77777777" w:rsidR="0017386D" w:rsidRPr="005B38E6" w:rsidRDefault="0017386D" w:rsidP="0017386D">
            <w:pPr>
              <w:pStyle w:val="TableBullet1"/>
              <w:rPr>
                <w:lang w:val="en-US"/>
              </w:rPr>
            </w:pPr>
            <w:r w:rsidRPr="005B38E6">
              <w:rPr>
                <w:lang w:val="en-US"/>
              </w:rPr>
              <w:t>Commonwealth Department of Infrastructure shares contact information for the airport operator as required.</w:t>
            </w:r>
          </w:p>
          <w:p w14:paraId="7889E93C" w14:textId="77777777" w:rsidR="0017386D" w:rsidRPr="005B38E6" w:rsidRDefault="0017386D" w:rsidP="0017386D">
            <w:pPr>
              <w:pStyle w:val="TableBullet1"/>
              <w:rPr>
                <w:lang w:val="en-US"/>
              </w:rPr>
            </w:pPr>
            <w:r w:rsidRPr="005B38E6">
              <w:rPr>
                <w:lang w:val="en-US"/>
              </w:rPr>
              <w:t>Commonwealth Department of Infrastructure explains to other agencies what communication and engagement activities they</w:t>
            </w:r>
            <w:r>
              <w:rPr>
                <w:lang w:val="en-US"/>
              </w:rPr>
              <w:t>, or the airport operator</w:t>
            </w:r>
            <w:r w:rsidRPr="005B38E6">
              <w:rPr>
                <w:lang w:val="en-US"/>
              </w:rPr>
              <w:t xml:space="preserve"> plan to undertake – e.g. news releases, newsletters, community consultations.</w:t>
            </w:r>
          </w:p>
          <w:p w14:paraId="5DC58C72" w14:textId="77777777" w:rsidR="0017386D" w:rsidRPr="005B38E6" w:rsidRDefault="0017386D" w:rsidP="0017386D">
            <w:pPr>
              <w:pStyle w:val="TableBullet1"/>
              <w:rPr>
                <w:lang w:val="en-US"/>
              </w:rPr>
            </w:pPr>
            <w:r w:rsidRPr="005B38E6">
              <w:rPr>
                <w:lang w:val="en-US"/>
              </w:rPr>
              <w:t>Commonwealth Department of Infrastructure seeks information about proposed statements or actions planned by the state</w:t>
            </w:r>
            <w:r w:rsidRPr="005B38E6">
              <w:rPr>
                <w:rFonts w:eastAsia="Arial"/>
              </w:rPr>
              <w:t>/territory.</w:t>
            </w:r>
          </w:p>
        </w:tc>
      </w:tr>
      <w:tr w:rsidR="0017386D" w:rsidRPr="005B38E6" w14:paraId="6574F290" w14:textId="77777777" w:rsidTr="006646DD">
        <w:tblPrEx>
          <w:jc w:val="left"/>
        </w:tblPrEx>
        <w:trPr>
          <w:cantSplit/>
          <w:tblHeader/>
        </w:trPr>
        <w:tc>
          <w:tcPr>
            <w:tcW w:w="942" w:type="pct"/>
            <w:vMerge w:val="restart"/>
            <w:tcBorders>
              <w:top w:val="single" w:sz="4" w:space="0" w:color="auto"/>
            </w:tcBorders>
          </w:tcPr>
          <w:p w14:paraId="558FF603" w14:textId="77777777" w:rsidR="0017386D" w:rsidRPr="00446FCD" w:rsidRDefault="0017386D" w:rsidP="00A70579">
            <w:pPr>
              <w:pStyle w:val="TableText"/>
              <w:rPr>
                <w:b/>
                <w:bCs/>
                <w:lang w:val="en-US"/>
              </w:rPr>
            </w:pPr>
            <w:r w:rsidRPr="00446FCD">
              <w:rPr>
                <w:b/>
                <w:bCs/>
                <w:lang w:val="en-US"/>
              </w:rPr>
              <w:t>Public</w:t>
            </w:r>
          </w:p>
          <w:p w14:paraId="6929DBAC" w14:textId="77777777" w:rsidR="0017386D" w:rsidRPr="005B38E6" w:rsidRDefault="0017386D" w:rsidP="00A70579">
            <w:pPr>
              <w:spacing w:before="60" w:after="60"/>
              <w:rPr>
                <w:rFonts w:asciiTheme="minorHAnsi" w:hAnsiTheme="minorHAnsi" w:cstheme="minorHAnsi"/>
                <w:lang w:val="en-US"/>
              </w:rPr>
            </w:pPr>
            <w:r w:rsidRPr="005B38E6">
              <w:rPr>
                <w:rFonts w:asciiTheme="minorHAnsi" w:hAnsiTheme="minorHAnsi"/>
                <w:noProof/>
                <w:lang w:eastAsia="en-AU"/>
              </w:rPr>
              <w:drawing>
                <wp:anchor distT="0" distB="0" distL="114300" distR="114300" simplePos="0" relativeHeight="251654656" behindDoc="0" locked="0" layoutInCell="1" allowOverlap="1" wp14:anchorId="46759757" wp14:editId="5DFA21CE">
                  <wp:simplePos x="0" y="0"/>
                  <wp:positionH relativeFrom="column">
                    <wp:posOffset>31750</wp:posOffset>
                  </wp:positionH>
                  <wp:positionV relativeFrom="paragraph">
                    <wp:posOffset>18644</wp:posOffset>
                  </wp:positionV>
                  <wp:extent cx="964800" cy="964800"/>
                  <wp:effectExtent l="0" t="0" r="6985" b="6985"/>
                  <wp:wrapNone/>
                  <wp:docPr id="9" name="Pictur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0" cstate="print">
                            <a:duotone>
                              <a:schemeClr val="accent1">
                                <a:shade val="45000"/>
                                <a:satMod val="135000"/>
                              </a:schemeClr>
                              <a:prstClr val="white"/>
                            </a:duotone>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4800" cy="964800"/>
                          </a:xfrm>
                          <a:prstGeom prst="rect">
                            <a:avLst/>
                          </a:prstGeom>
                        </pic:spPr>
                      </pic:pic>
                    </a:graphicData>
                  </a:graphic>
                  <wp14:sizeRelH relativeFrom="margin">
                    <wp14:pctWidth>0</wp14:pctWidth>
                  </wp14:sizeRelH>
                  <wp14:sizeRelV relativeFrom="margin">
                    <wp14:pctHeight>0</wp14:pctHeight>
                  </wp14:sizeRelV>
                </wp:anchor>
              </w:drawing>
            </w:r>
          </w:p>
        </w:tc>
        <w:tc>
          <w:tcPr>
            <w:tcW w:w="4058" w:type="pct"/>
            <w:tcBorders>
              <w:top w:val="single" w:sz="4" w:space="0" w:color="auto"/>
            </w:tcBorders>
          </w:tcPr>
          <w:p w14:paraId="05DD53AB" w14:textId="77777777" w:rsidR="0017386D" w:rsidRPr="005A6ED5" w:rsidRDefault="0017386D" w:rsidP="005A6ED5">
            <w:pPr>
              <w:pStyle w:val="TableText"/>
              <w:rPr>
                <w:i/>
                <w:iCs/>
                <w:lang w:val="en-US"/>
              </w:rPr>
            </w:pPr>
            <w:r w:rsidRPr="005A6ED5">
              <w:rPr>
                <w:i/>
                <w:iCs/>
                <w:lang w:val="en-US"/>
              </w:rPr>
              <w:t>Who might the primary stakeholders for this issue be (for example)?</w:t>
            </w:r>
          </w:p>
          <w:p w14:paraId="16DF761B" w14:textId="77777777" w:rsidR="0017386D" w:rsidRPr="005B38E6" w:rsidRDefault="0017386D" w:rsidP="005A6ED5">
            <w:pPr>
              <w:pStyle w:val="TableBullet1"/>
              <w:rPr>
                <w:lang w:val="en-US"/>
              </w:rPr>
            </w:pPr>
            <w:r w:rsidRPr="005B38E6">
              <w:rPr>
                <w:lang w:val="en-US"/>
              </w:rPr>
              <w:t>Residents close to the airport.</w:t>
            </w:r>
          </w:p>
          <w:p w14:paraId="15C29904" w14:textId="77777777" w:rsidR="0017386D" w:rsidRPr="005B38E6" w:rsidRDefault="0017386D" w:rsidP="005A6ED5">
            <w:pPr>
              <w:pStyle w:val="TableBullet1"/>
              <w:rPr>
                <w:lang w:val="en-US"/>
              </w:rPr>
            </w:pPr>
            <w:r w:rsidRPr="005B38E6">
              <w:rPr>
                <w:lang w:val="en-US"/>
              </w:rPr>
              <w:t>Market gardeners using water from the potentially contaminated waterway.</w:t>
            </w:r>
          </w:p>
        </w:tc>
      </w:tr>
      <w:tr w:rsidR="0017386D" w:rsidRPr="005B38E6" w14:paraId="6AD71CDB" w14:textId="77777777" w:rsidTr="006646DD">
        <w:tblPrEx>
          <w:jc w:val="left"/>
        </w:tblPrEx>
        <w:trPr>
          <w:cantSplit/>
          <w:tblHeader/>
        </w:trPr>
        <w:tc>
          <w:tcPr>
            <w:tcW w:w="942" w:type="pct"/>
            <w:vMerge/>
          </w:tcPr>
          <w:p w14:paraId="528A5C6C" w14:textId="77777777" w:rsidR="0017386D" w:rsidRPr="005B38E6" w:rsidRDefault="0017386D" w:rsidP="007210EB">
            <w:pPr>
              <w:spacing w:before="60" w:after="60"/>
              <w:rPr>
                <w:rFonts w:asciiTheme="minorHAnsi" w:hAnsiTheme="minorHAnsi" w:cstheme="minorHAnsi"/>
                <w:lang w:val="en-US"/>
              </w:rPr>
            </w:pPr>
          </w:p>
        </w:tc>
        <w:tc>
          <w:tcPr>
            <w:tcW w:w="4058" w:type="pct"/>
          </w:tcPr>
          <w:p w14:paraId="21087A78" w14:textId="77777777" w:rsidR="0017386D" w:rsidRPr="00A70579" w:rsidRDefault="0017386D" w:rsidP="00A70579">
            <w:pPr>
              <w:pStyle w:val="TableText"/>
              <w:rPr>
                <w:i/>
                <w:iCs/>
                <w:lang w:val="en-US"/>
              </w:rPr>
            </w:pPr>
            <w:r w:rsidRPr="00A70579">
              <w:rPr>
                <w:i/>
                <w:iCs/>
                <w:lang w:val="en-US"/>
              </w:rPr>
              <w:t>How can the Commonwealth and states/territories work together to communicate with the primary stakeholders?</w:t>
            </w:r>
          </w:p>
          <w:p w14:paraId="5D4F2243" w14:textId="77777777" w:rsidR="0017386D" w:rsidRPr="005B38E6" w:rsidRDefault="0017386D" w:rsidP="00A70579">
            <w:pPr>
              <w:pStyle w:val="TableText"/>
              <w:rPr>
                <w:lang w:val="en-US"/>
              </w:rPr>
            </w:pPr>
            <w:r w:rsidRPr="005B38E6">
              <w:rPr>
                <w:lang w:val="en-US"/>
              </w:rPr>
              <w:t>Residents:</w:t>
            </w:r>
          </w:p>
          <w:p w14:paraId="3FE247EB" w14:textId="77777777" w:rsidR="0017386D" w:rsidRPr="005B38E6" w:rsidRDefault="0017386D" w:rsidP="00A70579">
            <w:pPr>
              <w:pStyle w:val="TableBullet1"/>
              <w:rPr>
                <w:lang w:val="en-US"/>
              </w:rPr>
            </w:pPr>
            <w:r w:rsidRPr="005B38E6">
              <w:rPr>
                <w:lang w:val="en-US"/>
              </w:rPr>
              <w:t>Attend the next meeting of the Community Aviation Consultation Group (CACG)</w:t>
            </w:r>
            <w:r>
              <w:rPr>
                <w:lang w:val="en-US"/>
              </w:rPr>
              <w:t xml:space="preserve">, </w:t>
            </w:r>
            <w:r w:rsidRPr="005B38E6">
              <w:rPr>
                <w:lang w:val="en-US"/>
              </w:rPr>
              <w:t xml:space="preserve">if </w:t>
            </w:r>
            <w:r>
              <w:rPr>
                <w:lang w:val="en-US"/>
              </w:rPr>
              <w:t>one</w:t>
            </w:r>
            <w:r w:rsidRPr="005B38E6">
              <w:rPr>
                <w:lang w:val="en-US"/>
              </w:rPr>
              <w:t xml:space="preserve"> exists, </w:t>
            </w:r>
            <w:r>
              <w:rPr>
                <w:lang w:val="en-US"/>
              </w:rPr>
              <w:t>and/or any other community representative group meetings</w:t>
            </w:r>
            <w:r w:rsidRPr="005B38E6">
              <w:rPr>
                <w:lang w:val="en-US"/>
              </w:rPr>
              <w:t xml:space="preserve"> – Commonwealth Department of Infrastructure together with state</w:t>
            </w:r>
            <w:r w:rsidRPr="005B38E6">
              <w:rPr>
                <w:rFonts w:eastAsia="Arial"/>
              </w:rPr>
              <w:t>/territory</w:t>
            </w:r>
            <w:r w:rsidRPr="005B38E6">
              <w:rPr>
                <w:lang w:val="en-US"/>
              </w:rPr>
              <w:t xml:space="preserve"> health and environment representatives.</w:t>
            </w:r>
          </w:p>
          <w:p w14:paraId="66EDEB92" w14:textId="77777777" w:rsidR="0017386D" w:rsidRPr="005B38E6" w:rsidRDefault="0017386D" w:rsidP="00A70579">
            <w:pPr>
              <w:pStyle w:val="TableText"/>
              <w:rPr>
                <w:lang w:val="en-US"/>
              </w:rPr>
            </w:pPr>
            <w:r w:rsidRPr="005B38E6">
              <w:rPr>
                <w:lang w:val="en-US"/>
              </w:rPr>
              <w:t>Market gardeners:</w:t>
            </w:r>
          </w:p>
          <w:p w14:paraId="50731AC7" w14:textId="77777777" w:rsidR="0017386D" w:rsidRPr="005B38E6" w:rsidRDefault="0017386D" w:rsidP="00A70579">
            <w:pPr>
              <w:pStyle w:val="TableBullet1"/>
              <w:rPr>
                <w:lang w:val="en-US"/>
              </w:rPr>
            </w:pPr>
            <w:r w:rsidRPr="005B38E6">
              <w:rPr>
                <w:lang w:val="en-US"/>
              </w:rPr>
              <w:t>Attend a meeting arranged by the state</w:t>
            </w:r>
            <w:r w:rsidRPr="005B38E6">
              <w:rPr>
                <w:rFonts w:eastAsia="Arial"/>
              </w:rPr>
              <w:t>/territory</w:t>
            </w:r>
            <w:r w:rsidRPr="005B38E6">
              <w:rPr>
                <w:lang w:val="en-US"/>
              </w:rPr>
              <w:t xml:space="preserve"> agriculture agency with the local market gardeners – Commonwealth Department of Agriculture.</w:t>
            </w:r>
          </w:p>
        </w:tc>
      </w:tr>
      <w:tr w:rsidR="0017386D" w:rsidRPr="005B38E6" w14:paraId="7379541E" w14:textId="77777777" w:rsidTr="006646DD">
        <w:tblPrEx>
          <w:jc w:val="left"/>
        </w:tblPrEx>
        <w:trPr>
          <w:cantSplit/>
          <w:tblHeader/>
        </w:trPr>
        <w:tc>
          <w:tcPr>
            <w:tcW w:w="942" w:type="pct"/>
            <w:vMerge/>
          </w:tcPr>
          <w:p w14:paraId="597AF239" w14:textId="77777777" w:rsidR="0017386D" w:rsidRPr="005B38E6" w:rsidRDefault="0017386D" w:rsidP="007210EB">
            <w:pPr>
              <w:spacing w:before="60" w:after="60"/>
              <w:rPr>
                <w:rFonts w:asciiTheme="minorHAnsi" w:hAnsiTheme="minorHAnsi" w:cstheme="minorHAnsi"/>
                <w:lang w:val="en-US"/>
              </w:rPr>
            </w:pPr>
          </w:p>
        </w:tc>
        <w:tc>
          <w:tcPr>
            <w:tcW w:w="4058" w:type="pct"/>
          </w:tcPr>
          <w:p w14:paraId="5CAB4780" w14:textId="77777777" w:rsidR="0017386D" w:rsidRPr="00A70579" w:rsidRDefault="0017386D" w:rsidP="00A70579">
            <w:pPr>
              <w:pStyle w:val="TableText"/>
              <w:rPr>
                <w:i/>
                <w:iCs/>
                <w:lang w:val="en-US"/>
              </w:rPr>
            </w:pPr>
            <w:r w:rsidRPr="00A70579">
              <w:rPr>
                <w:i/>
                <w:iCs/>
                <w:lang w:val="en-US"/>
              </w:rPr>
              <w:t>What information is relevant to the primary stakeholders?</w:t>
            </w:r>
          </w:p>
          <w:p w14:paraId="31E2EEB0" w14:textId="77777777" w:rsidR="0017386D" w:rsidRPr="005B38E6" w:rsidRDefault="0017386D" w:rsidP="00A70579">
            <w:pPr>
              <w:pStyle w:val="TableText"/>
              <w:rPr>
                <w:lang w:val="en-US"/>
              </w:rPr>
            </w:pPr>
            <w:r w:rsidRPr="005B38E6">
              <w:rPr>
                <w:lang w:val="en-US"/>
              </w:rPr>
              <w:t>Residents:</w:t>
            </w:r>
          </w:p>
          <w:p w14:paraId="69EBB312" w14:textId="77777777" w:rsidR="0017386D" w:rsidRPr="005B38E6" w:rsidRDefault="0017386D" w:rsidP="00A70579">
            <w:pPr>
              <w:pStyle w:val="TableBullet1"/>
              <w:rPr>
                <w:lang w:val="en-US"/>
              </w:rPr>
            </w:pPr>
            <w:r>
              <w:rPr>
                <w:lang w:val="en-US"/>
              </w:rPr>
              <w:t>Commonwealth</w:t>
            </w:r>
            <w:r w:rsidRPr="005B38E6">
              <w:rPr>
                <w:lang w:val="en-US"/>
              </w:rPr>
              <w:t xml:space="preserve"> and state</w:t>
            </w:r>
            <w:r w:rsidRPr="005B38E6">
              <w:rPr>
                <w:rFonts w:eastAsia="Arial"/>
              </w:rPr>
              <w:t>/territory</w:t>
            </w:r>
            <w:r w:rsidRPr="005B38E6">
              <w:rPr>
                <w:lang w:val="en-US"/>
              </w:rPr>
              <w:t xml:space="preserve"> responsibilities.</w:t>
            </w:r>
          </w:p>
          <w:p w14:paraId="1241B147" w14:textId="77777777" w:rsidR="0017386D" w:rsidRPr="005B38E6" w:rsidRDefault="0017386D" w:rsidP="00A70579">
            <w:pPr>
              <w:pStyle w:val="TableBullet1"/>
              <w:rPr>
                <w:lang w:val="en-US"/>
              </w:rPr>
            </w:pPr>
            <w:r w:rsidRPr="005B38E6">
              <w:rPr>
                <w:lang w:val="en-US"/>
              </w:rPr>
              <w:t>The Australian Government’s regulatory oversight of airports.</w:t>
            </w:r>
          </w:p>
          <w:p w14:paraId="7D3AAE4E" w14:textId="77777777" w:rsidR="0017386D" w:rsidRPr="005B38E6" w:rsidRDefault="0017386D" w:rsidP="00A70579">
            <w:pPr>
              <w:pStyle w:val="TableBullet1"/>
              <w:rPr>
                <w:lang w:val="en-US"/>
              </w:rPr>
            </w:pPr>
            <w:r w:rsidRPr="005B38E6">
              <w:rPr>
                <w:lang w:val="en-US"/>
              </w:rPr>
              <w:t>Current health and environmental guidance about PFAS.</w:t>
            </w:r>
          </w:p>
          <w:p w14:paraId="4F3DEB68" w14:textId="77777777" w:rsidR="0017386D" w:rsidRPr="005B38E6" w:rsidRDefault="0017386D" w:rsidP="00A70579">
            <w:pPr>
              <w:pStyle w:val="TableText"/>
              <w:rPr>
                <w:lang w:val="en-US"/>
              </w:rPr>
            </w:pPr>
            <w:r w:rsidRPr="005B38E6">
              <w:rPr>
                <w:lang w:val="en-US"/>
              </w:rPr>
              <w:t>Market gardeners:</w:t>
            </w:r>
          </w:p>
          <w:p w14:paraId="157CE567" w14:textId="77777777" w:rsidR="0017386D" w:rsidRPr="005B38E6" w:rsidRDefault="0017386D" w:rsidP="00A70579">
            <w:pPr>
              <w:pStyle w:val="TableBullet1"/>
              <w:rPr>
                <w:lang w:val="en-US"/>
              </w:rPr>
            </w:pPr>
            <w:r w:rsidRPr="005B38E6">
              <w:rPr>
                <w:lang w:val="en-US"/>
              </w:rPr>
              <w:t>Commonwealth and state</w:t>
            </w:r>
            <w:r w:rsidRPr="005B38E6">
              <w:rPr>
                <w:rFonts w:eastAsia="Arial"/>
              </w:rPr>
              <w:t>/territory</w:t>
            </w:r>
            <w:r w:rsidRPr="005B38E6">
              <w:rPr>
                <w:lang w:val="en-US"/>
              </w:rPr>
              <w:t xml:space="preserve"> responsibilities.</w:t>
            </w:r>
          </w:p>
        </w:tc>
      </w:tr>
      <w:tr w:rsidR="0017386D" w:rsidRPr="00892009" w14:paraId="15EA30FF" w14:textId="77777777" w:rsidTr="006646DD">
        <w:tblPrEx>
          <w:jc w:val="left"/>
        </w:tblPrEx>
        <w:trPr>
          <w:cantSplit/>
          <w:tblHeader/>
        </w:trPr>
        <w:tc>
          <w:tcPr>
            <w:tcW w:w="942" w:type="pct"/>
            <w:vMerge/>
          </w:tcPr>
          <w:p w14:paraId="109CE97A" w14:textId="77777777" w:rsidR="0017386D" w:rsidRPr="005B38E6" w:rsidRDefault="0017386D" w:rsidP="007210EB">
            <w:pPr>
              <w:spacing w:before="60" w:after="60"/>
              <w:rPr>
                <w:rFonts w:asciiTheme="minorHAnsi" w:hAnsiTheme="minorHAnsi" w:cstheme="minorHAnsi"/>
              </w:rPr>
            </w:pPr>
          </w:p>
        </w:tc>
        <w:tc>
          <w:tcPr>
            <w:tcW w:w="4058" w:type="pct"/>
          </w:tcPr>
          <w:p w14:paraId="6EB5BA6B" w14:textId="77777777" w:rsidR="0017386D" w:rsidRPr="00A70579" w:rsidRDefault="0017386D" w:rsidP="00A70579">
            <w:pPr>
              <w:pStyle w:val="TableText"/>
              <w:rPr>
                <w:i/>
                <w:iCs/>
                <w:lang w:val="en-US"/>
              </w:rPr>
            </w:pPr>
            <w:r w:rsidRPr="00A70579">
              <w:rPr>
                <w:i/>
                <w:iCs/>
                <w:lang w:val="en-US"/>
              </w:rPr>
              <w:t>Who are the influencers for this issue?</w:t>
            </w:r>
          </w:p>
          <w:p w14:paraId="4CBD978D" w14:textId="77777777" w:rsidR="0017386D" w:rsidRPr="005B38E6" w:rsidRDefault="0017386D" w:rsidP="00A70579">
            <w:pPr>
              <w:pStyle w:val="TableBullet1"/>
              <w:rPr>
                <w:lang w:val="en-US"/>
              </w:rPr>
            </w:pPr>
            <w:r w:rsidRPr="005B38E6">
              <w:rPr>
                <w:lang w:val="en-US"/>
              </w:rPr>
              <w:t>Media.</w:t>
            </w:r>
          </w:p>
          <w:p w14:paraId="206BDFA8" w14:textId="77777777" w:rsidR="0017386D" w:rsidRPr="005B38E6" w:rsidRDefault="0017386D" w:rsidP="00A70579">
            <w:pPr>
              <w:pStyle w:val="TableBullet1"/>
              <w:rPr>
                <w:lang w:val="en-US"/>
              </w:rPr>
            </w:pPr>
            <w:r w:rsidRPr="005B38E6">
              <w:rPr>
                <w:lang w:val="en-US"/>
              </w:rPr>
              <w:t>Politicians.</w:t>
            </w:r>
          </w:p>
          <w:p w14:paraId="656FE4EE" w14:textId="77777777" w:rsidR="0017386D" w:rsidRPr="005B38E6" w:rsidRDefault="0017386D" w:rsidP="00A70579">
            <w:pPr>
              <w:pStyle w:val="TableBullet1"/>
              <w:rPr>
                <w:lang w:val="en-US"/>
              </w:rPr>
            </w:pPr>
            <w:r w:rsidRPr="005B38E6">
              <w:rPr>
                <w:lang w:val="en-US"/>
              </w:rPr>
              <w:t>Local government.</w:t>
            </w:r>
          </w:p>
          <w:p w14:paraId="10AE6172" w14:textId="77777777" w:rsidR="0017386D" w:rsidRPr="001824D2" w:rsidRDefault="0017386D" w:rsidP="00A70579">
            <w:pPr>
              <w:pStyle w:val="TableBullet1"/>
              <w:rPr>
                <w:lang w:val="en-US"/>
              </w:rPr>
            </w:pPr>
            <w:r w:rsidRPr="005B38E6">
              <w:t>Agricultural peak bodies.</w:t>
            </w:r>
          </w:p>
          <w:p w14:paraId="0CDD03DF" w14:textId="77777777" w:rsidR="0017386D" w:rsidRPr="005B38E6" w:rsidRDefault="0017386D" w:rsidP="00A70579">
            <w:pPr>
              <w:pStyle w:val="TableBullet1"/>
              <w:rPr>
                <w:lang w:val="en-US"/>
              </w:rPr>
            </w:pPr>
            <w:r>
              <w:t>CACG (or equivalent) chair</w:t>
            </w:r>
          </w:p>
        </w:tc>
      </w:tr>
    </w:tbl>
    <w:p w14:paraId="4DE7004E" w14:textId="77777777" w:rsidR="00194D4E" w:rsidRDefault="00194D4E" w:rsidP="00C318CD"/>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How can the Commonwealth and states/territories work together to communicate with the influencers?"/>
      </w:tblPr>
      <w:tblGrid>
        <w:gridCol w:w="1776"/>
        <w:gridCol w:w="7294"/>
      </w:tblGrid>
      <w:tr w:rsidR="00D33B21" w:rsidRPr="00892009" w14:paraId="2E0EED9B" w14:textId="77777777" w:rsidTr="00D33B21">
        <w:trPr>
          <w:cantSplit/>
          <w:trHeight w:val="557"/>
          <w:tblHeader/>
          <w:jc w:val="center"/>
        </w:trPr>
        <w:tc>
          <w:tcPr>
            <w:tcW w:w="5000" w:type="pct"/>
            <w:gridSpan w:val="2"/>
            <w:tcBorders>
              <w:top w:val="single" w:sz="4" w:space="0" w:color="auto"/>
              <w:bottom w:val="single" w:sz="4" w:space="0" w:color="auto"/>
            </w:tcBorders>
            <w:vAlign w:val="center"/>
          </w:tcPr>
          <w:p w14:paraId="0A63B477" w14:textId="7D974D73" w:rsidR="00D33B21" w:rsidRDefault="00D33B21" w:rsidP="006646DD">
            <w:pPr>
              <w:pStyle w:val="TableHeading"/>
              <w:rPr>
                <w:lang w:val="en-US"/>
              </w:rPr>
            </w:pPr>
            <w:r>
              <w:rPr>
                <w:lang w:val="en-US"/>
              </w:rPr>
              <w:t>How can the Commonwealth and states/territories work together to communicate with the influencers?</w:t>
            </w:r>
          </w:p>
        </w:tc>
      </w:tr>
      <w:tr w:rsidR="006646DD" w:rsidRPr="00892009" w14:paraId="2EE63A68" w14:textId="77777777" w:rsidTr="00D33B21">
        <w:trPr>
          <w:cantSplit/>
          <w:trHeight w:val="2602"/>
          <w:tblHeader/>
          <w:jc w:val="center"/>
        </w:trPr>
        <w:tc>
          <w:tcPr>
            <w:tcW w:w="979" w:type="pct"/>
            <w:vMerge w:val="restart"/>
            <w:tcBorders>
              <w:top w:val="single" w:sz="4" w:space="0" w:color="auto"/>
              <w:bottom w:val="nil"/>
            </w:tcBorders>
          </w:tcPr>
          <w:p w14:paraId="4AE3D131" w14:textId="2F8F45DF" w:rsidR="006646DD" w:rsidRPr="00912D2F" w:rsidRDefault="006646DD" w:rsidP="00912D2F">
            <w:pPr>
              <w:pStyle w:val="TableText"/>
              <w:rPr>
                <w:rFonts w:cstheme="minorHAnsi"/>
                <w:b/>
                <w:bCs/>
                <w:lang w:val="en-US"/>
              </w:rPr>
            </w:pPr>
            <w:r w:rsidRPr="00912D2F">
              <w:rPr>
                <w:b/>
                <w:bCs/>
                <w:noProof/>
                <w:lang w:eastAsia="en-AU"/>
              </w:rPr>
              <w:drawing>
                <wp:anchor distT="0" distB="0" distL="114300" distR="114300" simplePos="0" relativeHeight="251674112" behindDoc="0" locked="0" layoutInCell="1" allowOverlap="1" wp14:anchorId="5E53D27B" wp14:editId="5FEFC02A">
                  <wp:simplePos x="0" y="0"/>
                  <wp:positionH relativeFrom="column">
                    <wp:posOffset>31115</wp:posOffset>
                  </wp:positionH>
                  <wp:positionV relativeFrom="paragraph">
                    <wp:posOffset>282575</wp:posOffset>
                  </wp:positionV>
                  <wp:extent cx="964565" cy="964565"/>
                  <wp:effectExtent l="0" t="0" r="6985" b="6985"/>
                  <wp:wrapTopAndBottom/>
                  <wp:docPr id="10" name="Pictur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0" cstate="print">
                            <a:duotone>
                              <a:schemeClr val="accent1">
                                <a:shade val="45000"/>
                                <a:satMod val="135000"/>
                              </a:schemeClr>
                              <a:prstClr val="white"/>
                            </a:duotone>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margin">
                    <wp14:pctWidth>0</wp14:pctWidth>
                  </wp14:sizeRelH>
                  <wp14:sizeRelV relativeFrom="margin">
                    <wp14:pctHeight>0</wp14:pctHeight>
                  </wp14:sizeRelV>
                </wp:anchor>
              </w:drawing>
            </w:r>
            <w:r w:rsidRPr="00912D2F">
              <w:rPr>
                <w:b/>
                <w:bCs/>
                <w:lang w:val="en-US"/>
              </w:rPr>
              <w:t>Public</w:t>
            </w:r>
          </w:p>
          <w:p w14:paraId="20DD162D" w14:textId="77777777" w:rsidR="006646DD" w:rsidRPr="00892009" w:rsidRDefault="006646DD" w:rsidP="006646DD">
            <w:pPr>
              <w:spacing w:before="60" w:after="60"/>
              <w:rPr>
                <w:rFonts w:asciiTheme="minorHAnsi" w:hAnsiTheme="minorHAnsi" w:cstheme="minorHAnsi"/>
                <w:lang w:val="en-US"/>
              </w:rPr>
            </w:pPr>
          </w:p>
        </w:tc>
        <w:tc>
          <w:tcPr>
            <w:tcW w:w="4021" w:type="pct"/>
            <w:tcBorders>
              <w:top w:val="single" w:sz="4" w:space="0" w:color="auto"/>
              <w:bottom w:val="nil"/>
            </w:tcBorders>
          </w:tcPr>
          <w:p w14:paraId="5CA879DD" w14:textId="77777777" w:rsidR="006646DD" w:rsidRPr="00892009" w:rsidRDefault="006646DD" w:rsidP="00F859C2">
            <w:pPr>
              <w:pStyle w:val="TableBullet1"/>
              <w:rPr>
                <w:lang w:val="en-US"/>
              </w:rPr>
            </w:pPr>
            <w:r>
              <w:rPr>
                <w:lang w:val="en-US"/>
              </w:rPr>
              <w:t>Commonwealth r</w:t>
            </w:r>
            <w:r w:rsidRPr="00892009">
              <w:rPr>
                <w:lang w:val="en-US"/>
              </w:rPr>
              <w:t>elease</w:t>
            </w:r>
            <w:r>
              <w:rPr>
                <w:lang w:val="en-US"/>
              </w:rPr>
              <w:t>s</w:t>
            </w:r>
            <w:r w:rsidRPr="00892009">
              <w:rPr>
                <w:lang w:val="en-US"/>
              </w:rPr>
              <w:t xml:space="preserve"> a media statement by the Minister for Infrastructure and Transport, with early notification to the state</w:t>
            </w:r>
            <w:r w:rsidRPr="00892009">
              <w:rPr>
                <w:rFonts w:eastAsia="Arial"/>
              </w:rPr>
              <w:t>/territory.</w:t>
            </w:r>
          </w:p>
          <w:p w14:paraId="4657F1FF" w14:textId="77777777" w:rsidR="006646DD" w:rsidRPr="00892009" w:rsidRDefault="006646DD" w:rsidP="00F859C2">
            <w:pPr>
              <w:pStyle w:val="TableBullet1"/>
              <w:rPr>
                <w:lang w:val="en-US"/>
              </w:rPr>
            </w:pPr>
            <w:r w:rsidRPr="00892009">
              <w:rPr>
                <w:lang w:val="en-US"/>
              </w:rPr>
              <w:t>Provide timely responses to media enquiries prior to media reports being published so that the public has accurate information – any agency that receives enquiries on this issue.</w:t>
            </w:r>
          </w:p>
          <w:p w14:paraId="36EB8DE4" w14:textId="77777777" w:rsidR="006646DD" w:rsidRPr="00892009" w:rsidRDefault="006646DD" w:rsidP="00F859C2">
            <w:pPr>
              <w:pStyle w:val="TableBullet1"/>
              <w:rPr>
                <w:lang w:val="en-US"/>
              </w:rPr>
            </w:pPr>
            <w:r>
              <w:rPr>
                <w:lang w:val="en-US"/>
              </w:rPr>
              <w:t>Involved agencies brief relevant state, federal and local politicians.</w:t>
            </w:r>
          </w:p>
          <w:p w14:paraId="05AF3DE5" w14:textId="77777777" w:rsidR="006646DD" w:rsidRPr="00892009" w:rsidRDefault="006646DD" w:rsidP="00F859C2">
            <w:pPr>
              <w:pStyle w:val="TableBullet1"/>
              <w:rPr>
                <w:lang w:val="en-US"/>
              </w:rPr>
            </w:pPr>
            <w:r>
              <w:rPr>
                <w:lang w:val="en-US"/>
              </w:rPr>
              <w:t xml:space="preserve">Commonwealth Department of </w:t>
            </w:r>
            <w:r w:rsidRPr="00892009">
              <w:rPr>
                <w:lang w:val="en-US"/>
              </w:rPr>
              <w:t>Agriculture attends a meeting arranged by the state</w:t>
            </w:r>
            <w:r w:rsidRPr="00892009">
              <w:rPr>
                <w:rFonts w:eastAsia="Arial"/>
              </w:rPr>
              <w:t>/territory</w:t>
            </w:r>
            <w:r w:rsidRPr="00892009">
              <w:rPr>
                <w:lang w:val="en-US"/>
              </w:rPr>
              <w:t xml:space="preserve"> agriculture agency with agricultural peak bodies.</w:t>
            </w:r>
          </w:p>
        </w:tc>
      </w:tr>
      <w:tr w:rsidR="006646DD" w:rsidRPr="00892009" w14:paraId="3A18FEA3" w14:textId="77777777" w:rsidTr="00D33B21">
        <w:trPr>
          <w:cantSplit/>
          <w:tblHeader/>
          <w:jc w:val="center"/>
        </w:trPr>
        <w:tc>
          <w:tcPr>
            <w:tcW w:w="979" w:type="pct"/>
            <w:vMerge/>
            <w:tcBorders>
              <w:top w:val="nil"/>
              <w:bottom w:val="single" w:sz="4" w:space="0" w:color="auto"/>
            </w:tcBorders>
          </w:tcPr>
          <w:p w14:paraId="515B74CF" w14:textId="77777777" w:rsidR="006646DD" w:rsidRPr="00892009" w:rsidRDefault="006646DD" w:rsidP="007210EB">
            <w:pPr>
              <w:spacing w:before="60" w:after="60"/>
              <w:rPr>
                <w:rFonts w:asciiTheme="minorHAnsi" w:hAnsiTheme="minorHAnsi" w:cstheme="minorHAnsi"/>
                <w:lang w:val="en-US"/>
              </w:rPr>
            </w:pPr>
          </w:p>
        </w:tc>
        <w:tc>
          <w:tcPr>
            <w:tcW w:w="4021" w:type="pct"/>
            <w:tcBorders>
              <w:top w:val="nil"/>
              <w:bottom w:val="single" w:sz="4" w:space="0" w:color="auto"/>
            </w:tcBorders>
          </w:tcPr>
          <w:p w14:paraId="3C9CF88C" w14:textId="77777777" w:rsidR="006646DD" w:rsidRPr="00F859C2" w:rsidRDefault="006646DD" w:rsidP="00F859C2">
            <w:pPr>
              <w:pStyle w:val="TableText"/>
              <w:rPr>
                <w:i/>
                <w:iCs/>
                <w:lang w:val="en-US"/>
              </w:rPr>
            </w:pPr>
            <w:r w:rsidRPr="00F859C2">
              <w:rPr>
                <w:i/>
                <w:iCs/>
                <w:lang w:val="en-US"/>
              </w:rPr>
              <w:t>What information is relevant to the influencers?</w:t>
            </w:r>
          </w:p>
          <w:p w14:paraId="6CF7FA68" w14:textId="77777777" w:rsidR="006646DD" w:rsidRPr="00892009" w:rsidRDefault="006646DD" w:rsidP="00F859C2">
            <w:pPr>
              <w:pStyle w:val="TableText"/>
              <w:rPr>
                <w:rFonts w:cstheme="minorHAnsi"/>
                <w:lang w:val="en-US"/>
              </w:rPr>
            </w:pPr>
            <w:r w:rsidRPr="00892009">
              <w:rPr>
                <w:rFonts w:cstheme="minorHAnsi"/>
                <w:lang w:val="en-US"/>
              </w:rPr>
              <w:t>All:</w:t>
            </w:r>
          </w:p>
          <w:p w14:paraId="004E6909" w14:textId="77777777" w:rsidR="006646DD" w:rsidRPr="00444576" w:rsidRDefault="006646DD" w:rsidP="00F859C2">
            <w:pPr>
              <w:pStyle w:val="TableBullet1"/>
              <w:rPr>
                <w:i/>
                <w:lang w:val="en-US"/>
              </w:rPr>
            </w:pPr>
            <w:r w:rsidRPr="00892009">
              <w:rPr>
                <w:lang w:val="en-US"/>
              </w:rPr>
              <w:t>Action the Commonwealth is taking.</w:t>
            </w:r>
          </w:p>
          <w:p w14:paraId="5B203E7B" w14:textId="77777777" w:rsidR="006646DD" w:rsidRPr="00892009" w:rsidRDefault="006646DD" w:rsidP="00F859C2">
            <w:pPr>
              <w:pStyle w:val="TableBullet1"/>
              <w:rPr>
                <w:i/>
                <w:lang w:val="en-US"/>
              </w:rPr>
            </w:pPr>
            <w:r>
              <w:rPr>
                <w:lang w:val="en-US"/>
              </w:rPr>
              <w:t xml:space="preserve">Action the polluter is taking. </w:t>
            </w:r>
          </w:p>
          <w:p w14:paraId="7F09E812" w14:textId="77777777" w:rsidR="006646DD" w:rsidRPr="00892009" w:rsidRDefault="006646DD" w:rsidP="00F859C2">
            <w:pPr>
              <w:pStyle w:val="TableBullet1"/>
              <w:rPr>
                <w:i/>
                <w:lang w:val="en-US"/>
              </w:rPr>
            </w:pPr>
            <w:r>
              <w:rPr>
                <w:lang w:val="en-US"/>
              </w:rPr>
              <w:t>C</w:t>
            </w:r>
            <w:r w:rsidRPr="00892009">
              <w:rPr>
                <w:lang w:val="en-US"/>
              </w:rPr>
              <w:t xml:space="preserve">ooperation </w:t>
            </w:r>
            <w:r>
              <w:rPr>
                <w:lang w:val="en-US"/>
              </w:rPr>
              <w:t>between Commonwealth agencies</w:t>
            </w:r>
            <w:r w:rsidRPr="00892009">
              <w:rPr>
                <w:lang w:val="en-US"/>
              </w:rPr>
              <w:t xml:space="preserve"> </w:t>
            </w:r>
            <w:r>
              <w:rPr>
                <w:lang w:val="en-US"/>
              </w:rPr>
              <w:t xml:space="preserve">and </w:t>
            </w:r>
            <w:r w:rsidRPr="00892009">
              <w:rPr>
                <w:lang w:val="en-US"/>
              </w:rPr>
              <w:t>state</w:t>
            </w:r>
            <w:r w:rsidRPr="00892009">
              <w:rPr>
                <w:rFonts w:eastAsia="Arial"/>
              </w:rPr>
              <w:t>/territory</w:t>
            </w:r>
            <w:r w:rsidRPr="00892009">
              <w:rPr>
                <w:lang w:val="en-US"/>
              </w:rPr>
              <w:t xml:space="preserve"> agencies.</w:t>
            </w:r>
          </w:p>
        </w:tc>
      </w:tr>
      <w:tr w:rsidR="006646DD" w:rsidRPr="00892009" w14:paraId="76601007" w14:textId="77777777" w:rsidTr="00D33B21">
        <w:trPr>
          <w:cantSplit/>
          <w:trHeight w:val="2071"/>
          <w:tblHeader/>
          <w:jc w:val="center"/>
        </w:trPr>
        <w:tc>
          <w:tcPr>
            <w:tcW w:w="979" w:type="pct"/>
            <w:tcBorders>
              <w:top w:val="single" w:sz="4" w:space="0" w:color="auto"/>
            </w:tcBorders>
          </w:tcPr>
          <w:p w14:paraId="28EF45E6" w14:textId="61E0D35B" w:rsidR="006646DD" w:rsidRPr="00912D2F" w:rsidRDefault="006646DD" w:rsidP="00912D2F">
            <w:pPr>
              <w:pStyle w:val="TableText"/>
              <w:rPr>
                <w:rFonts w:cstheme="minorHAnsi"/>
                <w:b/>
                <w:bCs/>
                <w:lang w:val="en-US"/>
              </w:rPr>
            </w:pPr>
            <w:r w:rsidRPr="00912D2F">
              <w:rPr>
                <w:b/>
                <w:bCs/>
                <w:noProof/>
                <w:lang w:eastAsia="en-AU"/>
              </w:rPr>
              <w:drawing>
                <wp:anchor distT="0" distB="0" distL="114300" distR="114300" simplePos="0" relativeHeight="251688448" behindDoc="0" locked="0" layoutInCell="1" allowOverlap="1" wp14:anchorId="397DF68F" wp14:editId="0BABED6B">
                  <wp:simplePos x="0" y="0"/>
                  <wp:positionH relativeFrom="column">
                    <wp:posOffset>5715</wp:posOffset>
                  </wp:positionH>
                  <wp:positionV relativeFrom="paragraph">
                    <wp:posOffset>251460</wp:posOffset>
                  </wp:positionV>
                  <wp:extent cx="982800" cy="982800"/>
                  <wp:effectExtent l="0" t="0" r="8255" b="8255"/>
                  <wp:wrapTopAndBottom/>
                  <wp:docPr id="12288" name="Picture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2" cstate="print">
                            <a:duotone>
                              <a:schemeClr val="accent1">
                                <a:shade val="45000"/>
                                <a:satMod val="135000"/>
                              </a:schemeClr>
                              <a:prstClr val="white"/>
                            </a:duotone>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82800" cy="982800"/>
                          </a:xfrm>
                          <a:prstGeom prst="rect">
                            <a:avLst/>
                          </a:prstGeom>
                        </pic:spPr>
                      </pic:pic>
                    </a:graphicData>
                  </a:graphic>
                  <wp14:sizeRelH relativeFrom="margin">
                    <wp14:pctWidth>0</wp14:pctWidth>
                  </wp14:sizeRelH>
                  <wp14:sizeRelV relativeFrom="margin">
                    <wp14:pctHeight>0</wp14:pctHeight>
                  </wp14:sizeRelV>
                </wp:anchor>
              </w:drawing>
            </w:r>
            <w:r w:rsidRPr="00912D2F">
              <w:rPr>
                <w:b/>
                <w:bCs/>
                <w:lang w:val="en-US"/>
              </w:rPr>
              <w:t>Evaluation</w:t>
            </w:r>
          </w:p>
          <w:p w14:paraId="7E5944F2" w14:textId="77777777" w:rsidR="006646DD" w:rsidRPr="00892009" w:rsidRDefault="006646DD" w:rsidP="00912D2F">
            <w:pPr>
              <w:spacing w:before="60" w:after="60"/>
              <w:rPr>
                <w:rFonts w:asciiTheme="minorHAnsi" w:hAnsiTheme="minorHAnsi" w:cstheme="minorHAnsi"/>
                <w:lang w:val="en-US"/>
              </w:rPr>
            </w:pPr>
          </w:p>
        </w:tc>
        <w:tc>
          <w:tcPr>
            <w:tcW w:w="4021" w:type="pct"/>
            <w:tcBorders>
              <w:top w:val="single" w:sz="4" w:space="0" w:color="auto"/>
            </w:tcBorders>
          </w:tcPr>
          <w:p w14:paraId="41B6E130" w14:textId="77777777" w:rsidR="006646DD" w:rsidRPr="00912D2F" w:rsidRDefault="006646DD" w:rsidP="00912D2F">
            <w:pPr>
              <w:pStyle w:val="TableText"/>
              <w:rPr>
                <w:i/>
                <w:iCs/>
                <w:lang w:val="en-US"/>
              </w:rPr>
            </w:pPr>
            <w:r w:rsidRPr="00912D2F">
              <w:rPr>
                <w:i/>
                <w:iCs/>
                <w:lang w:val="en-US"/>
              </w:rPr>
              <w:t>Was the objective of the communication/engagement achieved?</w:t>
            </w:r>
          </w:p>
          <w:p w14:paraId="1FE9D039" w14:textId="77777777" w:rsidR="006646DD" w:rsidRPr="005B38E6" w:rsidRDefault="006646DD" w:rsidP="00912D2F">
            <w:pPr>
              <w:pStyle w:val="TableBullet1"/>
              <w:rPr>
                <w:lang w:val="en-US"/>
              </w:rPr>
            </w:pPr>
            <w:r w:rsidRPr="005B38E6">
              <w:rPr>
                <w:lang w:val="en-US"/>
              </w:rPr>
              <w:t>Department of Infrastructure monitors media coverage and seeks feedback from the CACG (if it exists for the airport).</w:t>
            </w:r>
          </w:p>
          <w:p w14:paraId="67E5CFC1" w14:textId="77777777" w:rsidR="006646DD" w:rsidRPr="00892009" w:rsidRDefault="006646DD" w:rsidP="00912D2F">
            <w:pPr>
              <w:pStyle w:val="TableBullet1"/>
              <w:rPr>
                <w:lang w:val="en-US"/>
              </w:rPr>
            </w:pPr>
            <w:r w:rsidRPr="005B38E6">
              <w:rPr>
                <w:lang w:val="en-US"/>
              </w:rPr>
              <w:t>Department of Infrastructure emails other Commonwealth departments and state</w:t>
            </w:r>
            <w:r w:rsidRPr="005B38E6">
              <w:rPr>
                <w:rFonts w:eastAsia="Arial"/>
              </w:rPr>
              <w:t>/territory</w:t>
            </w:r>
            <w:r w:rsidRPr="005B38E6">
              <w:rPr>
                <w:lang w:val="en-US"/>
              </w:rPr>
              <w:t xml:space="preserve"> agencies requesting feedback about lessons learned and suggestions for similar future communication and engagement.</w:t>
            </w:r>
          </w:p>
        </w:tc>
      </w:tr>
    </w:tbl>
    <w:p w14:paraId="76F8484E" w14:textId="20F29F3C" w:rsidR="00764D6A" w:rsidRDefault="00764D6A" w:rsidP="00434329"/>
    <w:sectPr w:rsidR="00764D6A" w:rsidSect="00FE0AC8">
      <w:type w:val="continuous"/>
      <w:pgSz w:w="11906" w:h="16838"/>
      <w:pgMar w:top="1418" w:right="1418" w:bottom="1418" w:left="1418" w:header="567" w:footer="709" w:gutter="0"/>
      <w:pgNumType w:start="1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A4F0C" w16cid:durableId="22D3B3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DA8C" w14:textId="77777777" w:rsidR="005D1820" w:rsidRDefault="005D1820" w:rsidP="00C318CD">
      <w:r>
        <w:separator/>
      </w:r>
    </w:p>
    <w:p w14:paraId="7F961980" w14:textId="77777777" w:rsidR="005D1820" w:rsidRDefault="005D1820" w:rsidP="00C318CD"/>
    <w:p w14:paraId="3C5D523D" w14:textId="77777777" w:rsidR="005D1820" w:rsidRDefault="005D1820" w:rsidP="00C318CD"/>
  </w:endnote>
  <w:endnote w:type="continuationSeparator" w:id="0">
    <w:p w14:paraId="2EB5B7DD" w14:textId="77777777" w:rsidR="005D1820" w:rsidRDefault="005D1820" w:rsidP="00C318CD">
      <w:r>
        <w:continuationSeparator/>
      </w:r>
    </w:p>
    <w:p w14:paraId="0C5B5F59" w14:textId="77777777" w:rsidR="005D1820" w:rsidRDefault="005D1820" w:rsidP="00C318CD"/>
    <w:p w14:paraId="28658671" w14:textId="77777777" w:rsidR="005D1820" w:rsidRDefault="005D1820" w:rsidP="00C318CD"/>
  </w:endnote>
  <w:endnote w:type="continuationNotice" w:id="1">
    <w:p w14:paraId="0294C5B3" w14:textId="77777777" w:rsidR="005D1820" w:rsidRDefault="005D1820" w:rsidP="00C318CD">
      <w:pPr>
        <w:pStyle w:val="Footer"/>
      </w:pPr>
    </w:p>
    <w:p w14:paraId="20711269" w14:textId="77777777" w:rsidR="005D1820" w:rsidRDefault="005D1820" w:rsidP="00C318CD"/>
    <w:p w14:paraId="2CDC0A55" w14:textId="77777777" w:rsidR="005D1820" w:rsidRDefault="005D1820" w:rsidP="00C31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22434"/>
      <w:docPartObj>
        <w:docPartGallery w:val="Page Numbers (Bottom of Page)"/>
        <w:docPartUnique/>
      </w:docPartObj>
    </w:sdtPr>
    <w:sdtEndPr>
      <w:rPr>
        <w:noProof/>
      </w:rPr>
    </w:sdtEndPr>
    <w:sdtContent>
      <w:p w14:paraId="1ABB65D6" w14:textId="45F06309" w:rsidR="00C464CF" w:rsidRDefault="00C464CF">
        <w:pPr>
          <w:pStyle w:val="Footer"/>
        </w:pPr>
        <w:r>
          <w:fldChar w:fldCharType="begin"/>
        </w:r>
        <w:r>
          <w:instrText xml:space="preserve"> PAGE   \* MERGEFORMAT </w:instrText>
        </w:r>
        <w:r>
          <w:fldChar w:fldCharType="separate"/>
        </w:r>
        <w:r w:rsidR="0001223B">
          <w:rPr>
            <w:noProof/>
          </w:rPr>
          <w:t>2</w:t>
        </w:r>
        <w:r>
          <w:rPr>
            <w:noProof/>
          </w:rPr>
          <w:fldChar w:fldCharType="end"/>
        </w:r>
      </w:p>
    </w:sdtContent>
  </w:sdt>
  <w:p w14:paraId="7801DA85" w14:textId="77777777" w:rsidR="00C464CF" w:rsidRDefault="00C4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34727"/>
      <w:docPartObj>
        <w:docPartGallery w:val="Page Numbers (Bottom of Page)"/>
        <w:docPartUnique/>
      </w:docPartObj>
    </w:sdtPr>
    <w:sdtEndPr>
      <w:rPr>
        <w:noProof/>
      </w:rPr>
    </w:sdtEndPr>
    <w:sdtContent>
      <w:p w14:paraId="190B9CFE" w14:textId="0633E556" w:rsidR="00C464CF" w:rsidRDefault="00C464CF">
        <w:pPr>
          <w:pStyle w:val="Footer"/>
        </w:pPr>
        <w:r>
          <w:fldChar w:fldCharType="begin"/>
        </w:r>
        <w:r>
          <w:instrText xml:space="preserve"> PAGE   \* MERGEFORMAT </w:instrText>
        </w:r>
        <w:r>
          <w:fldChar w:fldCharType="separate"/>
        </w:r>
        <w:r w:rsidR="0001223B">
          <w:rPr>
            <w:noProof/>
          </w:rPr>
          <w:t>5</w:t>
        </w:r>
        <w:r>
          <w:rPr>
            <w:noProof/>
          </w:rPr>
          <w:fldChar w:fldCharType="end"/>
        </w:r>
      </w:p>
    </w:sdtContent>
  </w:sdt>
  <w:p w14:paraId="51396384" w14:textId="7F3FB3CF" w:rsidR="00C464CF" w:rsidRPr="00622B2E" w:rsidRDefault="00C464CF" w:rsidP="00622B2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48155"/>
      <w:docPartObj>
        <w:docPartGallery w:val="Page Numbers (Bottom of Page)"/>
        <w:docPartUnique/>
      </w:docPartObj>
    </w:sdtPr>
    <w:sdtEndPr>
      <w:rPr>
        <w:noProof/>
      </w:rPr>
    </w:sdtEndPr>
    <w:sdtContent>
      <w:p w14:paraId="1E642693" w14:textId="72412D04" w:rsidR="00C464CF" w:rsidRDefault="00C464CF">
        <w:pPr>
          <w:pStyle w:val="Footer"/>
        </w:pPr>
        <w:r>
          <w:fldChar w:fldCharType="begin"/>
        </w:r>
        <w:r>
          <w:instrText xml:space="preserve"> PAGE   \* MERGEFORMAT </w:instrText>
        </w:r>
        <w:r>
          <w:fldChar w:fldCharType="separate"/>
        </w:r>
        <w:r w:rsidR="0001223B">
          <w:rPr>
            <w:noProof/>
          </w:rPr>
          <w:t>21</w:t>
        </w:r>
        <w:r>
          <w:rPr>
            <w:noProof/>
          </w:rPr>
          <w:fldChar w:fldCharType="end"/>
        </w:r>
      </w:p>
    </w:sdtContent>
  </w:sdt>
  <w:p w14:paraId="11E06B64" w14:textId="5B7DAC16" w:rsidR="00C464CF" w:rsidRPr="00622B2E" w:rsidRDefault="00C464CF" w:rsidP="00622B2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31AB" w14:textId="77777777" w:rsidR="005D1820" w:rsidRDefault="005D1820" w:rsidP="00C318CD">
      <w:r>
        <w:separator/>
      </w:r>
    </w:p>
    <w:p w14:paraId="7D93478E" w14:textId="77777777" w:rsidR="005D1820" w:rsidRDefault="005D1820" w:rsidP="00C318CD"/>
    <w:p w14:paraId="162D1C02" w14:textId="77777777" w:rsidR="005D1820" w:rsidRDefault="005D1820" w:rsidP="00C318CD"/>
  </w:footnote>
  <w:footnote w:type="continuationSeparator" w:id="0">
    <w:p w14:paraId="78A80FC4" w14:textId="77777777" w:rsidR="005D1820" w:rsidRDefault="005D1820" w:rsidP="00C318CD">
      <w:r>
        <w:continuationSeparator/>
      </w:r>
    </w:p>
    <w:p w14:paraId="6271C644" w14:textId="77777777" w:rsidR="005D1820" w:rsidRDefault="005D1820" w:rsidP="00C318CD"/>
    <w:p w14:paraId="41D0067B" w14:textId="77777777" w:rsidR="005D1820" w:rsidRDefault="005D1820" w:rsidP="00C318CD"/>
  </w:footnote>
  <w:footnote w:type="continuationNotice" w:id="1">
    <w:p w14:paraId="527B40AC" w14:textId="77777777" w:rsidR="005D1820" w:rsidRDefault="005D1820" w:rsidP="00C318CD">
      <w:pPr>
        <w:pStyle w:val="Footer"/>
      </w:pPr>
    </w:p>
    <w:p w14:paraId="5D6CF407" w14:textId="77777777" w:rsidR="005D1820" w:rsidRDefault="005D1820" w:rsidP="00C318CD"/>
    <w:p w14:paraId="37DA9FD0" w14:textId="77777777" w:rsidR="005D1820" w:rsidRDefault="005D1820" w:rsidP="00C318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AEC"/>
    <w:multiLevelType w:val="hybridMultilevel"/>
    <w:tmpl w:val="EF4844A8"/>
    <w:lvl w:ilvl="0" w:tplc="CC36ADC0">
      <w:start w:val="1"/>
      <w:numFmt w:val="bullet"/>
      <w:pStyle w:val="ListBullet2"/>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2056DAA"/>
    <w:multiLevelType w:val="hybridMultilevel"/>
    <w:tmpl w:val="3EF6CA6A"/>
    <w:lvl w:ilvl="0" w:tplc="8FFE7C62">
      <w:start w:val="1"/>
      <w:numFmt w:val="bullet"/>
      <w:pStyle w:val="TableBullet2"/>
      <w:lvlText w:val="o"/>
      <w:lvlJc w:val="left"/>
      <w:pPr>
        <w:ind w:left="64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3" w15:restartNumberingAfterBreak="0">
    <w:nsid w:val="21A328D5"/>
    <w:multiLevelType w:val="multilevel"/>
    <w:tmpl w:val="BE78A4F8"/>
    <w:numStyleLink w:val="Numberlist"/>
  </w:abstractNum>
  <w:abstractNum w:abstractNumId="4" w15:restartNumberingAfterBreak="0">
    <w:nsid w:val="21E20078"/>
    <w:multiLevelType w:val="multilevel"/>
    <w:tmpl w:val="F36C17E8"/>
    <w:styleLink w:val="Headinglist"/>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94A15FE"/>
    <w:multiLevelType w:val="multilevel"/>
    <w:tmpl w:val="F36C17E8"/>
    <w:numStyleLink w:val="Headinglist"/>
  </w:abstractNum>
  <w:abstractNum w:abstractNumId="6"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7"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B23287"/>
    <w:multiLevelType w:val="hybridMultilevel"/>
    <w:tmpl w:val="56E8655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10" w15:restartNumberingAfterBreak="0">
    <w:nsid w:val="5AA12966"/>
    <w:multiLevelType w:val="multilevel"/>
    <w:tmpl w:val="57025F5C"/>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1"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6"/>
  </w:num>
  <w:num w:numId="2">
    <w:abstractNumId w:val="2"/>
  </w:num>
  <w:num w:numId="3">
    <w:abstractNumId w:val="10"/>
  </w:num>
  <w:num w:numId="4">
    <w:abstractNumId w:val="11"/>
  </w:num>
  <w:num w:numId="5">
    <w:abstractNumId w:val="4"/>
  </w:num>
  <w:num w:numId="6">
    <w:abstractNumId w:val="5"/>
  </w:num>
  <w:num w:numId="7">
    <w:abstractNumId w:val="9"/>
  </w:num>
  <w:num w:numId="8">
    <w:abstractNumId w:val="3"/>
  </w:num>
  <w:num w:numId="9">
    <w:abstractNumId w:val="7"/>
  </w:num>
  <w:num w:numId="10">
    <w:abstractNumId w:val="1"/>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79"/>
    <w:rsid w:val="00000D8A"/>
    <w:rsid w:val="0001223B"/>
    <w:rsid w:val="000357AA"/>
    <w:rsid w:val="00035846"/>
    <w:rsid w:val="00040F04"/>
    <w:rsid w:val="000422BC"/>
    <w:rsid w:val="00067EEE"/>
    <w:rsid w:val="000761AD"/>
    <w:rsid w:val="00085F2E"/>
    <w:rsid w:val="0009760E"/>
    <w:rsid w:val="000A2C2E"/>
    <w:rsid w:val="000B451D"/>
    <w:rsid w:val="000B7FCA"/>
    <w:rsid w:val="000E3863"/>
    <w:rsid w:val="000E6E9B"/>
    <w:rsid w:val="00110640"/>
    <w:rsid w:val="00110C26"/>
    <w:rsid w:val="001230D9"/>
    <w:rsid w:val="00125435"/>
    <w:rsid w:val="0013501A"/>
    <w:rsid w:val="00160720"/>
    <w:rsid w:val="0016130D"/>
    <w:rsid w:val="0017386D"/>
    <w:rsid w:val="001904C0"/>
    <w:rsid w:val="00194D4E"/>
    <w:rsid w:val="001A19EB"/>
    <w:rsid w:val="001B61A1"/>
    <w:rsid w:val="001D18A2"/>
    <w:rsid w:val="001D2ADA"/>
    <w:rsid w:val="001D570C"/>
    <w:rsid w:val="001E135B"/>
    <w:rsid w:val="001E1B81"/>
    <w:rsid w:val="001F2E9A"/>
    <w:rsid w:val="001F7207"/>
    <w:rsid w:val="00203ED0"/>
    <w:rsid w:val="0020502D"/>
    <w:rsid w:val="002053EA"/>
    <w:rsid w:val="002075B9"/>
    <w:rsid w:val="0020786F"/>
    <w:rsid w:val="002168CB"/>
    <w:rsid w:val="002169E1"/>
    <w:rsid w:val="00222137"/>
    <w:rsid w:val="00225C40"/>
    <w:rsid w:val="00227B9D"/>
    <w:rsid w:val="00246DC8"/>
    <w:rsid w:val="00256669"/>
    <w:rsid w:val="00274507"/>
    <w:rsid w:val="00284D14"/>
    <w:rsid w:val="00286307"/>
    <w:rsid w:val="002909FB"/>
    <w:rsid w:val="00295543"/>
    <w:rsid w:val="00296F81"/>
    <w:rsid w:val="002B4355"/>
    <w:rsid w:val="002C50B3"/>
    <w:rsid w:val="002C719F"/>
    <w:rsid w:val="003014F9"/>
    <w:rsid w:val="003053B6"/>
    <w:rsid w:val="00310EB1"/>
    <w:rsid w:val="003164D6"/>
    <w:rsid w:val="003171DD"/>
    <w:rsid w:val="00322814"/>
    <w:rsid w:val="0033092C"/>
    <w:rsid w:val="00340628"/>
    <w:rsid w:val="00344DAA"/>
    <w:rsid w:val="00344E70"/>
    <w:rsid w:val="0035414E"/>
    <w:rsid w:val="00360BC4"/>
    <w:rsid w:val="00362BFA"/>
    <w:rsid w:val="00366449"/>
    <w:rsid w:val="00372552"/>
    <w:rsid w:val="00380BC1"/>
    <w:rsid w:val="003B6877"/>
    <w:rsid w:val="003C0192"/>
    <w:rsid w:val="003D49EF"/>
    <w:rsid w:val="003D4A0F"/>
    <w:rsid w:val="003D5DA5"/>
    <w:rsid w:val="003E43A8"/>
    <w:rsid w:val="003F7420"/>
    <w:rsid w:val="003F7D02"/>
    <w:rsid w:val="0040728C"/>
    <w:rsid w:val="00420CEA"/>
    <w:rsid w:val="00434329"/>
    <w:rsid w:val="00446FCD"/>
    <w:rsid w:val="004573DC"/>
    <w:rsid w:val="004650A8"/>
    <w:rsid w:val="00480B61"/>
    <w:rsid w:val="00485C9B"/>
    <w:rsid w:val="00490D50"/>
    <w:rsid w:val="00495C4A"/>
    <w:rsid w:val="004A528B"/>
    <w:rsid w:val="004A5299"/>
    <w:rsid w:val="004B1D54"/>
    <w:rsid w:val="004B66FD"/>
    <w:rsid w:val="004C184C"/>
    <w:rsid w:val="004C5C02"/>
    <w:rsid w:val="004C75ED"/>
    <w:rsid w:val="004D03B7"/>
    <w:rsid w:val="004E30A7"/>
    <w:rsid w:val="004E34B1"/>
    <w:rsid w:val="004E4254"/>
    <w:rsid w:val="004E4E44"/>
    <w:rsid w:val="004F4F2D"/>
    <w:rsid w:val="005043EB"/>
    <w:rsid w:val="00511466"/>
    <w:rsid w:val="0051772A"/>
    <w:rsid w:val="00531AEC"/>
    <w:rsid w:val="005363B7"/>
    <w:rsid w:val="00547F44"/>
    <w:rsid w:val="00571032"/>
    <w:rsid w:val="00577340"/>
    <w:rsid w:val="005929D3"/>
    <w:rsid w:val="00593085"/>
    <w:rsid w:val="005959AF"/>
    <w:rsid w:val="005A6ED5"/>
    <w:rsid w:val="005B3B63"/>
    <w:rsid w:val="005C2D3D"/>
    <w:rsid w:val="005D1820"/>
    <w:rsid w:val="005D51B0"/>
    <w:rsid w:val="00600B79"/>
    <w:rsid w:val="00622B2E"/>
    <w:rsid w:val="00654494"/>
    <w:rsid w:val="00662A21"/>
    <w:rsid w:val="006646DD"/>
    <w:rsid w:val="00677DD3"/>
    <w:rsid w:val="00696C70"/>
    <w:rsid w:val="0069718D"/>
    <w:rsid w:val="006A44C2"/>
    <w:rsid w:val="006A5934"/>
    <w:rsid w:val="006B318F"/>
    <w:rsid w:val="006B5F8F"/>
    <w:rsid w:val="006C5145"/>
    <w:rsid w:val="006D324C"/>
    <w:rsid w:val="006E2EE2"/>
    <w:rsid w:val="006F069C"/>
    <w:rsid w:val="006F1ABB"/>
    <w:rsid w:val="007210EB"/>
    <w:rsid w:val="00722A8F"/>
    <w:rsid w:val="00745899"/>
    <w:rsid w:val="00763C1C"/>
    <w:rsid w:val="00764D6A"/>
    <w:rsid w:val="00773056"/>
    <w:rsid w:val="00775E17"/>
    <w:rsid w:val="00776657"/>
    <w:rsid w:val="007A0029"/>
    <w:rsid w:val="007A496A"/>
    <w:rsid w:val="007A4C26"/>
    <w:rsid w:val="007A7F74"/>
    <w:rsid w:val="007B4CA9"/>
    <w:rsid w:val="007C2DFD"/>
    <w:rsid w:val="007C358A"/>
    <w:rsid w:val="007E5F67"/>
    <w:rsid w:val="007E6235"/>
    <w:rsid w:val="007F0FD0"/>
    <w:rsid w:val="00800A12"/>
    <w:rsid w:val="00810697"/>
    <w:rsid w:val="00811BF2"/>
    <w:rsid w:val="00816B7F"/>
    <w:rsid w:val="00817EB9"/>
    <w:rsid w:val="0083160E"/>
    <w:rsid w:val="008451ED"/>
    <w:rsid w:val="008521C6"/>
    <w:rsid w:val="00856DE4"/>
    <w:rsid w:val="008617F7"/>
    <w:rsid w:val="00875B6E"/>
    <w:rsid w:val="008861A4"/>
    <w:rsid w:val="008B5264"/>
    <w:rsid w:val="008C3665"/>
    <w:rsid w:val="008C766C"/>
    <w:rsid w:val="008D685B"/>
    <w:rsid w:val="008D7CF6"/>
    <w:rsid w:val="008E688E"/>
    <w:rsid w:val="008E76B8"/>
    <w:rsid w:val="008F0707"/>
    <w:rsid w:val="009004F2"/>
    <w:rsid w:val="00912D2F"/>
    <w:rsid w:val="0094794E"/>
    <w:rsid w:val="00963CDD"/>
    <w:rsid w:val="00967AEA"/>
    <w:rsid w:val="009764D1"/>
    <w:rsid w:val="00982B95"/>
    <w:rsid w:val="00983956"/>
    <w:rsid w:val="009A2269"/>
    <w:rsid w:val="009B4CEA"/>
    <w:rsid w:val="009B6C87"/>
    <w:rsid w:val="009D4E94"/>
    <w:rsid w:val="009D6C77"/>
    <w:rsid w:val="009F188D"/>
    <w:rsid w:val="009F2046"/>
    <w:rsid w:val="00A048A6"/>
    <w:rsid w:val="00A47E11"/>
    <w:rsid w:val="00A52542"/>
    <w:rsid w:val="00A5408E"/>
    <w:rsid w:val="00A70579"/>
    <w:rsid w:val="00A902CC"/>
    <w:rsid w:val="00AA2517"/>
    <w:rsid w:val="00AD2517"/>
    <w:rsid w:val="00AD47FF"/>
    <w:rsid w:val="00AF2306"/>
    <w:rsid w:val="00AF52E9"/>
    <w:rsid w:val="00B10B61"/>
    <w:rsid w:val="00B16B68"/>
    <w:rsid w:val="00B209B6"/>
    <w:rsid w:val="00B3158A"/>
    <w:rsid w:val="00B46051"/>
    <w:rsid w:val="00B5740E"/>
    <w:rsid w:val="00B66A5E"/>
    <w:rsid w:val="00B82E79"/>
    <w:rsid w:val="00B8361B"/>
    <w:rsid w:val="00B87422"/>
    <w:rsid w:val="00B95968"/>
    <w:rsid w:val="00B97E61"/>
    <w:rsid w:val="00BB3932"/>
    <w:rsid w:val="00BB3EB6"/>
    <w:rsid w:val="00BC6FBF"/>
    <w:rsid w:val="00BD1E3A"/>
    <w:rsid w:val="00C003C5"/>
    <w:rsid w:val="00C02519"/>
    <w:rsid w:val="00C318CD"/>
    <w:rsid w:val="00C464CF"/>
    <w:rsid w:val="00C6247A"/>
    <w:rsid w:val="00C6502A"/>
    <w:rsid w:val="00C66F24"/>
    <w:rsid w:val="00C70D12"/>
    <w:rsid w:val="00C74991"/>
    <w:rsid w:val="00C85C62"/>
    <w:rsid w:val="00CB5AF7"/>
    <w:rsid w:val="00CC71F7"/>
    <w:rsid w:val="00CD02B7"/>
    <w:rsid w:val="00CD1003"/>
    <w:rsid w:val="00CD70D5"/>
    <w:rsid w:val="00CE1ADD"/>
    <w:rsid w:val="00CE5030"/>
    <w:rsid w:val="00CE5E14"/>
    <w:rsid w:val="00CF049A"/>
    <w:rsid w:val="00CF183F"/>
    <w:rsid w:val="00CF5F8A"/>
    <w:rsid w:val="00CF7A13"/>
    <w:rsid w:val="00D02E81"/>
    <w:rsid w:val="00D04E10"/>
    <w:rsid w:val="00D20BF1"/>
    <w:rsid w:val="00D222E3"/>
    <w:rsid w:val="00D31D58"/>
    <w:rsid w:val="00D33B21"/>
    <w:rsid w:val="00D37D3D"/>
    <w:rsid w:val="00D766F7"/>
    <w:rsid w:val="00D97916"/>
    <w:rsid w:val="00DA282F"/>
    <w:rsid w:val="00DA480A"/>
    <w:rsid w:val="00DB0387"/>
    <w:rsid w:val="00DB34E7"/>
    <w:rsid w:val="00DE3854"/>
    <w:rsid w:val="00DF6EF3"/>
    <w:rsid w:val="00DF7C6E"/>
    <w:rsid w:val="00E13E34"/>
    <w:rsid w:val="00E20810"/>
    <w:rsid w:val="00E27631"/>
    <w:rsid w:val="00E32CDE"/>
    <w:rsid w:val="00E34D53"/>
    <w:rsid w:val="00E457A8"/>
    <w:rsid w:val="00E467C7"/>
    <w:rsid w:val="00E50A4B"/>
    <w:rsid w:val="00E6481C"/>
    <w:rsid w:val="00E86957"/>
    <w:rsid w:val="00E91D72"/>
    <w:rsid w:val="00E948D2"/>
    <w:rsid w:val="00EA4566"/>
    <w:rsid w:val="00EB0B3B"/>
    <w:rsid w:val="00EC5EB0"/>
    <w:rsid w:val="00EF4416"/>
    <w:rsid w:val="00EF55CC"/>
    <w:rsid w:val="00EF67C7"/>
    <w:rsid w:val="00F023C0"/>
    <w:rsid w:val="00F04729"/>
    <w:rsid w:val="00F1111E"/>
    <w:rsid w:val="00F133F3"/>
    <w:rsid w:val="00F26D17"/>
    <w:rsid w:val="00F40979"/>
    <w:rsid w:val="00F53997"/>
    <w:rsid w:val="00F7379E"/>
    <w:rsid w:val="00F74023"/>
    <w:rsid w:val="00F741F7"/>
    <w:rsid w:val="00F84DCA"/>
    <w:rsid w:val="00F8591D"/>
    <w:rsid w:val="00F859C2"/>
    <w:rsid w:val="00FA2743"/>
    <w:rsid w:val="00FA6E49"/>
    <w:rsid w:val="00FA7101"/>
    <w:rsid w:val="00FB7BBC"/>
    <w:rsid w:val="00FC1BCE"/>
    <w:rsid w:val="00FE0AC8"/>
    <w:rsid w:val="00FF2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26"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8"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CD"/>
    <w:pPr>
      <w:spacing w:before="120" w:after="120"/>
    </w:pPr>
    <w:rPr>
      <w:rFonts w:ascii="Calibri" w:eastAsiaTheme="minorHAnsi" w:hAnsi="Calibri" w:cs="Calibri"/>
      <w:sz w:val="22"/>
      <w:szCs w:val="22"/>
      <w:lang w:eastAsia="en-US"/>
    </w:rPr>
  </w:style>
  <w:style w:type="paragraph" w:styleId="Heading1">
    <w:name w:val="heading 1"/>
    <w:next w:val="Normal"/>
    <w:link w:val="Heading1Char"/>
    <w:uiPriority w:val="1"/>
    <w:qFormat/>
    <w:rsid w:val="003D4A0F"/>
    <w:pPr>
      <w:widowControl w:val="0"/>
      <w:spacing w:before="360"/>
      <w:contextualSpacing/>
      <w:outlineLvl w:val="0"/>
    </w:pPr>
    <w:rPr>
      <w:rFonts w:ascii="Calibri" w:eastAsiaTheme="minorHAnsi" w:hAnsi="Calibri" w:cstheme="minorBidi"/>
      <w:bCs/>
      <w:color w:val="1F497D" w:themeColor="text2"/>
      <w:spacing w:val="5"/>
      <w:kern w:val="28"/>
      <w:sz w:val="72"/>
      <w:szCs w:val="28"/>
      <w:lang w:eastAsia="en-US"/>
    </w:rPr>
  </w:style>
  <w:style w:type="paragraph" w:styleId="Heading2">
    <w:name w:val="heading 2"/>
    <w:basedOn w:val="Normal"/>
    <w:next w:val="Normal"/>
    <w:link w:val="Heading2Char"/>
    <w:uiPriority w:val="3"/>
    <w:rsid w:val="00EF4416"/>
    <w:pPr>
      <w:keepNext/>
      <w:keepLines/>
      <w:outlineLvl w:val="1"/>
    </w:pPr>
    <w:rPr>
      <w:rFonts w:eastAsia="Times New Roman"/>
      <w:b/>
      <w:bCs/>
      <w:color w:val="2F5496"/>
      <w:sz w:val="32"/>
      <w:szCs w:val="32"/>
      <w:lang w:eastAsia="en-AU"/>
    </w:rPr>
  </w:style>
  <w:style w:type="paragraph" w:styleId="Heading3">
    <w:name w:val="heading 3"/>
    <w:basedOn w:val="Heading"/>
    <w:next w:val="Normal"/>
    <w:link w:val="Heading3Char"/>
    <w:uiPriority w:val="4"/>
    <w:qFormat/>
    <w:rsid w:val="009D6C77"/>
    <w:pPr>
      <w:spacing w:before="120" w:after="120"/>
      <w:outlineLvl w:val="2"/>
    </w:pPr>
    <w:rPr>
      <w:rFonts w:ascii="Calibri" w:hAnsi="Calibri" w:cs="Calibri Light"/>
      <w:kern w:val="0"/>
      <w:sz w:val="28"/>
      <w:szCs w:val="28"/>
    </w:rPr>
  </w:style>
  <w:style w:type="paragraph" w:styleId="Heading4">
    <w:name w:val="heading 4"/>
    <w:next w:val="Normal"/>
    <w:link w:val="Heading4Char"/>
    <w:uiPriority w:val="5"/>
    <w:qFormat/>
    <w:pPr>
      <w:keepNext/>
      <w:numPr>
        <w:ilvl w:val="2"/>
        <w:numId w:val="6"/>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26"/>
    <w:pPr>
      <w:tabs>
        <w:tab w:val="center" w:pos="4820"/>
      </w:tabs>
      <w:jc w:val="center"/>
    </w:pPr>
    <w:rPr>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jc w:val="center"/>
    </w:pPr>
    <w:rPr>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3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sid w:val="003D4A0F"/>
    <w:rPr>
      <w:rFonts w:ascii="Calibri" w:eastAsiaTheme="minorHAnsi" w:hAnsi="Calibri" w:cstheme="minorBidi"/>
      <w:bCs/>
      <w:color w:val="1F497D" w:themeColor="text2"/>
      <w:spacing w:val="5"/>
      <w:kern w:val="28"/>
      <w:sz w:val="72"/>
      <w:szCs w:val="28"/>
      <w:lang w:eastAsia="en-US"/>
    </w:rPr>
  </w:style>
  <w:style w:type="character" w:customStyle="1" w:styleId="Heading2Char">
    <w:name w:val="Heading 2 Char"/>
    <w:basedOn w:val="DefaultParagraphFont"/>
    <w:link w:val="Heading2"/>
    <w:uiPriority w:val="3"/>
    <w:rsid w:val="00EF4416"/>
    <w:rPr>
      <w:rFonts w:ascii="Calibri" w:eastAsia="Times New Roman" w:hAnsi="Calibri" w:cs="Calibri"/>
      <w:b/>
      <w:bCs/>
      <w:color w:val="2F5496"/>
      <w:sz w:val="32"/>
      <w:szCs w:val="32"/>
    </w:rPr>
  </w:style>
  <w:style w:type="character" w:customStyle="1" w:styleId="Heading3Char">
    <w:name w:val="Heading 3 Char"/>
    <w:basedOn w:val="DefaultParagraphFont"/>
    <w:link w:val="Heading3"/>
    <w:uiPriority w:val="4"/>
    <w:rsid w:val="009D6C77"/>
    <w:rPr>
      <w:rFonts w:ascii="Calibri" w:eastAsia="Times New Roman" w:hAnsi="Calibri" w:cs="Calibri Light"/>
      <w:bCs/>
      <w:color w:val="365F91" w:themeColor="accent1" w:themeShade="BF"/>
      <w:spacing w:val="20"/>
      <w:sz w:val="28"/>
      <w:szCs w:val="28"/>
      <w:lang w:eastAsia="ja-JP"/>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rsid w:val="00BB3EB6"/>
    <w:pPr>
      <w:pBdr>
        <w:top w:val="single" w:sz="4" w:space="10" w:color="auto"/>
        <w:left w:val="single" w:sz="4" w:space="10" w:color="auto"/>
        <w:bottom w:val="single" w:sz="4" w:space="10" w:color="auto"/>
        <w:right w:val="single" w:sz="4" w:space="10" w:color="auto"/>
      </w:pBdr>
      <w:spacing w:line="276" w:lineRule="auto"/>
    </w:pPr>
    <w:rPr>
      <w:szCs w:val="24"/>
    </w:rPr>
  </w:style>
  <w:style w:type="paragraph" w:styleId="Caption">
    <w:name w:val="caption"/>
    <w:basedOn w:val="Normal"/>
    <w:next w:val="Normal"/>
    <w:uiPriority w:val="12"/>
    <w:qFormat/>
    <w:pPr>
      <w:keepNext/>
    </w:pPr>
    <w:rPr>
      <w:b/>
      <w:bCs/>
      <w:sz w:val="24"/>
      <w:szCs w:val="18"/>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styleId="Subtitle">
    <w:name w:val="Subtitle"/>
    <w:basedOn w:val="Heading1"/>
    <w:next w:val="Normal"/>
    <w:link w:val="SubtitleChar"/>
    <w:uiPriority w:val="23"/>
    <w:qFormat/>
    <w:rsid w:val="00295543"/>
    <w:pPr>
      <w:spacing w:before="120"/>
    </w:pPr>
    <w:rPr>
      <w:b/>
      <w:color w:val="8DB3E2" w:themeColor="text2" w:themeTint="66"/>
      <w:sz w:val="24"/>
      <w:szCs w:val="56"/>
    </w:rPr>
  </w:style>
  <w:style w:type="character" w:customStyle="1" w:styleId="SubtitleChar">
    <w:name w:val="Subtitle Char"/>
    <w:basedOn w:val="DefaultParagraphFont"/>
    <w:link w:val="Subtitle"/>
    <w:uiPriority w:val="23"/>
    <w:rsid w:val="00295543"/>
    <w:rPr>
      <w:rFonts w:ascii="Calibri" w:eastAsiaTheme="minorHAnsi" w:hAnsi="Calibri" w:cstheme="minorBidi"/>
      <w:b/>
      <w:bCs/>
      <w:color w:val="8DB3E2" w:themeColor="text2" w:themeTint="66"/>
      <w:spacing w:val="5"/>
      <w:kern w:val="28"/>
      <w:sz w:val="24"/>
      <w:szCs w:val="56"/>
      <w:lang w:eastAsia="en-US"/>
    </w:rPr>
  </w:style>
  <w:style w:type="paragraph" w:styleId="TOCHeading">
    <w:name w:val="TOC Heading"/>
    <w:basedOn w:val="Heading2"/>
    <w:next w:val="Normal"/>
    <w:uiPriority w:val="39"/>
    <w:qFormat/>
    <w:rsid w:val="00963CDD"/>
    <w:rPr>
      <w:rFonts w:ascii="Calibri Light" w:hAnsi="Calibri Light" w:cs="Calibri Light"/>
      <w:color w:val="365F91" w:themeColor="accent1" w:themeShade="BF"/>
    </w:rPr>
  </w:style>
  <w:style w:type="paragraph" w:styleId="TOC1">
    <w:name w:val="toc 1"/>
    <w:basedOn w:val="Normal"/>
    <w:next w:val="Normal"/>
    <w:uiPriority w:val="39"/>
    <w:unhideWhenUsed/>
    <w:qFormat/>
    <w:pPr>
      <w:tabs>
        <w:tab w:val="left" w:pos="426"/>
        <w:tab w:val="right" w:leader="dot" w:pos="9072"/>
      </w:tabs>
    </w:pPr>
    <w:rPr>
      <w:b/>
      <w:noProof/>
    </w:rPr>
  </w:style>
  <w:style w:type="paragraph" w:styleId="TOC2">
    <w:name w:val="toc 2"/>
    <w:basedOn w:val="Normal"/>
    <w:next w:val="Normal"/>
    <w:uiPriority w:val="39"/>
    <w:unhideWhenUsed/>
    <w:qFormat/>
    <w:pPr>
      <w:tabs>
        <w:tab w:val="right" w:leader="dot" w:pos="9060"/>
      </w:tabs>
      <w:ind w:firstLine="425"/>
    </w:pPr>
    <w:rPr>
      <w:noProof/>
    </w:rPr>
  </w:style>
  <w:style w:type="paragraph" w:styleId="TOC3">
    <w:name w:val="toc 3"/>
    <w:basedOn w:val="Normal"/>
    <w:next w:val="Normal"/>
    <w:uiPriority w:val="39"/>
    <w:unhideWhenUsed/>
    <w:qFormat/>
    <w:pPr>
      <w:tabs>
        <w:tab w:val="right" w:leader="dot" w:pos="9072"/>
      </w:tabs>
      <w:ind w:firstLine="851"/>
    </w:pPr>
    <w:rPr>
      <w:noProof/>
    </w:rPr>
  </w:style>
  <w:style w:type="character" w:styleId="Hyperlink">
    <w:name w:val="Hyperlink"/>
    <w:basedOn w:val="DefaultParagraphFont"/>
    <w:uiPriority w:val="99"/>
    <w:qFormat/>
    <w:rsid w:val="008D685B"/>
    <w:rPr>
      <w:rFonts w:ascii="Calibri" w:hAnsi="Calibri"/>
      <w:color w:val="165788"/>
      <w:u w:val="single"/>
    </w:rPr>
  </w:style>
  <w:style w:type="paragraph" w:styleId="ListBullet">
    <w:name w:val="List Bullet"/>
    <w:basedOn w:val="Normal"/>
    <w:uiPriority w:val="99"/>
    <w:qFormat/>
    <w:pPr>
      <w:numPr>
        <w:numId w:val="3"/>
      </w:numPr>
    </w:pPr>
  </w:style>
  <w:style w:type="paragraph" w:styleId="TableofFigures">
    <w:name w:val="table of figures"/>
    <w:basedOn w:val="Normal"/>
    <w:next w:val="Normal"/>
    <w:uiPriority w:val="99"/>
  </w:style>
  <w:style w:type="paragraph" w:styleId="ListBullet2">
    <w:name w:val="List Bullet 2"/>
    <w:basedOn w:val="Normal"/>
    <w:uiPriority w:val="8"/>
    <w:qFormat/>
    <w:pPr>
      <w:numPr>
        <w:numId w:val="12"/>
      </w:numPr>
      <w:contextualSpacing/>
    </w:pPr>
  </w:style>
  <w:style w:type="paragraph" w:styleId="ListNumber">
    <w:name w:val="List Number"/>
    <w:basedOn w:val="Normal"/>
    <w:uiPriority w:val="9"/>
    <w:qFormat/>
    <w:pPr>
      <w:numPr>
        <w:numId w:val="8"/>
      </w:numPr>
      <w:tabs>
        <w:tab w:val="left" w:pos="142"/>
      </w:tabs>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rsid w:val="007F0FD0"/>
    <w:pPr>
      <w:spacing w:before="60" w:after="60"/>
    </w:p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rsid w:val="00776657"/>
    <w:pPr>
      <w:keepNext/>
    </w:pPr>
    <w:rPr>
      <w:b/>
      <w:color w:val="000000" w:themeColor="text1"/>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99"/>
    <w:qFormat/>
    <w:rsid w:val="008C766C"/>
    <w:rPr>
      <w:rFonts w:ascii="Calibri" w:hAnsi="Calibri"/>
      <w:b/>
      <w:bCs/>
      <w:sz w:val="24"/>
    </w:rPr>
  </w:style>
  <w:style w:type="paragraph" w:customStyle="1" w:styleId="Glossary">
    <w:name w:val="Glossary"/>
    <w:basedOn w:val="Normal"/>
    <w:link w:val="GlossaryChar"/>
    <w:uiPriority w:val="28"/>
    <w:semiHidden/>
    <w:locked/>
    <w:pPr>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rsid w:val="007F0FD0"/>
    <w:pPr>
      <w:numPr>
        <w:numId w:val="2"/>
      </w:numPr>
      <w:ind w:left="360"/>
    </w:p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nhideWhenUsed/>
    <w:pPr>
      <w:spacing w:after="60" w:line="264" w:lineRule="auto"/>
    </w:pPr>
    <w:rPr>
      <w:sz w:val="20"/>
      <w:szCs w:val="20"/>
    </w:rPr>
  </w:style>
  <w:style w:type="character" w:customStyle="1" w:styleId="FootnoteTextChar">
    <w:name w:val="Footnote Text Char"/>
    <w:basedOn w:val="DefaultParagraphFont"/>
    <w:link w:val="FootnoteText"/>
    <w:rPr>
      <w:rFonts w:eastAsiaTheme="minorHAnsi" w:cstheme="minorBidi"/>
      <w:lang w:eastAsia="en-US"/>
    </w:rPr>
  </w:style>
  <w:style w:type="character" w:styleId="FootnoteReference">
    <w:name w:val="footnote reference"/>
    <w:basedOn w:val="DefaultParagraphFont"/>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10"/>
    <w:semiHidden/>
    <w:qFormat/>
    <w:pPr>
      <w:spacing w:before="360" w:after="0"/>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rsid w:val="009764D1"/>
    <w:pPr>
      <w:numPr>
        <w:numId w:val="10"/>
      </w:numPr>
    </w:pPr>
  </w:style>
  <w:style w:type="numbering" w:customStyle="1" w:styleId="TableBulletlist">
    <w:name w:val="Table Bullet list"/>
    <w:uiPriority w:val="99"/>
    <w:pPr>
      <w:numPr>
        <w:numId w:val="9"/>
      </w:numPr>
    </w:p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99"/>
    <w:qFormat/>
    <w:rsid w:val="00362BFA"/>
    <w:pPr>
      <w:spacing w:after="0"/>
      <w:ind w:left="720"/>
    </w:pPr>
    <w:rPr>
      <w:rFonts w:ascii="Corbel" w:eastAsia="Times New Roman" w:hAnsi="Corbel" w:cs="Times New Roman"/>
      <w:sz w:val="24"/>
      <w:szCs w:val="24"/>
      <w:lang w:eastAsia="en-AU"/>
    </w:r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99"/>
    <w:qFormat/>
    <w:rsid w:val="00362BFA"/>
    <w:rPr>
      <w:rFonts w:ascii="Corbel" w:eastAsia="Times New Roman" w:hAnsi="Corbel"/>
      <w:sz w:val="24"/>
      <w:szCs w:val="24"/>
    </w:rPr>
  </w:style>
  <w:style w:type="paragraph" w:customStyle="1" w:styleId="Heading">
    <w:name w:val="Heading"/>
    <w:basedOn w:val="Subtitle"/>
    <w:link w:val="HeadingChar"/>
    <w:qFormat/>
    <w:rsid w:val="001F7207"/>
    <w:pPr>
      <w:widowControl/>
      <w:spacing w:before="0" w:after="600"/>
      <w:contextualSpacing w:val="0"/>
      <w:outlineLvl w:val="9"/>
    </w:pPr>
    <w:rPr>
      <w:rFonts w:asciiTheme="majorHAnsi" w:eastAsia="Times New Roman" w:hAnsiTheme="majorHAnsi" w:cstheme="majorHAnsi"/>
      <w:b w:val="0"/>
      <w:color w:val="365F91" w:themeColor="accent1" w:themeShade="BF"/>
      <w:spacing w:val="20"/>
      <w:sz w:val="32"/>
      <w:szCs w:val="32"/>
      <w:lang w:eastAsia="ja-JP"/>
    </w:rPr>
  </w:style>
  <w:style w:type="character" w:customStyle="1" w:styleId="HeadingChar">
    <w:name w:val="Heading Char"/>
    <w:basedOn w:val="SubtitleChar"/>
    <w:link w:val="Heading"/>
    <w:rsid w:val="001F7207"/>
    <w:rPr>
      <w:rFonts w:asciiTheme="majorHAnsi" w:eastAsia="Times New Roman" w:hAnsiTheme="majorHAnsi" w:cstheme="majorHAnsi"/>
      <w:b w:val="0"/>
      <w:bCs/>
      <w:color w:val="365F91" w:themeColor="accent1" w:themeShade="BF"/>
      <w:spacing w:val="20"/>
      <w:kern w:val="28"/>
      <w:sz w:val="32"/>
      <w:szCs w:val="32"/>
      <w:lang w:eastAsia="ja-JP"/>
    </w:rPr>
  </w:style>
  <w:style w:type="table" w:styleId="TableClassic2">
    <w:name w:val="Table Classic 2"/>
    <w:basedOn w:val="TableNormal"/>
    <w:uiPriority w:val="98"/>
    <w:unhideWhenUsed/>
    <w:rsid w:val="00F741F7"/>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Gbullet1">
    <w:name w:val="NG bullet 1"/>
    <w:basedOn w:val="Normal"/>
    <w:qFormat/>
    <w:rsid w:val="00FC1BCE"/>
    <w:pPr>
      <w:tabs>
        <w:tab w:val="num" w:pos="284"/>
      </w:tabs>
      <w:spacing w:before="0" w:after="60" w:line="288" w:lineRule="auto"/>
      <w:ind w:left="284" w:hanging="284"/>
    </w:pPr>
    <w:rPr>
      <w:rFonts w:ascii="Arial" w:eastAsiaTheme="minorEastAsia" w:hAnsi="Arial" w:cstheme="minorBidi"/>
      <w:sz w:val="20"/>
      <w:szCs w:val="24"/>
      <w:lang w:eastAsia="ja-JP"/>
    </w:rPr>
  </w:style>
  <w:style w:type="paragraph" w:styleId="BodyText">
    <w:name w:val="Body Text"/>
    <w:basedOn w:val="Normal"/>
    <w:link w:val="BodyTextChar"/>
    <w:uiPriority w:val="1"/>
    <w:qFormat/>
    <w:rsid w:val="00110640"/>
    <w:pPr>
      <w:widowControl w:val="0"/>
      <w:spacing w:before="60" w:after="160" w:line="312" w:lineRule="auto"/>
    </w:pPr>
    <w:rPr>
      <w:rFonts w:ascii="Calibri Light" w:eastAsia="Calibri Light" w:hAnsi="Calibri Light" w:cstheme="minorBidi"/>
      <w:color w:val="4A442A" w:themeColor="background2" w:themeShade="40"/>
      <w:sz w:val="20"/>
      <w:szCs w:val="20"/>
      <w:lang w:val="en-US"/>
    </w:rPr>
  </w:style>
  <w:style w:type="character" w:customStyle="1" w:styleId="BodyTextChar">
    <w:name w:val="Body Text Char"/>
    <w:basedOn w:val="DefaultParagraphFont"/>
    <w:link w:val="BodyText"/>
    <w:uiPriority w:val="1"/>
    <w:rsid w:val="00110640"/>
    <w:rPr>
      <w:rFonts w:ascii="Calibri Light" w:eastAsia="Calibri Light" w:hAnsi="Calibri Light" w:cstheme="minorBidi"/>
      <w:color w:val="4A442A" w:themeColor="background2" w:themeShade="40"/>
      <w:lang w:val="en-US" w:eastAsia="en-US"/>
    </w:rPr>
  </w:style>
  <w:style w:type="paragraph" w:customStyle="1" w:styleId="CABBackGround">
    <w:name w:val="CABBackGround"/>
    <w:basedOn w:val="Normal"/>
    <w:link w:val="CABBackGroundChar1"/>
    <w:uiPriority w:val="99"/>
    <w:rsid w:val="00110640"/>
    <w:pPr>
      <w:spacing w:before="0" w:after="0" w:line="360" w:lineRule="auto"/>
    </w:pPr>
    <w:rPr>
      <w:rFonts w:ascii="Times New Roman" w:eastAsia="Times New Roman" w:hAnsi="Times New Roman" w:cs="Times New Roman"/>
      <w:sz w:val="24"/>
      <w:szCs w:val="20"/>
      <w:lang w:eastAsia="en-AU"/>
    </w:rPr>
  </w:style>
  <w:style w:type="character" w:customStyle="1" w:styleId="CABBackGroundChar1">
    <w:name w:val="CABBackGround Char1"/>
    <w:basedOn w:val="DefaultParagraphFont"/>
    <w:link w:val="CABBackGround"/>
    <w:uiPriority w:val="99"/>
    <w:rsid w:val="00110640"/>
    <w:rPr>
      <w:rFonts w:ascii="Times New Roman" w:eastAsia="Times New Roman" w:hAnsi="Times New Roman"/>
      <w:sz w:val="24"/>
    </w:rPr>
  </w:style>
  <w:style w:type="table" w:customStyle="1" w:styleId="LightList-Accent21">
    <w:name w:val="Light List - Accent 21"/>
    <w:basedOn w:val="TableNormal"/>
    <w:next w:val="LightList-Accent2"/>
    <w:uiPriority w:val="61"/>
    <w:rsid w:val="00110640"/>
    <w:rPr>
      <w:rFonts w:asciiTheme="minorHAnsi" w:eastAsiaTheme="minorHAnsi" w:hAnsiTheme="minorHAnsi" w:cstheme="minorBidi"/>
      <w:sz w:val="22"/>
      <w:szCs w:val="22"/>
      <w:lang w:eastAsia="en-US"/>
    </w:rPr>
    <w:tblPr>
      <w:tblStyleRowBandSize w:val="1"/>
      <w:tblStyleColBandSize w:val="1"/>
      <w:tblBorders>
        <w:top w:val="single" w:sz="8" w:space="0" w:color="7599BB"/>
        <w:left w:val="single" w:sz="8" w:space="0" w:color="7599BB"/>
        <w:bottom w:val="single" w:sz="8" w:space="0" w:color="7599BB"/>
        <w:right w:val="single" w:sz="8" w:space="0" w:color="7599BB"/>
      </w:tblBorders>
    </w:tblPr>
    <w:tblStylePr w:type="firstRow">
      <w:pPr>
        <w:spacing w:before="0" w:after="0" w:line="240" w:lineRule="auto"/>
      </w:pPr>
      <w:rPr>
        <w:b/>
        <w:bCs/>
        <w:color w:val="FFFFFF"/>
      </w:rPr>
      <w:tblPr/>
      <w:tcPr>
        <w:shd w:val="clear" w:color="auto" w:fill="7599BB"/>
      </w:tcPr>
    </w:tblStylePr>
    <w:tblStylePr w:type="lastRow">
      <w:pPr>
        <w:spacing w:before="0" w:after="0" w:line="240" w:lineRule="auto"/>
      </w:pPr>
      <w:rPr>
        <w:b/>
        <w:bCs/>
      </w:rPr>
      <w:tblPr/>
      <w:tcPr>
        <w:tcBorders>
          <w:top w:val="double" w:sz="6" w:space="0" w:color="7599BB"/>
          <w:left w:val="single" w:sz="8" w:space="0" w:color="7599BB"/>
          <w:bottom w:val="single" w:sz="8" w:space="0" w:color="7599BB"/>
          <w:right w:val="single" w:sz="8" w:space="0" w:color="7599BB"/>
        </w:tcBorders>
      </w:tcPr>
    </w:tblStylePr>
    <w:tblStylePr w:type="firstCol">
      <w:rPr>
        <w:b/>
        <w:bCs/>
      </w:rPr>
    </w:tblStylePr>
    <w:tblStylePr w:type="lastCol">
      <w:rPr>
        <w:b/>
        <w:bCs/>
      </w:rPr>
    </w:tblStylePr>
    <w:tblStylePr w:type="band1Vert">
      <w:tblPr/>
      <w:tcPr>
        <w:tcBorders>
          <w:top w:val="single" w:sz="8" w:space="0" w:color="7599BB"/>
          <w:left w:val="single" w:sz="8" w:space="0" w:color="7599BB"/>
          <w:bottom w:val="single" w:sz="8" w:space="0" w:color="7599BB"/>
          <w:right w:val="single" w:sz="8" w:space="0" w:color="7599BB"/>
        </w:tcBorders>
      </w:tcPr>
    </w:tblStylePr>
    <w:tblStylePr w:type="band1Horz">
      <w:tblPr/>
      <w:tcPr>
        <w:tcBorders>
          <w:top w:val="single" w:sz="8" w:space="0" w:color="7599BB"/>
          <w:left w:val="single" w:sz="8" w:space="0" w:color="7599BB"/>
          <w:bottom w:val="single" w:sz="8" w:space="0" w:color="7599BB"/>
          <w:right w:val="single" w:sz="8" w:space="0" w:color="7599BB"/>
        </w:tcBorders>
      </w:tcPr>
    </w:tblStylePr>
  </w:style>
  <w:style w:type="table" w:styleId="LightList-Accent2">
    <w:name w:val="Light List Accent 2"/>
    <w:basedOn w:val="TableNormal"/>
    <w:uiPriority w:val="61"/>
    <w:semiHidden/>
    <w:unhideWhenUsed/>
    <w:rsid w:val="00110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01004">
      <w:bodyDiv w:val="1"/>
      <w:marLeft w:val="0"/>
      <w:marRight w:val="0"/>
      <w:marTop w:val="0"/>
      <w:marBottom w:val="0"/>
      <w:divBdr>
        <w:top w:val="none" w:sz="0" w:space="0" w:color="auto"/>
        <w:left w:val="none" w:sz="0" w:space="0" w:color="auto"/>
        <w:bottom w:val="none" w:sz="0" w:space="0" w:color="auto"/>
        <w:right w:val="none" w:sz="0" w:space="0" w:color="auto"/>
      </w:divBdr>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microsoft.com/office/2007/relationships/hdphoto" Target="media/hdphoto3.wdp"/><Relationship Id="rId7" Type="http://schemas.openxmlformats.org/officeDocument/2006/relationships/settings" Target="settings.xml"/><Relationship Id="rId12" Type="http://schemas.openxmlformats.org/officeDocument/2006/relationships/image" Target="media/image1.wmf"/><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07/relationships/hdphoto" Target="media/hdphoto4.wdp"/><Relationship Id="rId28" Type="http://schemas.microsoft.com/office/2016/09/relationships/commentsIds" Target="commentsIds.xml"/><Relationship Id="rId10" Type="http://schemas.openxmlformats.org/officeDocument/2006/relationships/endnotes" Target="endnotes.xml"/><Relationship Id="rId19" Type="http://schemas.microsoft.com/office/2007/relationships/hdphoto" Target="media/hdphoto2.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DOC20-285082</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1D3B9917-E6C5-4361-8B81-63E82310C966}">
  <ds:schemaRefs>
    <ds:schemaRef ds:uri="http://schemas.microsoft.com/sharepoint/v3/contenttype/forms"/>
  </ds:schemaRefs>
</ds:datastoreItem>
</file>

<file path=customXml/itemProps2.xml><?xml version="1.0" encoding="utf-8"?>
<ds:datastoreItem xmlns:ds="http://schemas.openxmlformats.org/officeDocument/2006/customXml" ds:itemID="{72A024CA-A248-4BE8-8C6C-19ED7688BA73}">
  <ds:schemaRefs>
    <ds:schemaRef ds:uri="http://schemas.microsoft.com/office/2006/documentManagement/types"/>
    <ds:schemaRef ds:uri="http://purl.org/dc/elements/1.1/"/>
    <ds:schemaRef ds:uri="http://schemas.microsoft.com/office/2006/metadata/properties"/>
    <ds:schemaRef ds:uri="166541c0-0594-4e6a-9105-c24d4b6de6f7"/>
    <ds:schemaRef ds:uri="http://schemas.openxmlformats.org/package/2006/metadata/core-properties"/>
    <ds:schemaRef ds:uri="http://purl.org/dc/terms/"/>
    <ds:schemaRef ds:uri="http://schemas.microsoft.com/office/infopath/2007/PartnerControls"/>
    <ds:schemaRef ds:uri="http://purl.org/dc/dcmitype/"/>
    <ds:schemaRef ds:uri="685f9fda-bd71-4433-b331-92feb9553089"/>
    <ds:schemaRef ds:uri="http://www.w3.org/XML/1998/namespace"/>
  </ds:schemaRefs>
</ds:datastoreItem>
</file>

<file path=customXml/itemProps3.xml><?xml version="1.0" encoding="utf-8"?>
<ds:datastoreItem xmlns:ds="http://schemas.openxmlformats.org/officeDocument/2006/customXml" ds:itemID="{B47F5DFA-10A9-4D96-82BF-3040DFFD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8B5A5-962A-4AE0-B2F8-89312122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7581</Words>
  <Characters>43216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Appendix C: PFAS Information sharing, Communication and Engagement Guidelines</vt:lpstr>
    </vt:vector>
  </TitlesOfParts>
  <Manager/>
  <Company/>
  <LinksUpToDate>false</LinksUpToDate>
  <CharactersWithSpaces>50696</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PFAS Information sharing, Communication and Engagement Guidelines</dc:title>
  <dc:subject/>
  <dc:creator/>
  <cp:keywords/>
  <cp:lastModifiedBy/>
  <cp:revision>1</cp:revision>
  <dcterms:created xsi:type="dcterms:W3CDTF">2020-10-07T05:20:00Z</dcterms:created>
  <dcterms:modified xsi:type="dcterms:W3CDTF">2020-10-07T05:20:00Z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2020-10-07T13:52:35</vt:lpwstr>
  </property>
  <property fmtid="{D5CDD505-2E9C-101B-9397-08002B2CF9AE}" pid="6" name="HPRMSecurityCaveat">
    <vt:lpwstr/>
  </property>
</Properties>
</file>