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583DB" w14:textId="77777777" w:rsidR="00CF73B6" w:rsidRPr="00CF73B6" w:rsidRDefault="00CF73B6" w:rsidP="00CF73B6">
      <w:pPr>
        <w:pStyle w:val="CoverTitleMain"/>
        <w:jc w:val="left"/>
        <w:outlineLvl w:val="0"/>
        <w:rPr>
          <w:rFonts w:asciiTheme="minorHAnsi" w:hAnsiTheme="minorHAnsi" w:cstheme="minorHAnsi"/>
          <w:caps w:val="0"/>
          <w:color w:val="1F497D"/>
          <w:sz w:val="72"/>
          <w:szCs w:val="72"/>
        </w:rPr>
      </w:pPr>
      <w:r w:rsidRPr="00CF73B6">
        <w:rPr>
          <w:rFonts w:asciiTheme="minorHAnsi" w:hAnsiTheme="minorHAnsi" w:cstheme="minorHAnsi"/>
          <w:caps w:val="0"/>
          <w:color w:val="1F497D"/>
          <w:sz w:val="72"/>
          <w:szCs w:val="72"/>
        </w:rPr>
        <w:t>Intergovernmental Agreement on the Automatic Mutual Recognition of Occupational Registration</w:t>
      </w:r>
    </w:p>
    <w:p w14:paraId="562583DC" w14:textId="77777777" w:rsidR="00EA08B6" w:rsidRDefault="00EA08B6" w:rsidP="00CF73B6">
      <w:pPr>
        <w:ind w:left="1440"/>
        <w:rPr>
          <w:rFonts w:asciiTheme="minorHAnsi" w:hAnsiTheme="minorHAnsi" w:cstheme="minorHAnsi"/>
          <w:sz w:val="28"/>
          <w:szCs w:val="28"/>
          <w:lang w:eastAsia="en-AU"/>
        </w:rPr>
      </w:pPr>
    </w:p>
    <w:p w14:paraId="562583DD" w14:textId="77777777" w:rsidR="00EA08B6" w:rsidRDefault="00EA08B6" w:rsidP="00CF73B6">
      <w:pPr>
        <w:ind w:left="1440"/>
        <w:rPr>
          <w:rFonts w:asciiTheme="minorHAnsi" w:hAnsiTheme="minorHAnsi" w:cstheme="minorHAnsi"/>
          <w:sz w:val="28"/>
          <w:szCs w:val="28"/>
          <w:lang w:eastAsia="en-AU"/>
        </w:rPr>
      </w:pPr>
    </w:p>
    <w:p w14:paraId="562583DE" w14:textId="77777777" w:rsidR="00CF73B6" w:rsidRPr="00CF73B6" w:rsidRDefault="00CF73B6" w:rsidP="00CF73B6">
      <w:pPr>
        <w:ind w:left="1440"/>
        <w:rPr>
          <w:rFonts w:asciiTheme="minorHAnsi" w:hAnsiTheme="minorHAnsi" w:cstheme="minorHAnsi"/>
          <w:sz w:val="28"/>
          <w:szCs w:val="28"/>
          <w:lang w:eastAsia="en-AU"/>
        </w:rPr>
      </w:pPr>
      <w:r w:rsidRPr="00CF73B6">
        <w:rPr>
          <w:rFonts w:asciiTheme="minorHAnsi" w:hAnsiTheme="minorHAnsi" w:cstheme="minorHAnsi"/>
          <w:sz w:val="28"/>
          <w:szCs w:val="28"/>
          <w:lang w:eastAsia="en-AU"/>
        </w:rPr>
        <w:t>An agreement between:</w:t>
      </w:r>
    </w:p>
    <w:p w14:paraId="562583DF" w14:textId="77777777" w:rsidR="00CF73B6" w:rsidRPr="00CF73B6" w:rsidRDefault="00CF73B6" w:rsidP="00CF73B6">
      <w:pPr>
        <w:pStyle w:val="ListBullet"/>
        <w:ind w:left="1865"/>
        <w:rPr>
          <w:rFonts w:asciiTheme="minorHAnsi" w:hAnsiTheme="minorHAnsi" w:cstheme="minorHAnsi"/>
          <w:sz w:val="28"/>
          <w:szCs w:val="28"/>
          <w:lang w:eastAsia="en-AU"/>
        </w:rPr>
      </w:pPr>
      <w:r w:rsidRPr="00CF73B6">
        <w:rPr>
          <w:rFonts w:asciiTheme="minorHAnsi" w:hAnsiTheme="minorHAnsi" w:cstheme="minorHAnsi"/>
          <w:sz w:val="28"/>
          <w:szCs w:val="28"/>
          <w:lang w:eastAsia="en-AU"/>
        </w:rPr>
        <w:t xml:space="preserve">the </w:t>
      </w:r>
      <w:r w:rsidRPr="00CF73B6">
        <w:rPr>
          <w:rFonts w:asciiTheme="minorHAnsi" w:hAnsiTheme="minorHAnsi" w:cstheme="minorHAnsi"/>
          <w:b/>
          <w:bCs/>
          <w:sz w:val="28"/>
          <w:szCs w:val="28"/>
          <w:lang w:eastAsia="en-AU"/>
        </w:rPr>
        <w:t>Commonwealth of Australia</w:t>
      </w:r>
      <w:r w:rsidRPr="00CF73B6">
        <w:rPr>
          <w:rFonts w:asciiTheme="minorHAnsi" w:hAnsiTheme="minorHAnsi" w:cstheme="minorHAnsi"/>
          <w:sz w:val="28"/>
          <w:szCs w:val="28"/>
          <w:lang w:eastAsia="en-AU"/>
        </w:rPr>
        <w:t xml:space="preserve"> and</w:t>
      </w:r>
    </w:p>
    <w:p w14:paraId="562583E0" w14:textId="77777777" w:rsidR="00CF73B6" w:rsidRPr="00CF73B6" w:rsidRDefault="00CF73B6" w:rsidP="00CF73B6">
      <w:pPr>
        <w:pStyle w:val="ListBullet"/>
        <w:ind w:left="1865"/>
        <w:rPr>
          <w:rFonts w:asciiTheme="minorHAnsi" w:hAnsiTheme="minorHAnsi" w:cstheme="minorHAnsi"/>
          <w:sz w:val="28"/>
          <w:szCs w:val="28"/>
          <w:lang w:eastAsia="en-AU"/>
        </w:rPr>
      </w:pPr>
      <w:r w:rsidRPr="00CF73B6">
        <w:rPr>
          <w:rFonts w:asciiTheme="minorHAnsi" w:hAnsiTheme="minorHAnsi" w:cstheme="minorHAnsi"/>
          <w:sz w:val="28"/>
          <w:szCs w:val="28"/>
          <w:lang w:eastAsia="en-AU"/>
        </w:rPr>
        <w:t xml:space="preserve">the </w:t>
      </w:r>
      <w:r w:rsidRPr="00CF73B6">
        <w:rPr>
          <w:rFonts w:asciiTheme="minorHAnsi" w:hAnsiTheme="minorHAnsi" w:cstheme="minorHAnsi"/>
          <w:b/>
          <w:bCs/>
          <w:sz w:val="28"/>
          <w:szCs w:val="28"/>
          <w:lang w:eastAsia="en-AU"/>
        </w:rPr>
        <w:t>States and Territories</w:t>
      </w:r>
      <w:r w:rsidRPr="00CF73B6">
        <w:rPr>
          <w:rFonts w:asciiTheme="minorHAnsi" w:hAnsiTheme="minorHAnsi" w:cstheme="minorHAnsi"/>
          <w:sz w:val="28"/>
          <w:szCs w:val="28"/>
          <w:lang w:eastAsia="en-AU"/>
        </w:rPr>
        <w:t>, being:</w:t>
      </w:r>
    </w:p>
    <w:p w14:paraId="562583E1" w14:textId="77777777" w:rsidR="00CF73B6" w:rsidRPr="00CF73B6" w:rsidRDefault="00CF73B6" w:rsidP="00CF73B6">
      <w:pPr>
        <w:pStyle w:val="ListBullet2"/>
        <w:ind w:left="2585"/>
        <w:rPr>
          <w:rFonts w:asciiTheme="minorHAnsi" w:hAnsiTheme="minorHAnsi" w:cstheme="minorHAnsi"/>
          <w:sz w:val="28"/>
          <w:szCs w:val="28"/>
          <w:lang w:eastAsia="en-AU"/>
        </w:rPr>
      </w:pPr>
      <w:r w:rsidRPr="00CF73B6">
        <w:rPr>
          <w:rFonts w:asciiTheme="minorHAnsi" w:hAnsiTheme="minorHAnsi" w:cstheme="minorHAnsi"/>
          <w:sz w:val="28"/>
          <w:szCs w:val="28"/>
          <w:lang w:eastAsia="en-AU"/>
        </w:rPr>
        <w:t>New South Wales</w:t>
      </w:r>
    </w:p>
    <w:p w14:paraId="562583E2" w14:textId="77777777" w:rsidR="00CF73B6" w:rsidRPr="00CF73B6" w:rsidRDefault="00CF73B6" w:rsidP="00CF73B6">
      <w:pPr>
        <w:pStyle w:val="ListBullet2"/>
        <w:ind w:left="2585"/>
        <w:rPr>
          <w:rFonts w:asciiTheme="minorHAnsi" w:hAnsiTheme="minorHAnsi" w:cstheme="minorHAnsi"/>
          <w:sz w:val="28"/>
          <w:szCs w:val="28"/>
          <w:lang w:eastAsia="en-AU"/>
        </w:rPr>
      </w:pPr>
      <w:r w:rsidRPr="00CF73B6">
        <w:rPr>
          <w:rFonts w:asciiTheme="minorHAnsi" w:hAnsiTheme="minorHAnsi" w:cstheme="minorHAnsi"/>
          <w:sz w:val="28"/>
          <w:szCs w:val="28"/>
          <w:lang w:eastAsia="en-AU"/>
        </w:rPr>
        <w:t>Victoria</w:t>
      </w:r>
    </w:p>
    <w:p w14:paraId="562583E3" w14:textId="77777777" w:rsidR="00CF73B6" w:rsidRPr="00CF73B6" w:rsidRDefault="00CF73B6" w:rsidP="00CF73B6">
      <w:pPr>
        <w:pStyle w:val="ListBullet2"/>
        <w:ind w:left="2585"/>
        <w:rPr>
          <w:rFonts w:asciiTheme="minorHAnsi" w:hAnsiTheme="minorHAnsi" w:cstheme="minorHAnsi"/>
          <w:sz w:val="28"/>
          <w:szCs w:val="28"/>
          <w:lang w:eastAsia="en-AU"/>
        </w:rPr>
      </w:pPr>
      <w:r w:rsidRPr="00CF73B6">
        <w:rPr>
          <w:rFonts w:asciiTheme="minorHAnsi" w:hAnsiTheme="minorHAnsi" w:cstheme="minorHAnsi"/>
          <w:sz w:val="28"/>
          <w:szCs w:val="28"/>
          <w:lang w:eastAsia="en-AU"/>
        </w:rPr>
        <w:t>Queensland</w:t>
      </w:r>
    </w:p>
    <w:p w14:paraId="562583E4" w14:textId="77777777" w:rsidR="00CF73B6" w:rsidRPr="00CF73B6" w:rsidRDefault="00CF73B6" w:rsidP="00CF73B6">
      <w:pPr>
        <w:pStyle w:val="ListBullet2"/>
        <w:ind w:left="2585"/>
        <w:rPr>
          <w:rFonts w:asciiTheme="minorHAnsi" w:hAnsiTheme="minorHAnsi" w:cstheme="minorHAnsi"/>
          <w:sz w:val="28"/>
          <w:szCs w:val="28"/>
          <w:lang w:eastAsia="en-AU"/>
        </w:rPr>
      </w:pPr>
      <w:r w:rsidRPr="00CF73B6">
        <w:rPr>
          <w:rFonts w:asciiTheme="minorHAnsi" w:hAnsiTheme="minorHAnsi" w:cstheme="minorHAnsi"/>
          <w:sz w:val="28"/>
          <w:szCs w:val="28"/>
          <w:lang w:eastAsia="en-AU"/>
        </w:rPr>
        <w:t>Western Australia</w:t>
      </w:r>
    </w:p>
    <w:p w14:paraId="562583E5" w14:textId="77777777" w:rsidR="00CF73B6" w:rsidRPr="00CF73B6" w:rsidRDefault="00CF73B6" w:rsidP="00CF73B6">
      <w:pPr>
        <w:pStyle w:val="ListBullet2"/>
        <w:ind w:left="2585"/>
        <w:rPr>
          <w:rFonts w:asciiTheme="minorHAnsi" w:hAnsiTheme="minorHAnsi" w:cstheme="minorHAnsi"/>
          <w:sz w:val="28"/>
          <w:szCs w:val="28"/>
          <w:lang w:eastAsia="en-AU"/>
        </w:rPr>
      </w:pPr>
      <w:r w:rsidRPr="00CF73B6">
        <w:rPr>
          <w:rFonts w:asciiTheme="minorHAnsi" w:hAnsiTheme="minorHAnsi" w:cstheme="minorHAnsi"/>
          <w:sz w:val="28"/>
          <w:szCs w:val="28"/>
          <w:lang w:eastAsia="en-AU"/>
        </w:rPr>
        <w:t>South Australia</w:t>
      </w:r>
    </w:p>
    <w:p w14:paraId="562583E6" w14:textId="77777777" w:rsidR="00CF73B6" w:rsidRPr="00CF73B6" w:rsidRDefault="00CF73B6" w:rsidP="00CF73B6">
      <w:pPr>
        <w:pStyle w:val="ListBullet2"/>
        <w:ind w:left="2585"/>
        <w:rPr>
          <w:rFonts w:asciiTheme="minorHAnsi" w:hAnsiTheme="minorHAnsi" w:cstheme="minorHAnsi"/>
          <w:sz w:val="28"/>
          <w:szCs w:val="28"/>
          <w:lang w:eastAsia="en-AU"/>
        </w:rPr>
      </w:pPr>
      <w:r w:rsidRPr="00CF73B6">
        <w:rPr>
          <w:rFonts w:asciiTheme="minorHAnsi" w:hAnsiTheme="minorHAnsi" w:cstheme="minorHAnsi"/>
          <w:sz w:val="28"/>
          <w:szCs w:val="28"/>
          <w:lang w:eastAsia="en-AU"/>
        </w:rPr>
        <w:t>Tasmania</w:t>
      </w:r>
    </w:p>
    <w:p w14:paraId="562583E7" w14:textId="77777777" w:rsidR="00CF73B6" w:rsidRPr="00CF73B6" w:rsidRDefault="00CF73B6" w:rsidP="00CF73B6">
      <w:pPr>
        <w:pStyle w:val="ListBullet2"/>
        <w:ind w:left="2585"/>
        <w:rPr>
          <w:rFonts w:asciiTheme="minorHAnsi" w:hAnsiTheme="minorHAnsi" w:cstheme="minorHAnsi"/>
          <w:sz w:val="28"/>
          <w:szCs w:val="28"/>
          <w:lang w:eastAsia="en-AU"/>
        </w:rPr>
      </w:pPr>
      <w:r w:rsidRPr="00CF73B6">
        <w:rPr>
          <w:rFonts w:asciiTheme="minorHAnsi" w:hAnsiTheme="minorHAnsi" w:cstheme="minorHAnsi"/>
          <w:sz w:val="28"/>
          <w:szCs w:val="28"/>
          <w:lang w:eastAsia="en-AU"/>
        </w:rPr>
        <w:t>Australian Capital Territory</w:t>
      </w:r>
    </w:p>
    <w:p w14:paraId="562583E8" w14:textId="77777777" w:rsidR="00CF73B6" w:rsidRPr="00CF73B6" w:rsidRDefault="00CF73B6" w:rsidP="00CF73B6">
      <w:pPr>
        <w:pStyle w:val="ListBullet2"/>
        <w:ind w:left="2585"/>
        <w:rPr>
          <w:rFonts w:asciiTheme="minorHAnsi" w:hAnsiTheme="minorHAnsi" w:cstheme="minorHAnsi"/>
          <w:sz w:val="28"/>
          <w:szCs w:val="28"/>
          <w:lang w:eastAsia="en-AU"/>
        </w:rPr>
      </w:pPr>
      <w:r w:rsidRPr="00CF73B6">
        <w:rPr>
          <w:rFonts w:asciiTheme="minorHAnsi" w:hAnsiTheme="minorHAnsi" w:cstheme="minorHAnsi"/>
          <w:sz w:val="28"/>
          <w:szCs w:val="28"/>
          <w:lang w:eastAsia="en-AU"/>
        </w:rPr>
        <w:t>Northern Territory</w:t>
      </w:r>
    </w:p>
    <w:p w14:paraId="562583E9" w14:textId="77777777" w:rsidR="00CF73B6" w:rsidRPr="00CF73B6" w:rsidRDefault="00CF73B6" w:rsidP="00CF73B6">
      <w:pPr>
        <w:spacing w:before="2880"/>
        <w:jc w:val="center"/>
        <w:rPr>
          <w:rFonts w:asciiTheme="minorHAnsi" w:hAnsiTheme="minorHAnsi" w:cstheme="minorHAnsi"/>
          <w:b/>
          <w:sz w:val="20"/>
        </w:rPr>
        <w:sectPr w:rsidR="00CF73B6" w:rsidRPr="00CF73B6" w:rsidSect="00CF73B6">
          <w:headerReference w:type="default" r:id="rId11"/>
          <w:footerReference w:type="default" r:id="rId12"/>
          <w:headerReference w:type="first" r:id="rId13"/>
          <w:pgSz w:w="11906" w:h="16838"/>
          <w:pgMar w:top="1418" w:right="1418" w:bottom="1418" w:left="1418" w:header="567" w:footer="283" w:gutter="0"/>
          <w:cols w:space="708"/>
          <w:titlePg/>
          <w:docGrid w:linePitch="360"/>
        </w:sectPr>
      </w:pPr>
      <w:r w:rsidRPr="00CF73B6">
        <w:rPr>
          <w:rFonts w:asciiTheme="minorHAnsi" w:hAnsiTheme="minorHAnsi" w:cstheme="minorHAnsi"/>
          <w:b/>
          <w:sz w:val="20"/>
        </w:rPr>
        <w:t xml:space="preserve">An agreement to establish a widespread uniform scheme for automatic mutual recognition (AMR) for the purpose of streamlining occupational registration processes where individuals seek to work in </w:t>
      </w:r>
      <w:r w:rsidRPr="00B3496B">
        <w:rPr>
          <w:rFonts w:asciiTheme="minorHAnsi" w:hAnsiTheme="minorHAnsi" w:cstheme="minorHAnsi"/>
          <w:b/>
          <w:sz w:val="20"/>
        </w:rPr>
        <w:t>a second or subsequent jurisdiction</w:t>
      </w:r>
      <w:r w:rsidRPr="00CF73B6">
        <w:rPr>
          <w:rFonts w:asciiTheme="minorHAnsi" w:hAnsiTheme="minorHAnsi" w:cstheme="minorHAnsi"/>
          <w:b/>
          <w:sz w:val="20"/>
        </w:rPr>
        <w:t>.</w:t>
      </w:r>
    </w:p>
    <w:p w14:paraId="562583EA" w14:textId="77777777" w:rsidR="00CF73B6" w:rsidRPr="00CF73B6" w:rsidRDefault="00CF73B6" w:rsidP="00CF73B6">
      <w:pPr>
        <w:pStyle w:val="CoverTitleMain"/>
        <w:jc w:val="left"/>
        <w:outlineLvl w:val="0"/>
        <w:rPr>
          <w:rFonts w:asciiTheme="minorHAnsi" w:hAnsiTheme="minorHAnsi" w:cstheme="minorHAnsi"/>
          <w:caps w:val="0"/>
          <w:color w:val="1F497D"/>
          <w:sz w:val="72"/>
          <w:szCs w:val="72"/>
        </w:rPr>
      </w:pPr>
      <w:r w:rsidRPr="00CF73B6">
        <w:rPr>
          <w:rFonts w:asciiTheme="minorHAnsi" w:hAnsiTheme="minorHAnsi" w:cstheme="minorHAnsi"/>
          <w:caps w:val="0"/>
          <w:color w:val="1F497D"/>
          <w:sz w:val="72"/>
          <w:szCs w:val="72"/>
        </w:rPr>
        <w:lastRenderedPageBreak/>
        <w:t>Intergovernmental Agreement on the Automatic Mutual Recognition of Occupational Registration</w:t>
      </w:r>
    </w:p>
    <w:p w14:paraId="562583EB" w14:textId="77777777" w:rsidR="00CF73B6" w:rsidRDefault="00CF73B6">
      <w:pPr>
        <w:spacing w:after="160" w:line="259" w:lineRule="auto"/>
        <w:rPr>
          <w:rFonts w:asciiTheme="minorHAnsi" w:hAnsiTheme="minorHAnsi" w:cstheme="minorHAnsi"/>
        </w:rPr>
      </w:pPr>
    </w:p>
    <w:p w14:paraId="562583EC" w14:textId="77777777" w:rsidR="00C6484A" w:rsidRPr="00C6484A" w:rsidRDefault="00F867CC">
      <w:pPr>
        <w:spacing w:after="160" w:line="259" w:lineRule="auto"/>
        <w:rPr>
          <w:rFonts w:asciiTheme="minorHAnsi" w:hAnsiTheme="minorHAnsi" w:cstheme="minorHAnsi"/>
          <w:sz w:val="24"/>
        </w:rPr>
      </w:pPr>
      <w:r w:rsidRPr="00F867CC">
        <w:rPr>
          <w:rFonts w:asciiTheme="minorHAnsi" w:hAnsiTheme="minorHAnsi" w:cstheme="minorHAnsi"/>
          <w:sz w:val="24"/>
        </w:rPr>
        <w:t>This agreement complements the Intergovernmental Agreement on Mutual Recognition</w:t>
      </w:r>
      <w:r w:rsidR="00225D40">
        <w:rPr>
          <w:rFonts w:asciiTheme="minorHAnsi" w:hAnsiTheme="minorHAnsi" w:cstheme="minorHAnsi"/>
          <w:sz w:val="24"/>
        </w:rPr>
        <w:t xml:space="preserve"> </w:t>
      </w:r>
      <w:r w:rsidR="00B3496B">
        <w:rPr>
          <w:rFonts w:asciiTheme="minorHAnsi" w:hAnsiTheme="minorHAnsi" w:cstheme="minorHAnsi"/>
          <w:sz w:val="24"/>
        </w:rPr>
        <w:t>1992</w:t>
      </w:r>
      <w:r w:rsidRPr="00F867CC">
        <w:rPr>
          <w:rFonts w:asciiTheme="minorHAnsi" w:hAnsiTheme="minorHAnsi" w:cstheme="minorHAnsi"/>
          <w:sz w:val="24"/>
        </w:rPr>
        <w:t>. It adopts and builds upon the existing agreement and, where there is any inconsistency, supersedes those terms</w:t>
      </w:r>
      <w:r w:rsidR="00C6484A" w:rsidRPr="00C6484A">
        <w:rPr>
          <w:rFonts w:asciiTheme="minorHAnsi" w:hAnsiTheme="minorHAnsi" w:cstheme="minorHAnsi"/>
          <w:sz w:val="24"/>
        </w:rPr>
        <w:t>.</w:t>
      </w:r>
    </w:p>
    <w:p w14:paraId="562583ED" w14:textId="77777777" w:rsidR="00CF73B6" w:rsidRPr="00CF73B6" w:rsidRDefault="00CF73B6" w:rsidP="00CF73B6">
      <w:pPr>
        <w:pStyle w:val="Heading1"/>
        <w:rPr>
          <w:sz w:val="24"/>
        </w:rPr>
      </w:pPr>
      <w:r w:rsidRPr="00CF73B6">
        <w:t>Preliminaries</w:t>
      </w:r>
      <w:r>
        <w:br/>
      </w:r>
    </w:p>
    <w:p w14:paraId="562583EE" w14:textId="77777777" w:rsidR="00F867CC" w:rsidRPr="00526790" w:rsidRDefault="00F867CC" w:rsidP="00526790">
      <w:pPr>
        <w:pStyle w:val="ListParagraph"/>
        <w:numPr>
          <w:ilvl w:val="0"/>
          <w:numId w:val="1"/>
        </w:numPr>
        <w:tabs>
          <w:tab w:val="clear" w:pos="851"/>
        </w:tabs>
        <w:spacing w:after="120"/>
        <w:ind w:left="357" w:hanging="357"/>
        <w:contextualSpacing w:val="0"/>
        <w:rPr>
          <w:rFonts w:asciiTheme="minorHAnsi" w:hAnsiTheme="minorHAnsi" w:cstheme="minorHAnsi"/>
          <w:sz w:val="24"/>
          <w:szCs w:val="24"/>
        </w:rPr>
      </w:pPr>
      <w:r w:rsidRPr="000357BB">
        <w:rPr>
          <w:rFonts w:asciiTheme="minorHAnsi" w:hAnsiTheme="minorHAnsi" w:cstheme="minorHAnsi"/>
          <w:sz w:val="24"/>
          <w:szCs w:val="24"/>
        </w:rPr>
        <w:t>The Heads of Government of the Parties to this Agreement have agreed to establish a widespread uniform scheme for automatic mutual recognition (AMR) for the purpose of streamlining occupational registration processes where individuals seek to work in a second or subsequent jurisdiction.</w:t>
      </w:r>
    </w:p>
    <w:p w14:paraId="562583EF" w14:textId="77777777" w:rsidR="00C6484A" w:rsidRPr="00F867CC" w:rsidRDefault="00F867CC" w:rsidP="00144DF5">
      <w:pPr>
        <w:pStyle w:val="ListParagraph"/>
        <w:numPr>
          <w:ilvl w:val="0"/>
          <w:numId w:val="1"/>
        </w:numPr>
        <w:tabs>
          <w:tab w:val="clear" w:pos="851"/>
        </w:tabs>
        <w:spacing w:after="120"/>
        <w:ind w:left="357" w:hanging="357"/>
        <w:contextualSpacing w:val="0"/>
        <w:rPr>
          <w:rFonts w:asciiTheme="minorHAnsi" w:hAnsiTheme="minorHAnsi" w:cstheme="minorHAnsi"/>
          <w:sz w:val="24"/>
          <w:szCs w:val="24"/>
        </w:rPr>
      </w:pPr>
      <w:r w:rsidRPr="00F867CC">
        <w:rPr>
          <w:rFonts w:asciiTheme="minorHAnsi" w:hAnsiTheme="minorHAnsi" w:cstheme="minorHAnsi"/>
          <w:sz w:val="24"/>
          <w:szCs w:val="24"/>
        </w:rPr>
        <w:t>This Agreement will come into force when executed by all Parties. The Agreement will continue to operate unless otherwise unanimously determined by the Heads of Government representing the participating parties</w:t>
      </w:r>
      <w:r w:rsidR="00C6484A" w:rsidRPr="00F867CC">
        <w:rPr>
          <w:rFonts w:asciiTheme="minorHAnsi" w:hAnsiTheme="minorHAnsi" w:cstheme="minorHAnsi"/>
          <w:sz w:val="24"/>
          <w:szCs w:val="24"/>
        </w:rPr>
        <w:t>.</w:t>
      </w:r>
    </w:p>
    <w:p w14:paraId="562583F0" w14:textId="77777777" w:rsidR="00CF73B6" w:rsidRPr="00CF73B6" w:rsidRDefault="00CF73B6" w:rsidP="00CF73B6">
      <w:pPr>
        <w:pStyle w:val="Heading1"/>
        <w:rPr>
          <w:sz w:val="24"/>
        </w:rPr>
      </w:pPr>
      <w:r w:rsidRPr="00CF73B6">
        <w:t>Objective</w:t>
      </w:r>
      <w:r>
        <w:br/>
      </w:r>
    </w:p>
    <w:p w14:paraId="562583F1" w14:textId="77777777" w:rsidR="00F867CC" w:rsidRPr="00F867CC" w:rsidRDefault="00F867CC" w:rsidP="00144DF5">
      <w:pPr>
        <w:pStyle w:val="ListParagraph"/>
        <w:numPr>
          <w:ilvl w:val="0"/>
          <w:numId w:val="1"/>
        </w:numPr>
        <w:tabs>
          <w:tab w:val="clear" w:pos="851"/>
        </w:tabs>
        <w:spacing w:after="120"/>
        <w:contextualSpacing w:val="0"/>
        <w:rPr>
          <w:rFonts w:asciiTheme="minorHAnsi" w:hAnsiTheme="minorHAnsi" w:cstheme="minorHAnsi"/>
          <w:sz w:val="24"/>
          <w:szCs w:val="24"/>
        </w:rPr>
      </w:pPr>
      <w:r w:rsidRPr="00F867CC">
        <w:rPr>
          <w:rFonts w:asciiTheme="minorHAnsi" w:hAnsiTheme="minorHAnsi" w:cstheme="minorHAnsi"/>
          <w:sz w:val="24"/>
          <w:szCs w:val="24"/>
        </w:rPr>
        <w:t>The objective of the scheme for AMR is to promote the freedom of movement of service providers across jurisdictions by reducing unnecessary regulatory burden while maintaining high standards of consumer protection</w:t>
      </w:r>
      <w:r w:rsidR="00A42020">
        <w:rPr>
          <w:rFonts w:asciiTheme="minorHAnsi" w:hAnsiTheme="minorHAnsi" w:cstheme="minorHAnsi"/>
          <w:sz w:val="24"/>
          <w:szCs w:val="24"/>
        </w:rPr>
        <w:t>,</w:t>
      </w:r>
      <w:r w:rsidRPr="00F867CC">
        <w:rPr>
          <w:rFonts w:asciiTheme="minorHAnsi" w:hAnsiTheme="minorHAnsi" w:cstheme="minorHAnsi"/>
          <w:sz w:val="24"/>
          <w:szCs w:val="24"/>
        </w:rPr>
        <w:t xml:space="preserve"> and</w:t>
      </w:r>
      <w:r w:rsidR="00225D40">
        <w:rPr>
          <w:rFonts w:asciiTheme="minorHAnsi" w:hAnsiTheme="minorHAnsi" w:cstheme="minorHAnsi"/>
          <w:sz w:val="24"/>
          <w:szCs w:val="24"/>
        </w:rPr>
        <w:t xml:space="preserve"> the health and safety of workers and the </w:t>
      </w:r>
      <w:r w:rsidRPr="00F867CC">
        <w:rPr>
          <w:rFonts w:asciiTheme="minorHAnsi" w:hAnsiTheme="minorHAnsi" w:cstheme="minorHAnsi"/>
          <w:sz w:val="24"/>
          <w:szCs w:val="24"/>
        </w:rPr>
        <w:t>public.</w:t>
      </w:r>
    </w:p>
    <w:p w14:paraId="562583F2" w14:textId="77777777" w:rsidR="00F867CC" w:rsidRPr="00F867CC" w:rsidRDefault="00F867CC" w:rsidP="00144DF5">
      <w:pPr>
        <w:pStyle w:val="ListParagraph"/>
        <w:numPr>
          <w:ilvl w:val="1"/>
          <w:numId w:val="1"/>
        </w:numPr>
        <w:tabs>
          <w:tab w:val="clear" w:pos="851"/>
        </w:tabs>
        <w:spacing w:after="120"/>
        <w:contextualSpacing w:val="0"/>
        <w:rPr>
          <w:rFonts w:asciiTheme="minorHAnsi" w:hAnsiTheme="minorHAnsi" w:cstheme="minorHAnsi"/>
          <w:sz w:val="24"/>
          <w:szCs w:val="24"/>
        </w:rPr>
      </w:pPr>
      <w:r w:rsidRPr="00F867CC">
        <w:rPr>
          <w:rFonts w:asciiTheme="minorHAnsi" w:hAnsiTheme="minorHAnsi" w:cstheme="minorHAnsi"/>
          <w:sz w:val="24"/>
          <w:szCs w:val="24"/>
        </w:rPr>
        <w:t xml:space="preserve">Improving occupational mobility through AMR of registrations will help employers access registered skilled workers more quickly, and at lower cost, by more </w:t>
      </w:r>
      <w:proofErr w:type="gramStart"/>
      <w:r w:rsidRPr="00F867CC">
        <w:rPr>
          <w:rFonts w:asciiTheme="minorHAnsi" w:hAnsiTheme="minorHAnsi" w:cstheme="minorHAnsi"/>
          <w:sz w:val="24"/>
          <w:szCs w:val="24"/>
        </w:rPr>
        <w:t>seamlessly</w:t>
      </w:r>
      <w:proofErr w:type="gramEnd"/>
      <w:r w:rsidRPr="00F867CC">
        <w:rPr>
          <w:rFonts w:asciiTheme="minorHAnsi" w:hAnsiTheme="minorHAnsi" w:cstheme="minorHAnsi"/>
          <w:sz w:val="24"/>
          <w:szCs w:val="24"/>
        </w:rPr>
        <w:t xml:space="preserve"> moving employees to where they are most needed and matching job seekers with employment opportunities, boosting competition, productivity and economic growth. </w:t>
      </w:r>
    </w:p>
    <w:p w14:paraId="562583F3" w14:textId="77777777" w:rsidR="00CF73B6" w:rsidRPr="0075310F" w:rsidRDefault="00F867CC" w:rsidP="0075310F">
      <w:pPr>
        <w:pStyle w:val="ListParagraph"/>
        <w:numPr>
          <w:ilvl w:val="1"/>
          <w:numId w:val="1"/>
        </w:numPr>
        <w:tabs>
          <w:tab w:val="clear" w:pos="851"/>
        </w:tabs>
        <w:spacing w:after="120"/>
        <w:contextualSpacing w:val="0"/>
        <w:rPr>
          <w:rFonts w:asciiTheme="minorHAnsi" w:hAnsiTheme="minorHAnsi" w:cstheme="minorHAnsi"/>
          <w:sz w:val="24"/>
          <w:szCs w:val="24"/>
        </w:rPr>
      </w:pPr>
      <w:r w:rsidRPr="00F867CC">
        <w:rPr>
          <w:rFonts w:asciiTheme="minorHAnsi" w:hAnsiTheme="minorHAnsi" w:cstheme="minorHAnsi"/>
          <w:sz w:val="24"/>
          <w:szCs w:val="24"/>
        </w:rPr>
        <w:t>It will also allow registered individuals to respond more quickly to changing labour market conditions in other jurisdictions,</w:t>
      </w:r>
      <w:r w:rsidRPr="00F867CC" w:rsidDel="00AD2E1C">
        <w:rPr>
          <w:rFonts w:asciiTheme="minorHAnsi" w:hAnsiTheme="minorHAnsi" w:cstheme="minorHAnsi"/>
          <w:sz w:val="24"/>
          <w:szCs w:val="24"/>
        </w:rPr>
        <w:t xml:space="preserve"> </w:t>
      </w:r>
      <w:r w:rsidRPr="00F867CC">
        <w:rPr>
          <w:rFonts w:asciiTheme="minorHAnsi" w:hAnsiTheme="minorHAnsi" w:cstheme="minorHAnsi"/>
          <w:sz w:val="24"/>
          <w:szCs w:val="24"/>
        </w:rPr>
        <w:t xml:space="preserve">including in response to events such as natural disasters, where workers with particular skills are needed to address immediate impacts or </w:t>
      </w:r>
      <w:r w:rsidR="00D224F3">
        <w:rPr>
          <w:rFonts w:asciiTheme="minorHAnsi" w:hAnsiTheme="minorHAnsi" w:cstheme="minorHAnsi"/>
          <w:sz w:val="24"/>
          <w:szCs w:val="24"/>
        </w:rPr>
        <w:t xml:space="preserve">assist with </w:t>
      </w:r>
      <w:r w:rsidRPr="00F867CC">
        <w:rPr>
          <w:rFonts w:asciiTheme="minorHAnsi" w:hAnsiTheme="minorHAnsi" w:cstheme="minorHAnsi"/>
          <w:sz w:val="24"/>
          <w:szCs w:val="24"/>
        </w:rPr>
        <w:t>longer term recovery</w:t>
      </w:r>
      <w:r w:rsidR="00C6484A" w:rsidRPr="00F867CC">
        <w:rPr>
          <w:rFonts w:asciiTheme="minorHAnsi" w:hAnsiTheme="minorHAnsi" w:cstheme="minorHAnsi"/>
          <w:sz w:val="24"/>
          <w:szCs w:val="24"/>
        </w:rPr>
        <w:t>.</w:t>
      </w:r>
    </w:p>
    <w:p w14:paraId="562583F4" w14:textId="77777777" w:rsidR="00CF73B6" w:rsidRPr="00CF73B6" w:rsidRDefault="00CF73B6" w:rsidP="00CF73B6">
      <w:pPr>
        <w:pStyle w:val="Heading1"/>
      </w:pPr>
      <w:r w:rsidRPr="00CF73B6">
        <w:lastRenderedPageBreak/>
        <w:t>Principles underpinning automatic mutual recognition</w:t>
      </w:r>
    </w:p>
    <w:p w14:paraId="562583F5" w14:textId="77777777" w:rsidR="00F867CC" w:rsidRDefault="00F867CC" w:rsidP="00F867CC">
      <w:pPr>
        <w:pStyle w:val="ListParagraph"/>
        <w:tabs>
          <w:tab w:val="clear" w:pos="851"/>
        </w:tabs>
        <w:spacing w:after="200" w:line="276" w:lineRule="auto"/>
        <w:ind w:left="360" w:firstLine="0"/>
        <w:rPr>
          <w:rFonts w:asciiTheme="minorHAnsi" w:hAnsiTheme="minorHAnsi" w:cstheme="minorHAnsi"/>
          <w:sz w:val="24"/>
          <w:szCs w:val="24"/>
        </w:rPr>
      </w:pPr>
    </w:p>
    <w:p w14:paraId="562583F6" w14:textId="77777777" w:rsidR="00F867CC" w:rsidRPr="00F867CC" w:rsidRDefault="00F867CC" w:rsidP="00144DF5">
      <w:pPr>
        <w:pStyle w:val="ListParagraph"/>
        <w:numPr>
          <w:ilvl w:val="0"/>
          <w:numId w:val="1"/>
        </w:numPr>
        <w:tabs>
          <w:tab w:val="clear" w:pos="851"/>
        </w:tabs>
        <w:spacing w:after="120"/>
        <w:contextualSpacing w:val="0"/>
        <w:rPr>
          <w:rFonts w:asciiTheme="minorHAnsi" w:hAnsiTheme="minorHAnsi" w:cstheme="minorHAnsi"/>
          <w:sz w:val="24"/>
          <w:szCs w:val="24"/>
        </w:rPr>
      </w:pPr>
      <w:r w:rsidRPr="00F867CC">
        <w:rPr>
          <w:rFonts w:asciiTheme="minorHAnsi" w:hAnsiTheme="minorHAnsi" w:cstheme="minorHAnsi"/>
          <w:sz w:val="24"/>
          <w:szCs w:val="24"/>
        </w:rPr>
        <w:t>AMR builds on the principle of mutual recognition contained in the</w:t>
      </w:r>
      <w:r w:rsidRPr="00F867CC">
        <w:rPr>
          <w:rFonts w:asciiTheme="minorHAnsi" w:hAnsiTheme="minorHAnsi" w:cstheme="minorHAnsi"/>
          <w:i/>
          <w:sz w:val="24"/>
          <w:szCs w:val="24"/>
        </w:rPr>
        <w:t xml:space="preserve"> Mutual Recognition Act 1992</w:t>
      </w:r>
      <w:r w:rsidRPr="00F867CC">
        <w:rPr>
          <w:rFonts w:asciiTheme="minorHAnsi" w:hAnsiTheme="minorHAnsi" w:cstheme="minorHAnsi"/>
          <w:sz w:val="24"/>
          <w:szCs w:val="24"/>
        </w:rPr>
        <w:t xml:space="preserve"> (Cth) (MRA) which states that a person who is registered in their home jurisdiction for an occupation is permitted to undertake in the host jurisdiction the activities that are substantially the same as those under their home registration. </w:t>
      </w:r>
    </w:p>
    <w:p w14:paraId="562583F7" w14:textId="77777777" w:rsidR="00F867CC" w:rsidRPr="00F867CC" w:rsidRDefault="00F867CC" w:rsidP="00144DF5">
      <w:pPr>
        <w:pStyle w:val="ListParagraph"/>
        <w:numPr>
          <w:ilvl w:val="1"/>
          <w:numId w:val="1"/>
        </w:numPr>
        <w:tabs>
          <w:tab w:val="clear" w:pos="851"/>
        </w:tabs>
        <w:spacing w:after="120"/>
        <w:contextualSpacing w:val="0"/>
        <w:rPr>
          <w:rFonts w:asciiTheme="minorHAnsi" w:hAnsiTheme="minorHAnsi" w:cstheme="minorHAnsi"/>
          <w:sz w:val="24"/>
          <w:szCs w:val="24"/>
        </w:rPr>
      </w:pPr>
      <w:r w:rsidRPr="00F867CC" w:rsidDel="00F45A90">
        <w:rPr>
          <w:rFonts w:asciiTheme="minorHAnsi" w:hAnsiTheme="minorHAnsi" w:cstheme="minorHAnsi"/>
          <w:sz w:val="24"/>
          <w:szCs w:val="24"/>
        </w:rPr>
        <w:t xml:space="preserve">Jurisdictions </w:t>
      </w:r>
      <w:r w:rsidRPr="00F867CC">
        <w:rPr>
          <w:rFonts w:asciiTheme="minorHAnsi" w:hAnsiTheme="minorHAnsi" w:cstheme="minorHAnsi"/>
          <w:sz w:val="24"/>
          <w:szCs w:val="24"/>
        </w:rPr>
        <w:t>have agreed that registered workers will not bear additional registration or renewal fees to perform the same activity in a second or subsequent jurisdiction</w:t>
      </w:r>
      <w:r w:rsidRPr="00F867CC" w:rsidDel="00A859C7">
        <w:rPr>
          <w:rFonts w:asciiTheme="minorHAnsi" w:hAnsiTheme="minorHAnsi" w:cstheme="minorHAnsi"/>
          <w:sz w:val="24"/>
          <w:szCs w:val="24"/>
        </w:rPr>
        <w:t xml:space="preserve"> </w:t>
      </w:r>
      <w:r w:rsidRPr="00F867CC">
        <w:rPr>
          <w:rFonts w:asciiTheme="minorHAnsi" w:hAnsiTheme="minorHAnsi" w:cstheme="minorHAnsi"/>
          <w:sz w:val="24"/>
          <w:szCs w:val="24"/>
        </w:rPr>
        <w:t>when they hold a registration in their home jurisdiction.</w:t>
      </w:r>
    </w:p>
    <w:p w14:paraId="562583F8" w14:textId="77777777" w:rsidR="00F867CC" w:rsidRPr="00F867CC" w:rsidRDefault="00F867CC" w:rsidP="00144DF5">
      <w:pPr>
        <w:pStyle w:val="ListParagraph"/>
        <w:keepNext/>
        <w:numPr>
          <w:ilvl w:val="1"/>
          <w:numId w:val="1"/>
        </w:numPr>
        <w:tabs>
          <w:tab w:val="clear" w:pos="851"/>
        </w:tabs>
        <w:spacing w:after="120"/>
        <w:ind w:left="788" w:hanging="431"/>
        <w:contextualSpacing w:val="0"/>
        <w:rPr>
          <w:rFonts w:asciiTheme="minorHAnsi" w:hAnsiTheme="minorHAnsi" w:cstheme="minorHAnsi"/>
          <w:sz w:val="24"/>
          <w:szCs w:val="24"/>
        </w:rPr>
      </w:pPr>
      <w:r w:rsidRPr="00F867CC" w:rsidDel="001924DF">
        <w:rPr>
          <w:rFonts w:asciiTheme="minorHAnsi" w:hAnsiTheme="minorHAnsi" w:cstheme="minorHAnsi"/>
          <w:sz w:val="24"/>
          <w:szCs w:val="24"/>
        </w:rPr>
        <w:t xml:space="preserve">Jurisdictions </w:t>
      </w:r>
      <w:r w:rsidRPr="00F867CC">
        <w:rPr>
          <w:rFonts w:asciiTheme="minorHAnsi" w:hAnsiTheme="minorHAnsi" w:cstheme="minorHAnsi"/>
          <w:sz w:val="24"/>
          <w:szCs w:val="24"/>
        </w:rPr>
        <w:t>have agreed that appropriate safeguards will be retained to protect consumers</w:t>
      </w:r>
      <w:r w:rsidR="00225D40">
        <w:rPr>
          <w:rFonts w:asciiTheme="minorHAnsi" w:hAnsiTheme="minorHAnsi" w:cstheme="minorHAnsi"/>
          <w:sz w:val="24"/>
          <w:szCs w:val="24"/>
        </w:rPr>
        <w:t xml:space="preserve">, </w:t>
      </w:r>
      <w:r w:rsidRPr="00F867CC">
        <w:rPr>
          <w:rFonts w:asciiTheme="minorHAnsi" w:hAnsiTheme="minorHAnsi" w:cstheme="minorHAnsi"/>
          <w:sz w:val="24"/>
          <w:szCs w:val="24"/>
        </w:rPr>
        <w:t xml:space="preserve">and </w:t>
      </w:r>
      <w:r w:rsidR="00225D40">
        <w:rPr>
          <w:rFonts w:asciiTheme="minorHAnsi" w:hAnsiTheme="minorHAnsi" w:cstheme="minorHAnsi"/>
          <w:sz w:val="24"/>
          <w:szCs w:val="24"/>
        </w:rPr>
        <w:t xml:space="preserve">the health and safety of workers and the </w:t>
      </w:r>
      <w:r w:rsidRPr="00F867CC">
        <w:rPr>
          <w:rFonts w:asciiTheme="minorHAnsi" w:hAnsiTheme="minorHAnsi" w:cstheme="minorHAnsi"/>
          <w:sz w:val="24"/>
          <w:szCs w:val="24"/>
        </w:rPr>
        <w:t>public. Jurisdictions:</w:t>
      </w:r>
    </w:p>
    <w:p w14:paraId="562583F9" w14:textId="77777777" w:rsidR="00F867CC" w:rsidRPr="00F867CC" w:rsidRDefault="00F867CC" w:rsidP="00A42020">
      <w:pPr>
        <w:pStyle w:val="ListParagraph"/>
        <w:numPr>
          <w:ilvl w:val="0"/>
          <w:numId w:val="3"/>
        </w:numPr>
        <w:tabs>
          <w:tab w:val="clear" w:pos="851"/>
        </w:tabs>
        <w:spacing w:after="120"/>
        <w:contextualSpacing w:val="0"/>
        <w:rPr>
          <w:rFonts w:asciiTheme="minorHAnsi" w:hAnsiTheme="minorHAnsi" w:cstheme="minorHAnsi"/>
          <w:sz w:val="24"/>
          <w:szCs w:val="24"/>
        </w:rPr>
      </w:pPr>
      <w:r w:rsidRPr="00F867CC">
        <w:rPr>
          <w:rFonts w:asciiTheme="minorHAnsi" w:hAnsiTheme="minorHAnsi" w:cstheme="minorHAnsi"/>
          <w:sz w:val="24"/>
          <w:szCs w:val="24"/>
        </w:rPr>
        <w:t>may exempt specific occupational registrations from AMR for a renewable period of up to five years where they are determined by the jurisdiction to be necessary to address significant</w:t>
      </w:r>
      <w:r w:rsidR="0075310F">
        <w:rPr>
          <w:rFonts w:asciiTheme="minorHAnsi" w:hAnsiTheme="minorHAnsi" w:cstheme="minorHAnsi"/>
          <w:sz w:val="24"/>
          <w:szCs w:val="24"/>
        </w:rPr>
        <w:t xml:space="preserve"> risks to</w:t>
      </w:r>
      <w:r w:rsidRPr="00F867CC">
        <w:rPr>
          <w:rFonts w:asciiTheme="minorHAnsi" w:hAnsiTheme="minorHAnsi" w:cstheme="minorHAnsi"/>
          <w:sz w:val="24"/>
          <w:szCs w:val="24"/>
        </w:rPr>
        <w:t xml:space="preserve"> consumer protection or </w:t>
      </w:r>
      <w:r w:rsidR="0075310F">
        <w:rPr>
          <w:rFonts w:asciiTheme="minorHAnsi" w:hAnsiTheme="minorHAnsi" w:cstheme="minorHAnsi"/>
          <w:sz w:val="24"/>
          <w:szCs w:val="24"/>
        </w:rPr>
        <w:t xml:space="preserve">the health or safety of workers or the </w:t>
      </w:r>
      <w:r w:rsidRPr="00F867CC">
        <w:rPr>
          <w:rFonts w:asciiTheme="minorHAnsi" w:hAnsiTheme="minorHAnsi" w:cstheme="minorHAnsi"/>
          <w:sz w:val="24"/>
          <w:szCs w:val="24"/>
        </w:rPr>
        <w:t>public in that state or territory, and that exemption is the most appropriate policy instrument to protect the community</w:t>
      </w:r>
    </w:p>
    <w:p w14:paraId="562583FA" w14:textId="77777777" w:rsidR="00F867CC" w:rsidRDefault="00BC1C86" w:rsidP="00144DF5">
      <w:pPr>
        <w:pStyle w:val="ListParagraph"/>
        <w:numPr>
          <w:ilvl w:val="0"/>
          <w:numId w:val="3"/>
        </w:numPr>
        <w:tabs>
          <w:tab w:val="clear" w:pos="851"/>
        </w:tabs>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will </w:t>
      </w:r>
      <w:r w:rsidR="00F867CC" w:rsidRPr="00F867CC">
        <w:rPr>
          <w:rFonts w:asciiTheme="minorHAnsi" w:hAnsiTheme="minorHAnsi" w:cstheme="minorHAnsi"/>
          <w:sz w:val="24"/>
          <w:szCs w:val="24"/>
        </w:rPr>
        <w:t>review any exemptions to AMR, and publish reasons for granting exemptions when they are introduced or renewed</w:t>
      </w:r>
    </w:p>
    <w:p w14:paraId="562583FB" w14:textId="77777777" w:rsidR="00BC1C86" w:rsidRDefault="00BC1C86" w:rsidP="00144DF5">
      <w:pPr>
        <w:pStyle w:val="ListParagraph"/>
        <w:numPr>
          <w:ilvl w:val="0"/>
          <w:numId w:val="3"/>
        </w:numPr>
        <w:tabs>
          <w:tab w:val="clear" w:pos="851"/>
        </w:tabs>
        <w:spacing w:after="120"/>
        <w:contextualSpacing w:val="0"/>
        <w:rPr>
          <w:rFonts w:asciiTheme="minorHAnsi" w:hAnsiTheme="minorHAnsi" w:cstheme="minorHAnsi"/>
          <w:sz w:val="24"/>
          <w:szCs w:val="24"/>
        </w:rPr>
      </w:pPr>
      <w:r>
        <w:rPr>
          <w:rFonts w:asciiTheme="minorHAnsi" w:hAnsiTheme="minorHAnsi" w:cstheme="minorHAnsi"/>
          <w:sz w:val="24"/>
          <w:szCs w:val="24"/>
        </w:rPr>
        <w:t>may</w:t>
      </w:r>
      <w:r w:rsidR="0075310F">
        <w:rPr>
          <w:rFonts w:asciiTheme="minorHAnsi" w:hAnsiTheme="minorHAnsi" w:cstheme="minorHAnsi"/>
          <w:sz w:val="24"/>
          <w:szCs w:val="24"/>
        </w:rPr>
        <w:t xml:space="preserve"> temporarily</w:t>
      </w:r>
      <w:r>
        <w:rPr>
          <w:rFonts w:asciiTheme="minorHAnsi" w:hAnsiTheme="minorHAnsi" w:cstheme="minorHAnsi"/>
          <w:sz w:val="24"/>
          <w:szCs w:val="24"/>
        </w:rPr>
        <w:t xml:space="preserve"> </w:t>
      </w:r>
      <w:r w:rsidRPr="00F867CC">
        <w:rPr>
          <w:rFonts w:asciiTheme="minorHAnsi" w:hAnsiTheme="minorHAnsi" w:cstheme="minorHAnsi"/>
          <w:sz w:val="24"/>
          <w:szCs w:val="24"/>
        </w:rPr>
        <w:t xml:space="preserve">exempt specific occupational registrations from AMR for </w:t>
      </w:r>
      <w:r>
        <w:rPr>
          <w:rFonts w:asciiTheme="minorHAnsi" w:hAnsiTheme="minorHAnsi" w:cstheme="minorHAnsi"/>
          <w:sz w:val="24"/>
          <w:szCs w:val="24"/>
        </w:rPr>
        <w:t xml:space="preserve">up to six months following commencement of the </w:t>
      </w:r>
      <w:r w:rsidR="0075310F">
        <w:rPr>
          <w:rFonts w:asciiTheme="minorHAnsi" w:hAnsiTheme="minorHAnsi" w:cstheme="minorHAnsi"/>
          <w:sz w:val="24"/>
          <w:szCs w:val="24"/>
        </w:rPr>
        <w:t>s</w:t>
      </w:r>
      <w:r>
        <w:rPr>
          <w:rFonts w:asciiTheme="minorHAnsi" w:hAnsiTheme="minorHAnsi" w:cstheme="minorHAnsi"/>
          <w:sz w:val="24"/>
          <w:szCs w:val="24"/>
        </w:rPr>
        <w:t>cheme</w:t>
      </w:r>
      <w:r w:rsidR="0075310F">
        <w:rPr>
          <w:rFonts w:asciiTheme="minorHAnsi" w:hAnsiTheme="minorHAnsi" w:cstheme="minorHAnsi"/>
          <w:sz w:val="24"/>
          <w:szCs w:val="24"/>
        </w:rPr>
        <w:t xml:space="preserve"> on 1 July 2021 where the Minister is not satisfied that there is no significant risk to consumer protection or the health or safety of workers or the public in that state or territory</w:t>
      </w:r>
    </w:p>
    <w:p w14:paraId="562583FC" w14:textId="77777777" w:rsidR="004016B7" w:rsidRPr="00F867CC" w:rsidRDefault="004016B7" w:rsidP="004016B7">
      <w:pPr>
        <w:pStyle w:val="ListParagraph"/>
        <w:numPr>
          <w:ilvl w:val="0"/>
          <w:numId w:val="3"/>
        </w:numPr>
        <w:tabs>
          <w:tab w:val="clear" w:pos="851"/>
        </w:tabs>
        <w:spacing w:after="120"/>
        <w:contextualSpacing w:val="0"/>
        <w:rPr>
          <w:rFonts w:asciiTheme="minorHAnsi" w:hAnsiTheme="minorHAnsi" w:cstheme="minorHAnsi"/>
          <w:sz w:val="24"/>
          <w:szCs w:val="24"/>
        </w:rPr>
      </w:pPr>
      <w:r w:rsidRPr="00F867CC">
        <w:rPr>
          <w:rFonts w:asciiTheme="minorHAnsi" w:hAnsiTheme="minorHAnsi" w:cstheme="minorHAnsi"/>
          <w:sz w:val="24"/>
          <w:szCs w:val="24"/>
        </w:rPr>
        <w:t>will not use exemptions for the purpose of limiting trade and commerce with, or competition from, other jurisdictions</w:t>
      </w:r>
    </w:p>
    <w:p w14:paraId="562583FD" w14:textId="77777777" w:rsidR="00F867CC" w:rsidRPr="00F867CC" w:rsidRDefault="00F867CC" w:rsidP="00144DF5">
      <w:pPr>
        <w:pStyle w:val="ListParagraph"/>
        <w:numPr>
          <w:ilvl w:val="0"/>
          <w:numId w:val="3"/>
        </w:numPr>
        <w:tabs>
          <w:tab w:val="clear" w:pos="851"/>
        </w:tabs>
        <w:spacing w:after="120"/>
        <w:contextualSpacing w:val="0"/>
        <w:rPr>
          <w:rFonts w:asciiTheme="minorHAnsi" w:hAnsiTheme="minorHAnsi" w:cstheme="minorHAnsi"/>
          <w:sz w:val="24"/>
          <w:szCs w:val="24"/>
        </w:rPr>
      </w:pPr>
      <w:r w:rsidRPr="00F867CC">
        <w:rPr>
          <w:rFonts w:asciiTheme="minorHAnsi" w:hAnsiTheme="minorHAnsi" w:cstheme="minorHAnsi"/>
          <w:sz w:val="24"/>
          <w:szCs w:val="24"/>
        </w:rPr>
        <w:t xml:space="preserve">are able to use local laws and provisions that regulate the manner of carrying on an occupation, such as requirements regarding insurance, fidelity or compensation funds, trust accounts and probity, to protect and support consumers, workers and the public </w:t>
      </w:r>
    </w:p>
    <w:p w14:paraId="562583FE" w14:textId="77777777" w:rsidR="00F867CC" w:rsidRPr="00F867CC" w:rsidRDefault="00F867CC" w:rsidP="00144DF5">
      <w:pPr>
        <w:pStyle w:val="ListParagraph"/>
        <w:numPr>
          <w:ilvl w:val="0"/>
          <w:numId w:val="3"/>
        </w:numPr>
        <w:tabs>
          <w:tab w:val="clear" w:pos="851"/>
        </w:tabs>
        <w:spacing w:after="120"/>
        <w:contextualSpacing w:val="0"/>
        <w:rPr>
          <w:rFonts w:asciiTheme="minorHAnsi" w:hAnsiTheme="minorHAnsi" w:cstheme="minorHAnsi"/>
          <w:sz w:val="24"/>
          <w:szCs w:val="24"/>
        </w:rPr>
      </w:pPr>
      <w:proofErr w:type="gramStart"/>
      <w:r w:rsidRPr="00F867CC">
        <w:rPr>
          <w:rFonts w:asciiTheme="minorHAnsi" w:hAnsiTheme="minorHAnsi" w:cstheme="minorHAnsi"/>
          <w:sz w:val="24"/>
          <w:szCs w:val="24"/>
        </w:rPr>
        <w:t>will</w:t>
      </w:r>
      <w:proofErr w:type="gramEnd"/>
      <w:r w:rsidRPr="00F867CC">
        <w:rPr>
          <w:rFonts w:asciiTheme="minorHAnsi" w:hAnsiTheme="minorHAnsi" w:cstheme="minorHAnsi"/>
          <w:sz w:val="24"/>
          <w:szCs w:val="24"/>
        </w:rPr>
        <w:t xml:space="preserve"> not give access to AMR to individuals who have conditions placed on a home registration in response to disciplinary matters or who are subject to criminal, civil and disciplinary proceedings with respect to the occupational licence.</w:t>
      </w:r>
    </w:p>
    <w:p w14:paraId="562583FF" w14:textId="77777777" w:rsidR="00F867CC" w:rsidRPr="00F867CC" w:rsidRDefault="00F867CC" w:rsidP="00144DF5">
      <w:pPr>
        <w:pStyle w:val="ListParagraph"/>
        <w:numPr>
          <w:ilvl w:val="1"/>
          <w:numId w:val="1"/>
        </w:numPr>
        <w:tabs>
          <w:tab w:val="clear" w:pos="851"/>
        </w:tabs>
        <w:spacing w:after="120"/>
        <w:contextualSpacing w:val="0"/>
        <w:rPr>
          <w:rFonts w:asciiTheme="minorHAnsi" w:hAnsiTheme="minorHAnsi" w:cstheme="minorHAnsi"/>
          <w:sz w:val="24"/>
          <w:szCs w:val="24"/>
        </w:rPr>
      </w:pPr>
      <w:r w:rsidRPr="00F867CC" w:rsidDel="001924DF">
        <w:rPr>
          <w:rFonts w:asciiTheme="minorHAnsi" w:hAnsiTheme="minorHAnsi" w:cstheme="minorHAnsi"/>
          <w:sz w:val="24"/>
          <w:szCs w:val="24"/>
        </w:rPr>
        <w:t xml:space="preserve">State and Territory Governments </w:t>
      </w:r>
      <w:r w:rsidRPr="00F867CC">
        <w:rPr>
          <w:rFonts w:asciiTheme="minorHAnsi" w:hAnsiTheme="minorHAnsi" w:cstheme="minorHAnsi"/>
          <w:sz w:val="24"/>
          <w:szCs w:val="24"/>
        </w:rPr>
        <w:t>have agreed to improve the sharing of information by requiring regulators to work together across jurisdictions to:</w:t>
      </w:r>
    </w:p>
    <w:p w14:paraId="56258400" w14:textId="77777777" w:rsidR="00F867CC" w:rsidRPr="00F867CC" w:rsidRDefault="00F867CC" w:rsidP="00144DF5">
      <w:pPr>
        <w:pStyle w:val="ListParagraph"/>
        <w:numPr>
          <w:ilvl w:val="0"/>
          <w:numId w:val="4"/>
        </w:numPr>
        <w:tabs>
          <w:tab w:val="clear" w:pos="851"/>
        </w:tabs>
        <w:spacing w:after="120"/>
        <w:contextualSpacing w:val="0"/>
        <w:rPr>
          <w:rFonts w:asciiTheme="minorHAnsi" w:hAnsiTheme="minorHAnsi" w:cstheme="minorHAnsi"/>
          <w:sz w:val="24"/>
          <w:szCs w:val="24"/>
        </w:rPr>
      </w:pPr>
      <w:r w:rsidRPr="00F867CC">
        <w:rPr>
          <w:rFonts w:asciiTheme="minorHAnsi" w:hAnsiTheme="minorHAnsi" w:cstheme="minorHAnsi"/>
          <w:bCs/>
          <w:sz w:val="24"/>
          <w:szCs w:val="24"/>
        </w:rPr>
        <w:t>support the implementation of AMR, including development of a simple notification arrangement for registered workers,</w:t>
      </w:r>
      <w:r w:rsidRPr="00F867CC" w:rsidDel="00465EB2">
        <w:rPr>
          <w:rFonts w:asciiTheme="minorHAnsi" w:hAnsiTheme="minorHAnsi" w:cstheme="minorHAnsi"/>
          <w:bCs/>
          <w:sz w:val="24"/>
          <w:szCs w:val="24"/>
        </w:rPr>
        <w:t xml:space="preserve"> </w:t>
      </w:r>
      <w:r w:rsidRPr="00F867CC">
        <w:rPr>
          <w:rFonts w:asciiTheme="minorHAnsi" w:hAnsiTheme="minorHAnsi" w:cstheme="minorHAnsi"/>
          <w:bCs/>
          <w:sz w:val="24"/>
          <w:szCs w:val="24"/>
        </w:rPr>
        <w:t xml:space="preserve">that is no more burdensome than existing mutual recognition arrangements and is consistent with the objective </w:t>
      </w:r>
      <w:r w:rsidRPr="00F867CC">
        <w:rPr>
          <w:rFonts w:asciiTheme="minorHAnsi" w:hAnsiTheme="minorHAnsi" w:cstheme="minorHAnsi"/>
          <w:sz w:val="24"/>
          <w:szCs w:val="24"/>
        </w:rPr>
        <w:t>of this agreement</w:t>
      </w:r>
    </w:p>
    <w:p w14:paraId="56258401" w14:textId="77777777" w:rsidR="009C5556" w:rsidRPr="00F867CC" w:rsidRDefault="00F867CC" w:rsidP="00144DF5">
      <w:pPr>
        <w:pStyle w:val="ListParagraph"/>
        <w:numPr>
          <w:ilvl w:val="0"/>
          <w:numId w:val="4"/>
        </w:numPr>
        <w:tabs>
          <w:tab w:val="clear" w:pos="851"/>
        </w:tabs>
        <w:spacing w:after="120"/>
        <w:contextualSpacing w:val="0"/>
        <w:rPr>
          <w:rFonts w:asciiTheme="minorHAnsi" w:hAnsiTheme="minorHAnsi" w:cstheme="minorHAnsi"/>
          <w:sz w:val="24"/>
          <w:szCs w:val="24"/>
        </w:rPr>
      </w:pPr>
      <w:proofErr w:type="gramStart"/>
      <w:r w:rsidRPr="00F867CC">
        <w:rPr>
          <w:rFonts w:asciiTheme="minorHAnsi" w:hAnsiTheme="minorHAnsi" w:cstheme="minorHAnsi"/>
          <w:bCs/>
          <w:sz w:val="24"/>
          <w:szCs w:val="24"/>
        </w:rPr>
        <w:t>facilitate</w:t>
      </w:r>
      <w:proofErr w:type="gramEnd"/>
      <w:r w:rsidRPr="00F867CC">
        <w:rPr>
          <w:rFonts w:asciiTheme="minorHAnsi" w:hAnsiTheme="minorHAnsi" w:cstheme="minorHAnsi"/>
          <w:bCs/>
          <w:sz w:val="24"/>
          <w:szCs w:val="24"/>
        </w:rPr>
        <w:t xml:space="preserve"> collection and sharing of core information between jurisdictions on registrations (including scope of authorised activities and conditions on the home licence), and disciplinary </w:t>
      </w:r>
      <w:r w:rsidRPr="00F867CC">
        <w:rPr>
          <w:rFonts w:asciiTheme="minorHAnsi" w:hAnsiTheme="minorHAnsi" w:cstheme="minorHAnsi"/>
          <w:sz w:val="24"/>
          <w:szCs w:val="24"/>
        </w:rPr>
        <w:t>actions to support compliance and enforcement activities</w:t>
      </w:r>
      <w:r w:rsidR="009C5556" w:rsidRPr="00F867CC">
        <w:rPr>
          <w:rFonts w:asciiTheme="minorHAnsi" w:hAnsiTheme="minorHAnsi" w:cstheme="minorHAnsi"/>
          <w:bCs/>
          <w:sz w:val="24"/>
          <w:szCs w:val="24"/>
        </w:rPr>
        <w:t>.</w:t>
      </w:r>
    </w:p>
    <w:p w14:paraId="56258402" w14:textId="77777777" w:rsidR="00CF73B6" w:rsidRPr="00CF73B6" w:rsidRDefault="00CF73B6" w:rsidP="00CF73B6">
      <w:pPr>
        <w:pStyle w:val="Heading1"/>
      </w:pPr>
      <w:r w:rsidRPr="00CF73B6">
        <w:lastRenderedPageBreak/>
        <w:t>Implementing a uniform and enduring scheme for automatic mutual recognition</w:t>
      </w:r>
    </w:p>
    <w:p w14:paraId="56258403" w14:textId="77777777" w:rsidR="00F867CC" w:rsidRDefault="00F867CC" w:rsidP="00F867CC">
      <w:pPr>
        <w:pStyle w:val="ListParagraph"/>
        <w:tabs>
          <w:tab w:val="clear" w:pos="851"/>
        </w:tabs>
        <w:spacing w:after="200" w:line="276" w:lineRule="auto"/>
        <w:ind w:left="360" w:firstLine="0"/>
        <w:rPr>
          <w:rFonts w:asciiTheme="minorHAnsi" w:hAnsiTheme="minorHAnsi" w:cstheme="minorHAnsi"/>
          <w:sz w:val="24"/>
          <w:szCs w:val="24"/>
        </w:rPr>
      </w:pPr>
    </w:p>
    <w:p w14:paraId="56258404" w14:textId="77777777" w:rsidR="00F867CC" w:rsidRPr="00F867CC" w:rsidRDefault="00F867CC" w:rsidP="00144DF5">
      <w:pPr>
        <w:pStyle w:val="ListParagraph"/>
        <w:numPr>
          <w:ilvl w:val="0"/>
          <w:numId w:val="1"/>
        </w:numPr>
        <w:tabs>
          <w:tab w:val="clear" w:pos="851"/>
        </w:tabs>
        <w:spacing w:after="120"/>
        <w:contextualSpacing w:val="0"/>
        <w:rPr>
          <w:rFonts w:asciiTheme="minorHAnsi" w:hAnsiTheme="minorHAnsi" w:cstheme="minorHAnsi"/>
          <w:sz w:val="24"/>
          <w:szCs w:val="24"/>
        </w:rPr>
      </w:pPr>
      <w:r w:rsidRPr="00F867CC">
        <w:rPr>
          <w:rFonts w:asciiTheme="minorHAnsi" w:hAnsiTheme="minorHAnsi" w:cstheme="minorHAnsi"/>
          <w:sz w:val="24"/>
          <w:szCs w:val="24"/>
        </w:rPr>
        <w:t>Parties agree that, in order to achieve a uniform and enduring scheme for AMR, the scheme will best be implemented by:</w:t>
      </w:r>
    </w:p>
    <w:p w14:paraId="56258405" w14:textId="77777777" w:rsidR="00F867CC" w:rsidRPr="00F867CC" w:rsidRDefault="00F867CC" w:rsidP="00144DF5">
      <w:pPr>
        <w:pStyle w:val="ListParagraph"/>
        <w:numPr>
          <w:ilvl w:val="0"/>
          <w:numId w:val="2"/>
        </w:numPr>
        <w:tabs>
          <w:tab w:val="clear" w:pos="851"/>
        </w:tabs>
        <w:spacing w:after="120"/>
        <w:contextualSpacing w:val="0"/>
        <w:rPr>
          <w:rFonts w:asciiTheme="minorHAnsi" w:hAnsiTheme="minorHAnsi" w:cstheme="minorHAnsi"/>
          <w:sz w:val="24"/>
          <w:szCs w:val="24"/>
        </w:rPr>
      </w:pPr>
      <w:r w:rsidRPr="00F867CC">
        <w:rPr>
          <w:rFonts w:asciiTheme="minorHAnsi" w:hAnsiTheme="minorHAnsi" w:cstheme="minorHAnsi"/>
          <w:sz w:val="24"/>
          <w:szCs w:val="24"/>
        </w:rPr>
        <w:t>amendments to the MRA consistent with the AMR model in this agreement, with a date of effect of 1 July 2021</w:t>
      </w:r>
    </w:p>
    <w:p w14:paraId="56258406" w14:textId="77777777" w:rsidR="00F867CC" w:rsidRPr="00F867CC" w:rsidRDefault="00F867CC" w:rsidP="00144DF5">
      <w:pPr>
        <w:pStyle w:val="ListParagraph"/>
        <w:numPr>
          <w:ilvl w:val="0"/>
          <w:numId w:val="2"/>
        </w:numPr>
        <w:tabs>
          <w:tab w:val="clear" w:pos="851"/>
        </w:tabs>
        <w:spacing w:after="120"/>
        <w:contextualSpacing w:val="0"/>
        <w:rPr>
          <w:rFonts w:asciiTheme="minorHAnsi" w:hAnsiTheme="minorHAnsi" w:cstheme="minorHAnsi"/>
          <w:sz w:val="24"/>
          <w:szCs w:val="24"/>
        </w:rPr>
      </w:pPr>
      <w:r w:rsidRPr="00F867CC">
        <w:rPr>
          <w:rFonts w:asciiTheme="minorHAnsi" w:hAnsiTheme="minorHAnsi" w:cstheme="minorHAnsi"/>
          <w:sz w:val="24"/>
          <w:szCs w:val="24"/>
        </w:rPr>
        <w:t xml:space="preserve">enactment of adopting legislation where required by State and Territory Governments in terms of the amended MRA once it has passed the Commonwealth Parliament, to be in effect from 1 July 2021 </w:t>
      </w:r>
    </w:p>
    <w:p w14:paraId="56258407" w14:textId="77777777" w:rsidR="00F867CC" w:rsidRPr="00F867CC" w:rsidRDefault="00F867CC" w:rsidP="00144DF5">
      <w:pPr>
        <w:pStyle w:val="ListParagraph"/>
        <w:numPr>
          <w:ilvl w:val="0"/>
          <w:numId w:val="2"/>
        </w:numPr>
        <w:tabs>
          <w:tab w:val="clear" w:pos="851"/>
        </w:tabs>
        <w:spacing w:after="120"/>
        <w:contextualSpacing w:val="0"/>
        <w:rPr>
          <w:rFonts w:asciiTheme="minorHAnsi" w:hAnsiTheme="minorHAnsi" w:cstheme="minorHAnsi"/>
          <w:sz w:val="24"/>
          <w:szCs w:val="24"/>
        </w:rPr>
      </w:pPr>
      <w:proofErr w:type="gramStart"/>
      <w:r w:rsidRPr="00F867CC">
        <w:rPr>
          <w:rFonts w:asciiTheme="minorHAnsi" w:hAnsiTheme="minorHAnsi" w:cstheme="minorHAnsi"/>
          <w:sz w:val="24"/>
          <w:szCs w:val="24"/>
        </w:rPr>
        <w:t>passing</w:t>
      </w:r>
      <w:proofErr w:type="gramEnd"/>
      <w:r w:rsidRPr="00F867CC">
        <w:rPr>
          <w:rFonts w:asciiTheme="minorHAnsi" w:hAnsiTheme="minorHAnsi" w:cstheme="minorHAnsi"/>
          <w:sz w:val="24"/>
          <w:szCs w:val="24"/>
        </w:rPr>
        <w:t xml:space="preserve"> consequential amendments where necessary to state licensing and other relevant laws to enable AMR, to be effective from 1 July 2021.</w:t>
      </w:r>
    </w:p>
    <w:p w14:paraId="56258408" w14:textId="77777777" w:rsidR="00F867CC" w:rsidRPr="00F867CC" w:rsidRDefault="00F867CC" w:rsidP="00144DF5">
      <w:pPr>
        <w:pStyle w:val="ListParagraph"/>
        <w:numPr>
          <w:ilvl w:val="1"/>
          <w:numId w:val="1"/>
        </w:numPr>
        <w:tabs>
          <w:tab w:val="clear" w:pos="851"/>
        </w:tabs>
        <w:spacing w:after="120"/>
        <w:contextualSpacing w:val="0"/>
        <w:rPr>
          <w:rFonts w:asciiTheme="minorHAnsi" w:hAnsiTheme="minorHAnsi" w:cstheme="minorHAnsi"/>
          <w:sz w:val="24"/>
          <w:szCs w:val="24"/>
        </w:rPr>
      </w:pPr>
      <w:r w:rsidRPr="00F867CC">
        <w:rPr>
          <w:rFonts w:asciiTheme="minorHAnsi" w:hAnsiTheme="minorHAnsi" w:cstheme="minorHAnsi"/>
          <w:sz w:val="24"/>
          <w:szCs w:val="24"/>
        </w:rPr>
        <w:t xml:space="preserve">Parties agree to support effective implementation of AMR (irrespective of timing of formal adoption of AMR in their State or Territory), including through furnishing information (consistent with existing mutual recognition provisions). </w:t>
      </w:r>
    </w:p>
    <w:p w14:paraId="56258409" w14:textId="77777777" w:rsidR="00F867CC" w:rsidRPr="00F867CC" w:rsidRDefault="00F867CC" w:rsidP="00144DF5">
      <w:pPr>
        <w:pStyle w:val="ListParagraph"/>
        <w:numPr>
          <w:ilvl w:val="1"/>
          <w:numId w:val="1"/>
        </w:numPr>
        <w:tabs>
          <w:tab w:val="clear" w:pos="851"/>
        </w:tabs>
        <w:spacing w:after="120"/>
        <w:contextualSpacing w:val="0"/>
        <w:rPr>
          <w:rFonts w:asciiTheme="minorHAnsi" w:hAnsiTheme="minorHAnsi" w:cstheme="minorHAnsi"/>
          <w:sz w:val="24"/>
          <w:szCs w:val="24"/>
        </w:rPr>
      </w:pPr>
      <w:r w:rsidRPr="00F867CC">
        <w:rPr>
          <w:rFonts w:asciiTheme="minorHAnsi" w:hAnsiTheme="minorHAnsi" w:cstheme="minorHAnsi"/>
          <w:sz w:val="24"/>
          <w:szCs w:val="24"/>
        </w:rPr>
        <w:t>Parties</w:t>
      </w:r>
      <w:r w:rsidRPr="00F867CC" w:rsidDel="001924DF">
        <w:rPr>
          <w:rFonts w:asciiTheme="minorHAnsi" w:hAnsiTheme="minorHAnsi" w:cstheme="minorHAnsi"/>
          <w:sz w:val="24"/>
          <w:szCs w:val="24"/>
        </w:rPr>
        <w:t xml:space="preserve"> </w:t>
      </w:r>
      <w:r w:rsidRPr="00F867CC">
        <w:rPr>
          <w:rFonts w:asciiTheme="minorHAnsi" w:hAnsiTheme="minorHAnsi" w:cstheme="minorHAnsi"/>
          <w:sz w:val="24"/>
          <w:szCs w:val="24"/>
        </w:rPr>
        <w:t>will also consider future investment in information systems to meet consumer, worker, business and regulator needs, and review the adequacy of their public information services.</w:t>
      </w:r>
    </w:p>
    <w:p w14:paraId="5625840A" w14:textId="77777777" w:rsidR="00F867CC" w:rsidRPr="00F867CC" w:rsidRDefault="00F867CC" w:rsidP="00144DF5">
      <w:pPr>
        <w:pStyle w:val="ListParagraph"/>
        <w:numPr>
          <w:ilvl w:val="1"/>
          <w:numId w:val="1"/>
        </w:numPr>
        <w:tabs>
          <w:tab w:val="clear" w:pos="851"/>
        </w:tabs>
        <w:spacing w:after="120"/>
        <w:contextualSpacing w:val="0"/>
        <w:rPr>
          <w:rFonts w:asciiTheme="minorHAnsi" w:hAnsiTheme="minorHAnsi" w:cstheme="minorHAnsi"/>
          <w:sz w:val="24"/>
          <w:szCs w:val="24"/>
        </w:rPr>
      </w:pPr>
      <w:r w:rsidRPr="00F867CC">
        <w:rPr>
          <w:rFonts w:asciiTheme="minorHAnsi" w:hAnsiTheme="minorHAnsi" w:cstheme="minorHAnsi"/>
          <w:sz w:val="24"/>
          <w:szCs w:val="24"/>
        </w:rPr>
        <w:t>Over the longer term, parties have agreed to consider how the administration of mutual recognition (including AMR), regulatory requirements and processes for occupational registrations can be further</w:t>
      </w:r>
      <w:r w:rsidRPr="00F867CC" w:rsidDel="00A72E3F">
        <w:rPr>
          <w:rFonts w:asciiTheme="minorHAnsi" w:hAnsiTheme="minorHAnsi" w:cstheme="minorHAnsi"/>
          <w:sz w:val="24"/>
          <w:szCs w:val="24"/>
        </w:rPr>
        <w:t xml:space="preserve"> </w:t>
      </w:r>
      <w:r w:rsidRPr="00F867CC">
        <w:rPr>
          <w:rFonts w:asciiTheme="minorHAnsi" w:hAnsiTheme="minorHAnsi" w:cstheme="minorHAnsi"/>
          <w:sz w:val="24"/>
          <w:szCs w:val="24"/>
        </w:rPr>
        <w:t>streamlined to reduce unnecessary compliance and administration costs.</w:t>
      </w:r>
    </w:p>
    <w:p w14:paraId="5625840B" w14:textId="77777777" w:rsidR="00F867CC" w:rsidRPr="0075310F" w:rsidRDefault="00F867CC" w:rsidP="0075310F">
      <w:pPr>
        <w:pStyle w:val="ListParagraph"/>
        <w:numPr>
          <w:ilvl w:val="0"/>
          <w:numId w:val="1"/>
        </w:numPr>
        <w:tabs>
          <w:tab w:val="clear" w:pos="851"/>
        </w:tabs>
        <w:spacing w:after="120"/>
        <w:contextualSpacing w:val="0"/>
        <w:rPr>
          <w:rFonts w:asciiTheme="minorHAnsi" w:hAnsiTheme="minorHAnsi" w:cstheme="minorHAnsi"/>
          <w:sz w:val="24"/>
          <w:szCs w:val="24"/>
        </w:rPr>
      </w:pPr>
      <w:r w:rsidRPr="00F867CC">
        <w:rPr>
          <w:rFonts w:asciiTheme="minorHAnsi" w:hAnsiTheme="minorHAnsi" w:cstheme="minorHAnsi"/>
          <w:sz w:val="24"/>
          <w:szCs w:val="24"/>
        </w:rPr>
        <w:t>Implementation of the scheme for AMR will be accompanied by stakeholder consultation and dissemination of information to the public by Commonwealth, State and Territory governments to promote awareness of the scheme, its benefits and safeguards, and support streamlined implementation</w:t>
      </w:r>
      <w:r w:rsidR="009C5556" w:rsidRPr="00F867CC">
        <w:rPr>
          <w:rFonts w:asciiTheme="minorHAnsi" w:hAnsiTheme="minorHAnsi" w:cstheme="minorHAnsi"/>
          <w:sz w:val="24"/>
          <w:szCs w:val="24"/>
        </w:rPr>
        <w:t>.</w:t>
      </w:r>
    </w:p>
    <w:p w14:paraId="5625840C" w14:textId="77777777" w:rsidR="00CF73B6" w:rsidRPr="00CF73B6" w:rsidRDefault="00CF73B6" w:rsidP="00CF73B6">
      <w:pPr>
        <w:pStyle w:val="Heading1"/>
      </w:pPr>
      <w:r w:rsidRPr="00CF73B6">
        <w:t>The need for review and longer term reform</w:t>
      </w:r>
    </w:p>
    <w:p w14:paraId="5625840D" w14:textId="77777777" w:rsidR="00F867CC" w:rsidRDefault="00F867CC" w:rsidP="00F867CC">
      <w:pPr>
        <w:pStyle w:val="ListParagraph"/>
        <w:tabs>
          <w:tab w:val="clear" w:pos="851"/>
        </w:tabs>
        <w:spacing w:after="200" w:line="276" w:lineRule="auto"/>
        <w:ind w:left="360" w:firstLine="0"/>
        <w:rPr>
          <w:rFonts w:asciiTheme="minorHAnsi" w:hAnsiTheme="minorHAnsi" w:cstheme="minorHAnsi"/>
          <w:sz w:val="24"/>
          <w:szCs w:val="24"/>
        </w:rPr>
      </w:pPr>
    </w:p>
    <w:p w14:paraId="5625840E" w14:textId="77777777" w:rsidR="00F867CC" w:rsidRPr="00F867CC" w:rsidRDefault="00F867CC" w:rsidP="00144DF5">
      <w:pPr>
        <w:pStyle w:val="ListParagraph"/>
        <w:numPr>
          <w:ilvl w:val="0"/>
          <w:numId w:val="1"/>
        </w:numPr>
        <w:tabs>
          <w:tab w:val="clear" w:pos="851"/>
        </w:tabs>
        <w:spacing w:after="120"/>
        <w:ind w:left="357" w:hanging="357"/>
        <w:contextualSpacing w:val="0"/>
        <w:rPr>
          <w:rFonts w:asciiTheme="minorHAnsi" w:hAnsiTheme="minorHAnsi" w:cstheme="minorHAnsi"/>
          <w:sz w:val="24"/>
          <w:szCs w:val="24"/>
        </w:rPr>
      </w:pPr>
      <w:r w:rsidRPr="00F867CC">
        <w:rPr>
          <w:rFonts w:asciiTheme="minorHAnsi" w:hAnsiTheme="minorHAnsi" w:cstheme="minorHAnsi"/>
          <w:sz w:val="24"/>
          <w:szCs w:val="24"/>
        </w:rPr>
        <w:t>Parties</w:t>
      </w:r>
      <w:r w:rsidRPr="00F867CC" w:rsidDel="001924DF">
        <w:rPr>
          <w:rFonts w:asciiTheme="minorHAnsi" w:hAnsiTheme="minorHAnsi" w:cstheme="minorHAnsi"/>
          <w:sz w:val="24"/>
          <w:szCs w:val="24"/>
        </w:rPr>
        <w:t xml:space="preserve"> </w:t>
      </w:r>
      <w:r w:rsidRPr="00F867CC">
        <w:rPr>
          <w:rFonts w:asciiTheme="minorHAnsi" w:hAnsiTheme="minorHAnsi" w:cstheme="minorHAnsi"/>
          <w:sz w:val="24"/>
          <w:szCs w:val="24"/>
        </w:rPr>
        <w:t>have agreed to work together to develop more effective occupational registration requirements, and associated compliance strategies, to reduce unnecessary regulatory burden over time.</w:t>
      </w:r>
    </w:p>
    <w:p w14:paraId="5625840F" w14:textId="77777777" w:rsidR="00F867CC" w:rsidRPr="00F867CC" w:rsidRDefault="00F867CC" w:rsidP="00144DF5">
      <w:pPr>
        <w:pStyle w:val="ListParagraph"/>
        <w:numPr>
          <w:ilvl w:val="0"/>
          <w:numId w:val="1"/>
        </w:numPr>
        <w:tabs>
          <w:tab w:val="clear" w:pos="851"/>
        </w:tabs>
        <w:spacing w:after="120"/>
        <w:ind w:left="357" w:hanging="357"/>
        <w:contextualSpacing w:val="0"/>
        <w:rPr>
          <w:rFonts w:asciiTheme="minorHAnsi" w:hAnsiTheme="minorHAnsi" w:cstheme="minorHAnsi"/>
          <w:sz w:val="24"/>
          <w:szCs w:val="24"/>
        </w:rPr>
      </w:pPr>
      <w:r w:rsidRPr="00F867CC">
        <w:rPr>
          <w:rFonts w:asciiTheme="minorHAnsi" w:hAnsiTheme="minorHAnsi" w:cstheme="minorHAnsi"/>
          <w:sz w:val="24"/>
          <w:szCs w:val="24"/>
        </w:rPr>
        <w:t>Parties have agreed to establish and appropriately resource a cross</w:t>
      </w:r>
      <w:r w:rsidRPr="00F867CC">
        <w:rPr>
          <w:rFonts w:asciiTheme="minorHAnsi" w:hAnsiTheme="minorHAnsi" w:cstheme="minorHAnsi"/>
          <w:sz w:val="24"/>
          <w:szCs w:val="24"/>
        </w:rPr>
        <w:noBreakHyphen/>
        <w:t xml:space="preserve">jurisdictional Steering Group to oversee mutual recognition arrangements, monitor implementation of AMR, and develop and implement an annual work program to support ongoing improvements to the regulatory environment for occupational registration and mobility. </w:t>
      </w:r>
    </w:p>
    <w:p w14:paraId="56258410" w14:textId="77777777" w:rsidR="00F867CC" w:rsidRPr="00F867CC" w:rsidRDefault="00F867CC" w:rsidP="00144DF5">
      <w:pPr>
        <w:pStyle w:val="ListParagraph"/>
        <w:numPr>
          <w:ilvl w:val="0"/>
          <w:numId w:val="1"/>
        </w:numPr>
        <w:tabs>
          <w:tab w:val="clear" w:pos="851"/>
        </w:tabs>
        <w:spacing w:after="120"/>
        <w:ind w:left="357" w:hanging="357"/>
        <w:contextualSpacing w:val="0"/>
        <w:rPr>
          <w:rFonts w:asciiTheme="minorHAnsi" w:hAnsiTheme="minorHAnsi" w:cstheme="minorHAnsi"/>
          <w:sz w:val="24"/>
          <w:szCs w:val="24"/>
        </w:rPr>
      </w:pPr>
      <w:r w:rsidRPr="00F867CC">
        <w:rPr>
          <w:rFonts w:asciiTheme="minorHAnsi" w:hAnsiTheme="minorHAnsi" w:cstheme="minorHAnsi"/>
          <w:sz w:val="24"/>
          <w:szCs w:val="24"/>
        </w:rPr>
        <w:t>The Steering Group will report to Heads of Treasuries every six months from 1 January 2021. The Group will consist of Treasury officials and representatives of other departments as determined by the Steering Group. The Commonwealth will co-chair with one other State or Territory and provide a secretariat for the Steering Group.</w:t>
      </w:r>
    </w:p>
    <w:p w14:paraId="56258411" w14:textId="77777777" w:rsidR="00F867CC" w:rsidRPr="00F867CC" w:rsidRDefault="00F867CC" w:rsidP="00144DF5">
      <w:pPr>
        <w:pStyle w:val="ListParagraph"/>
        <w:numPr>
          <w:ilvl w:val="0"/>
          <w:numId w:val="1"/>
        </w:numPr>
        <w:tabs>
          <w:tab w:val="clear" w:pos="851"/>
        </w:tabs>
        <w:spacing w:after="120"/>
        <w:ind w:left="357" w:hanging="357"/>
        <w:contextualSpacing w:val="0"/>
        <w:rPr>
          <w:rFonts w:asciiTheme="minorHAnsi" w:hAnsiTheme="minorHAnsi" w:cstheme="minorHAnsi"/>
          <w:sz w:val="24"/>
          <w:szCs w:val="24"/>
        </w:rPr>
      </w:pPr>
      <w:r w:rsidRPr="00F867CC">
        <w:rPr>
          <w:rFonts w:asciiTheme="minorHAnsi" w:hAnsiTheme="minorHAnsi" w:cstheme="minorHAnsi"/>
          <w:sz w:val="24"/>
          <w:szCs w:val="24"/>
        </w:rPr>
        <w:lastRenderedPageBreak/>
        <w:t xml:space="preserve">Heads of Treasuries will monitor the implementation of this agreement and the effectiveness of AMR, and report to the Council on Federal Financial Relations as necessary. </w:t>
      </w:r>
    </w:p>
    <w:p w14:paraId="56258412" w14:textId="77777777" w:rsidR="00F867CC" w:rsidRPr="00F867CC" w:rsidRDefault="00F867CC" w:rsidP="00144DF5">
      <w:pPr>
        <w:pStyle w:val="ListParagraph"/>
        <w:numPr>
          <w:ilvl w:val="0"/>
          <w:numId w:val="1"/>
        </w:numPr>
        <w:tabs>
          <w:tab w:val="clear" w:pos="851"/>
        </w:tabs>
        <w:spacing w:after="120"/>
        <w:ind w:left="357" w:hanging="357"/>
        <w:contextualSpacing w:val="0"/>
        <w:rPr>
          <w:rFonts w:asciiTheme="minorHAnsi" w:hAnsiTheme="minorHAnsi" w:cstheme="minorHAnsi"/>
          <w:sz w:val="24"/>
          <w:szCs w:val="24"/>
        </w:rPr>
      </w:pPr>
      <w:r w:rsidRPr="00F867CC">
        <w:rPr>
          <w:rFonts w:asciiTheme="minorHAnsi" w:hAnsiTheme="minorHAnsi" w:cstheme="minorHAnsi"/>
          <w:sz w:val="24"/>
          <w:szCs w:val="24"/>
        </w:rPr>
        <w:t>Over the five years following this Agreement coming into force, jurisdictions through the Steering Group will consider other regulatory reforms, such as broadening the types of registrations in scope for mutual recognition,</w:t>
      </w:r>
      <w:r w:rsidRPr="00F867CC" w:rsidDel="0067266B">
        <w:rPr>
          <w:rFonts w:asciiTheme="minorHAnsi" w:hAnsiTheme="minorHAnsi" w:cstheme="minorHAnsi"/>
          <w:sz w:val="24"/>
          <w:szCs w:val="24"/>
        </w:rPr>
        <w:t xml:space="preserve"> </w:t>
      </w:r>
      <w:r w:rsidRPr="00F867CC">
        <w:rPr>
          <w:rFonts w:asciiTheme="minorHAnsi" w:hAnsiTheme="minorHAnsi" w:cstheme="minorHAnsi"/>
          <w:sz w:val="24"/>
          <w:szCs w:val="24"/>
        </w:rPr>
        <w:t>improved collaboration on regulatory actions, streamlining registration requirements and information provision where appropriate to improve national consistency,  and reducing impediments to</w:t>
      </w:r>
      <w:r w:rsidRPr="00F867CC" w:rsidDel="00F8259B">
        <w:rPr>
          <w:rFonts w:asciiTheme="minorHAnsi" w:hAnsiTheme="minorHAnsi" w:cstheme="minorHAnsi"/>
          <w:sz w:val="24"/>
          <w:szCs w:val="24"/>
        </w:rPr>
        <w:t xml:space="preserve"> </w:t>
      </w:r>
      <w:r w:rsidRPr="00F867CC">
        <w:rPr>
          <w:rFonts w:asciiTheme="minorHAnsi" w:hAnsiTheme="minorHAnsi" w:cstheme="minorHAnsi"/>
          <w:sz w:val="24"/>
          <w:szCs w:val="24"/>
        </w:rPr>
        <w:t>labour mobility and employment and productivity growth.</w:t>
      </w:r>
    </w:p>
    <w:p w14:paraId="56258413" w14:textId="77777777" w:rsidR="009C5556" w:rsidRDefault="00F867CC" w:rsidP="00144DF5">
      <w:pPr>
        <w:pStyle w:val="ListParagraph"/>
        <w:numPr>
          <w:ilvl w:val="0"/>
          <w:numId w:val="1"/>
        </w:numPr>
        <w:tabs>
          <w:tab w:val="clear" w:pos="851"/>
        </w:tabs>
        <w:spacing w:after="120"/>
        <w:ind w:left="357" w:hanging="357"/>
        <w:contextualSpacing w:val="0"/>
        <w:rPr>
          <w:rFonts w:asciiTheme="minorHAnsi" w:hAnsiTheme="minorHAnsi" w:cstheme="minorHAnsi"/>
          <w:sz w:val="24"/>
          <w:szCs w:val="24"/>
        </w:rPr>
      </w:pPr>
      <w:r w:rsidRPr="00F867CC">
        <w:rPr>
          <w:rFonts w:asciiTheme="minorHAnsi" w:hAnsiTheme="minorHAnsi" w:cstheme="minorHAnsi"/>
          <w:sz w:val="24"/>
          <w:szCs w:val="24"/>
        </w:rPr>
        <w:t xml:space="preserve">The operation and effectiveness of this Agreement and the MRA more broadly should be reviewed by the Council on Federal Financial Relations every five years, in consultation with other relevant ministerial </w:t>
      </w:r>
      <w:r w:rsidR="0030589D">
        <w:rPr>
          <w:rFonts w:asciiTheme="minorHAnsi" w:hAnsiTheme="minorHAnsi" w:cstheme="minorHAnsi"/>
          <w:sz w:val="24"/>
          <w:szCs w:val="24"/>
        </w:rPr>
        <w:t>b</w:t>
      </w:r>
      <w:r w:rsidR="00194F8F">
        <w:rPr>
          <w:rFonts w:asciiTheme="minorHAnsi" w:hAnsiTheme="minorHAnsi" w:cstheme="minorHAnsi"/>
          <w:sz w:val="24"/>
          <w:szCs w:val="24"/>
        </w:rPr>
        <w:t>odies</w:t>
      </w:r>
      <w:r w:rsidRPr="00F867CC">
        <w:rPr>
          <w:rFonts w:asciiTheme="minorHAnsi" w:hAnsiTheme="minorHAnsi" w:cstheme="minorHAnsi"/>
          <w:sz w:val="24"/>
          <w:szCs w:val="24"/>
        </w:rPr>
        <w:t>, supported by an independent evaluation by a body such as the Australian Government Productivity Commission</w:t>
      </w:r>
      <w:r w:rsidR="009C5556" w:rsidRPr="00F867CC">
        <w:rPr>
          <w:rFonts w:asciiTheme="minorHAnsi" w:hAnsiTheme="minorHAnsi" w:cstheme="minorHAnsi"/>
          <w:sz w:val="24"/>
          <w:szCs w:val="24"/>
        </w:rPr>
        <w:t>.</w:t>
      </w:r>
      <w:r w:rsidR="009C5556" w:rsidRPr="00F867CC" w:rsidDel="001924DF">
        <w:rPr>
          <w:rFonts w:asciiTheme="minorHAnsi" w:hAnsiTheme="minorHAnsi" w:cstheme="minorHAnsi"/>
          <w:sz w:val="24"/>
          <w:szCs w:val="24"/>
        </w:rPr>
        <w:t xml:space="preserve"> </w:t>
      </w:r>
    </w:p>
    <w:p w14:paraId="56258414" w14:textId="77777777" w:rsidR="00F867CC" w:rsidRPr="00F867CC" w:rsidRDefault="00F867CC" w:rsidP="00F867CC">
      <w:pPr>
        <w:pStyle w:val="ListParagraph"/>
        <w:tabs>
          <w:tab w:val="clear" w:pos="851"/>
        </w:tabs>
        <w:spacing w:after="200" w:line="276" w:lineRule="auto"/>
        <w:ind w:left="360" w:firstLine="0"/>
        <w:rPr>
          <w:rFonts w:asciiTheme="minorHAnsi" w:hAnsiTheme="minorHAnsi" w:cstheme="minorHAnsi"/>
          <w:sz w:val="24"/>
          <w:szCs w:val="24"/>
        </w:rPr>
      </w:pPr>
    </w:p>
    <w:p w14:paraId="56258415" w14:textId="77777777" w:rsidR="00CF73B6" w:rsidRPr="00CF73B6" w:rsidRDefault="00CF73B6" w:rsidP="00CF73B6">
      <w:pPr>
        <w:pStyle w:val="Heading1"/>
      </w:pPr>
      <w:r w:rsidRPr="00CF73B6">
        <w:t xml:space="preserve">Operation of the agreement </w:t>
      </w:r>
    </w:p>
    <w:p w14:paraId="56258416" w14:textId="77777777" w:rsidR="00F867CC" w:rsidRDefault="00F867CC" w:rsidP="00F867CC">
      <w:pPr>
        <w:pStyle w:val="ListParagraph"/>
        <w:ind w:left="360" w:firstLine="0"/>
        <w:rPr>
          <w:rFonts w:asciiTheme="minorHAnsi" w:hAnsiTheme="minorHAnsi" w:cstheme="minorHAnsi"/>
          <w:sz w:val="24"/>
        </w:rPr>
      </w:pPr>
    </w:p>
    <w:p w14:paraId="56258417" w14:textId="77777777" w:rsidR="00F867CC" w:rsidRPr="00F867CC" w:rsidRDefault="00F867CC" w:rsidP="00144DF5">
      <w:pPr>
        <w:pStyle w:val="ListParagraph"/>
        <w:numPr>
          <w:ilvl w:val="0"/>
          <w:numId w:val="1"/>
        </w:numPr>
        <w:spacing w:after="120"/>
        <w:ind w:left="357" w:hanging="357"/>
        <w:contextualSpacing w:val="0"/>
        <w:rPr>
          <w:rFonts w:asciiTheme="minorHAnsi" w:hAnsiTheme="minorHAnsi" w:cstheme="minorHAnsi"/>
          <w:sz w:val="24"/>
        </w:rPr>
      </w:pPr>
      <w:r w:rsidRPr="00F867CC">
        <w:rPr>
          <w:rFonts w:asciiTheme="minorHAnsi" w:hAnsiTheme="minorHAnsi" w:cstheme="minorHAnsi"/>
          <w:sz w:val="24"/>
        </w:rPr>
        <w:t>A Party may withdraw from this Agreement by sending written notice to all other Parties. The withdrawal will become effective six months after the notice was sent. A Party may revoke its withdrawal at any time prior to it becoming effective. If a Party withdraws from this Agreement, this Agreement will continue in force with respect to the remaining Parties.</w:t>
      </w:r>
    </w:p>
    <w:p w14:paraId="56258418" w14:textId="77777777" w:rsidR="009C5556" w:rsidRPr="009C5556" w:rsidRDefault="00F867CC" w:rsidP="00144DF5">
      <w:pPr>
        <w:pStyle w:val="ListParagraph"/>
        <w:numPr>
          <w:ilvl w:val="0"/>
          <w:numId w:val="1"/>
        </w:numPr>
        <w:tabs>
          <w:tab w:val="clear" w:pos="851"/>
        </w:tabs>
        <w:spacing w:after="120"/>
        <w:ind w:left="357" w:hanging="357"/>
        <w:contextualSpacing w:val="0"/>
        <w:rPr>
          <w:rFonts w:asciiTheme="minorHAnsi" w:hAnsiTheme="minorHAnsi" w:cstheme="minorHAnsi"/>
          <w:sz w:val="24"/>
        </w:rPr>
      </w:pPr>
      <w:r w:rsidRPr="00F867CC">
        <w:rPr>
          <w:rFonts w:asciiTheme="minorHAnsi" w:hAnsiTheme="minorHAnsi" w:cstheme="minorHAnsi"/>
          <w:sz w:val="24"/>
        </w:rPr>
        <w:t>This Agreement may be amended at any time by the unanimous decision of all Parties to it at that time. Any amendment will be made in writing and executed by all Parties and will include the date on which the amendment will come into force</w:t>
      </w:r>
      <w:r w:rsidR="009C5556" w:rsidRPr="009C5556">
        <w:rPr>
          <w:rFonts w:asciiTheme="minorHAnsi" w:hAnsiTheme="minorHAnsi" w:cstheme="minorHAnsi"/>
          <w:sz w:val="24"/>
        </w:rPr>
        <w:t>.</w:t>
      </w:r>
      <w:r w:rsidR="00194EA0">
        <w:rPr>
          <w:rFonts w:asciiTheme="minorHAnsi" w:hAnsiTheme="minorHAnsi" w:cstheme="minorHAnsi"/>
          <w:sz w:val="24"/>
        </w:rPr>
        <w:t xml:space="preserve"> The Agreement </w:t>
      </w:r>
      <w:r w:rsidR="00D02B4C">
        <w:rPr>
          <w:rFonts w:asciiTheme="minorHAnsi" w:hAnsiTheme="minorHAnsi" w:cstheme="minorHAnsi"/>
          <w:sz w:val="24"/>
        </w:rPr>
        <w:t xml:space="preserve">is subject to revision to reflect the </w:t>
      </w:r>
      <w:r w:rsidR="00194EA0">
        <w:rPr>
          <w:rFonts w:asciiTheme="minorHAnsi" w:hAnsiTheme="minorHAnsi" w:cstheme="minorHAnsi"/>
          <w:sz w:val="24"/>
        </w:rPr>
        <w:t>legislation</w:t>
      </w:r>
      <w:r w:rsidR="00D02B4C">
        <w:rPr>
          <w:rFonts w:asciiTheme="minorHAnsi" w:hAnsiTheme="minorHAnsi" w:cstheme="minorHAnsi"/>
          <w:sz w:val="24"/>
        </w:rPr>
        <w:t xml:space="preserve"> agreed by Parties</w:t>
      </w:r>
      <w:r w:rsidR="00194EA0">
        <w:rPr>
          <w:rFonts w:asciiTheme="minorHAnsi" w:hAnsiTheme="minorHAnsi" w:cstheme="minorHAnsi"/>
          <w:sz w:val="24"/>
        </w:rPr>
        <w:t xml:space="preserve">, following community </w:t>
      </w:r>
      <w:r w:rsidR="00D02B4C">
        <w:rPr>
          <w:rFonts w:asciiTheme="minorHAnsi" w:hAnsiTheme="minorHAnsi" w:cstheme="minorHAnsi"/>
          <w:sz w:val="24"/>
        </w:rPr>
        <w:t xml:space="preserve">and stakeholder </w:t>
      </w:r>
      <w:r w:rsidR="00194EA0">
        <w:rPr>
          <w:rFonts w:asciiTheme="minorHAnsi" w:hAnsiTheme="minorHAnsi" w:cstheme="minorHAnsi"/>
          <w:sz w:val="24"/>
        </w:rPr>
        <w:t xml:space="preserve">consultation. </w:t>
      </w:r>
    </w:p>
    <w:p w14:paraId="56258419" w14:textId="77777777" w:rsidR="009E4515" w:rsidRPr="009E4515" w:rsidRDefault="009E4515" w:rsidP="009E4515">
      <w:pPr>
        <w:spacing w:after="120"/>
        <w:rPr>
          <w:rFonts w:asciiTheme="minorHAnsi" w:hAnsiTheme="minorHAnsi" w:cstheme="minorHAnsi"/>
          <w:sz w:val="24"/>
          <w:szCs w:val="24"/>
        </w:rPr>
      </w:pPr>
    </w:p>
    <w:p w14:paraId="5625841A" w14:textId="77777777" w:rsidR="00287F20" w:rsidRDefault="00287F20">
      <w:pPr>
        <w:spacing w:after="160" w:line="259" w:lineRule="auto"/>
        <w:rPr>
          <w:rFonts w:asciiTheme="minorHAnsi" w:hAnsiTheme="minorHAnsi" w:cstheme="minorHAnsi"/>
        </w:rPr>
      </w:pPr>
      <w:r>
        <w:rPr>
          <w:rFonts w:asciiTheme="minorHAnsi" w:hAnsiTheme="minorHAnsi" w:cstheme="minorHAnsi"/>
        </w:rPr>
        <w:br w:type="page"/>
      </w:r>
    </w:p>
    <w:p w14:paraId="5625841B" w14:textId="77777777" w:rsidR="00287F20" w:rsidRPr="00287F20" w:rsidRDefault="00287F20" w:rsidP="00287F20">
      <w:pPr>
        <w:pStyle w:val="Heading1"/>
        <w:rPr>
          <w:sz w:val="22"/>
        </w:rPr>
      </w:pPr>
      <w:r w:rsidRPr="003E0C14">
        <w:lastRenderedPageBreak/>
        <w:t>Roadmap for delivery</w:t>
      </w:r>
      <w:r>
        <w:br/>
      </w:r>
    </w:p>
    <w:tbl>
      <w:tblPr>
        <w:tblStyle w:val="TableGrid"/>
        <w:tblW w:w="0" w:type="auto"/>
        <w:tblLook w:val="04A0" w:firstRow="1" w:lastRow="0" w:firstColumn="1" w:lastColumn="0" w:noHBand="0" w:noVBand="1"/>
        <w:tblCaption w:val="Roadmap for delivery"/>
        <w:tblDescription w:val="This is a table that lists the key dates and milestones for the IGA Roadmap for delivery.&#10;&#10;December 2020 - Public release of draft legislation to amend the Mutual Recognition Act 1992 (Cth).&#10;Consideration by jurisdictions of administrative measures  to support AMR, including fee waivers and streamlined, accelerated processes for interstate licence holders pending the passage of legislation and full implementation of the AMR scheme.&#10;January—June 2021 - Introduction of Commonwealth bill. &#10;Compliance and enforcement arrangements developed by regulators for initial implementation of AMR, including information for stakeholders on implications of the changes.&#10;Occupational exemptions from AMR settled by jurisdictions, following consultation, and declared by relevant state ministers, beginning with a six-month transition period.&#10;Passage of supporting legislation by jurisdictions.&#10;New governance and review arrangements in place.&#10;Further staged investments in information systems to support AMR.&#10;1 July 2021 - New scheme in place in all participating jurisdictions, with occupational registration exemptions from AMR. Six-month period for temporary exemptions begins.  &#10;September quarter 2021 - Council on Federal Financial Relations review of initial implementation and any impediments.&#10;2022 - Improved connectivity between regulators to support information sharing, including to monitor enforcement actions against registration holders in different jurisdictions.&#10;Ongoing review of exemptions, investment in systems, and more effective compliance strategies by jurisdictions to reduce unnecessary regulatory burden.&#10;2023 - Review of occupational registrations by jurisdictions and the Steering Group, including scope of AMR, arrangements for granting occupational registrations (and potential alternatives).  &#10;2025 - Review by the Council on Federal Financial Relations, including an independent assessment by the Productivity Commission of the implementation of AMR and mutual recognition generally, registrations in scope and exemptions.&#10;2026 - Initial exemptions sunset after five years, and subject to review with states publishing reasons if they are renewed.&#10;"/>
      </w:tblPr>
      <w:tblGrid>
        <w:gridCol w:w="2835"/>
        <w:gridCol w:w="6191"/>
      </w:tblGrid>
      <w:tr w:rsidR="00287F20" w14:paraId="5625841E" w14:textId="77777777" w:rsidTr="00F53C7A">
        <w:trPr>
          <w:cnfStyle w:val="100000000000" w:firstRow="1" w:lastRow="0" w:firstColumn="0" w:lastColumn="0" w:oddVBand="0" w:evenVBand="0" w:oddHBand="0" w:evenHBand="0" w:firstRowFirstColumn="0" w:firstRowLastColumn="0" w:lastRowFirstColumn="0" w:lastRowLastColumn="0"/>
          <w:tblHeader/>
        </w:trPr>
        <w:tc>
          <w:tcPr>
            <w:tcW w:w="2835" w:type="dxa"/>
          </w:tcPr>
          <w:p w14:paraId="5625841C" w14:textId="77777777" w:rsidR="00287F20" w:rsidRPr="00F867CC" w:rsidRDefault="00287F20" w:rsidP="00726A94">
            <w:pPr>
              <w:spacing w:before="120" w:after="120"/>
              <w:jc w:val="both"/>
              <w:rPr>
                <w:rFonts w:asciiTheme="minorHAnsi" w:hAnsiTheme="minorHAnsi" w:cstheme="minorHAnsi"/>
                <w:b/>
                <w:szCs w:val="20"/>
              </w:rPr>
            </w:pPr>
            <w:r w:rsidRPr="00F867CC">
              <w:rPr>
                <w:rFonts w:asciiTheme="minorHAnsi" w:hAnsiTheme="minorHAnsi" w:cstheme="minorHAnsi"/>
                <w:b/>
                <w:szCs w:val="20"/>
              </w:rPr>
              <w:t>Key dates</w:t>
            </w:r>
          </w:p>
        </w:tc>
        <w:tc>
          <w:tcPr>
            <w:tcW w:w="6191" w:type="dxa"/>
          </w:tcPr>
          <w:p w14:paraId="5625841D" w14:textId="77777777" w:rsidR="00287F20" w:rsidRPr="00F867CC" w:rsidRDefault="00287F20" w:rsidP="00726A94">
            <w:pPr>
              <w:spacing w:before="120" w:after="120"/>
              <w:jc w:val="both"/>
              <w:rPr>
                <w:rFonts w:asciiTheme="minorHAnsi" w:hAnsiTheme="minorHAnsi" w:cstheme="minorHAnsi"/>
                <w:b/>
                <w:szCs w:val="20"/>
              </w:rPr>
            </w:pPr>
            <w:r w:rsidRPr="00F867CC">
              <w:rPr>
                <w:rFonts w:asciiTheme="minorHAnsi" w:hAnsiTheme="minorHAnsi" w:cstheme="minorHAnsi"/>
                <w:b/>
                <w:szCs w:val="20"/>
              </w:rPr>
              <w:t>Milestone</w:t>
            </w:r>
          </w:p>
        </w:tc>
      </w:tr>
      <w:tr w:rsidR="00287F20" w14:paraId="56258422" w14:textId="77777777" w:rsidTr="00726A94">
        <w:tc>
          <w:tcPr>
            <w:tcW w:w="2835" w:type="dxa"/>
          </w:tcPr>
          <w:p w14:paraId="7DAAD7D0" w14:textId="77777777" w:rsidR="00287F20" w:rsidRDefault="00287F20" w:rsidP="00726A94">
            <w:pPr>
              <w:spacing w:before="120" w:after="120"/>
              <w:jc w:val="both"/>
              <w:rPr>
                <w:rFonts w:asciiTheme="minorHAnsi" w:hAnsiTheme="minorHAnsi" w:cstheme="minorHAnsi"/>
                <w:szCs w:val="20"/>
              </w:rPr>
            </w:pPr>
            <w:r w:rsidRPr="00F867CC">
              <w:rPr>
                <w:rFonts w:asciiTheme="minorHAnsi" w:hAnsiTheme="minorHAnsi" w:cstheme="minorHAnsi"/>
                <w:szCs w:val="20"/>
              </w:rPr>
              <w:t>December 2020</w:t>
            </w:r>
          </w:p>
          <w:p w14:paraId="5625841F" w14:textId="2F2A1D17" w:rsidR="00F53C7A" w:rsidRPr="00F867CC" w:rsidRDefault="00F53C7A" w:rsidP="00726A94">
            <w:pPr>
              <w:spacing w:before="120" w:after="120"/>
              <w:jc w:val="both"/>
              <w:rPr>
                <w:rFonts w:asciiTheme="minorHAnsi" w:hAnsiTheme="minorHAnsi" w:cstheme="minorHAnsi"/>
                <w:szCs w:val="20"/>
              </w:rPr>
            </w:pPr>
          </w:p>
        </w:tc>
        <w:tc>
          <w:tcPr>
            <w:tcW w:w="6191" w:type="dxa"/>
          </w:tcPr>
          <w:p w14:paraId="56258420" w14:textId="77777777" w:rsidR="00287F20" w:rsidRPr="00F867CC" w:rsidRDefault="0030589D" w:rsidP="00726A94">
            <w:pPr>
              <w:spacing w:before="120" w:after="120"/>
              <w:jc w:val="both"/>
              <w:rPr>
                <w:rFonts w:asciiTheme="minorHAnsi" w:hAnsiTheme="minorHAnsi" w:cstheme="minorHAnsi"/>
                <w:szCs w:val="20"/>
              </w:rPr>
            </w:pPr>
            <w:r w:rsidRPr="004E4ED5">
              <w:rPr>
                <w:rFonts w:asciiTheme="minorHAnsi" w:hAnsiTheme="minorHAnsi" w:cstheme="minorHAnsi"/>
                <w:szCs w:val="20"/>
              </w:rPr>
              <w:t xml:space="preserve">Public </w:t>
            </w:r>
            <w:r w:rsidR="00194F8F" w:rsidRPr="004E4ED5">
              <w:rPr>
                <w:rFonts w:asciiTheme="minorHAnsi" w:hAnsiTheme="minorHAnsi" w:cstheme="minorHAnsi"/>
                <w:szCs w:val="20"/>
              </w:rPr>
              <w:t xml:space="preserve">release of draft legislation to amend the </w:t>
            </w:r>
            <w:r w:rsidR="00194F8F" w:rsidRPr="004E4ED5">
              <w:rPr>
                <w:rFonts w:asciiTheme="minorHAnsi" w:hAnsiTheme="minorHAnsi" w:cstheme="minorHAnsi"/>
                <w:i/>
                <w:szCs w:val="20"/>
              </w:rPr>
              <w:t>Mutual Recognition Act 1992</w:t>
            </w:r>
            <w:r w:rsidR="00194F8F" w:rsidRPr="004E4ED5">
              <w:rPr>
                <w:rFonts w:asciiTheme="minorHAnsi" w:hAnsiTheme="minorHAnsi" w:cstheme="minorHAnsi"/>
                <w:szCs w:val="20"/>
              </w:rPr>
              <w:t xml:space="preserve"> (Cth)</w:t>
            </w:r>
            <w:r w:rsidR="00194F8F" w:rsidRPr="004E4ED5" w:rsidDel="00194F8F">
              <w:rPr>
                <w:rFonts w:asciiTheme="minorHAnsi" w:hAnsiTheme="minorHAnsi" w:cstheme="minorHAnsi"/>
                <w:szCs w:val="20"/>
              </w:rPr>
              <w:t xml:space="preserve"> </w:t>
            </w:r>
          </w:p>
          <w:p w14:paraId="56258421" w14:textId="77777777" w:rsidR="00287F20" w:rsidRPr="00F867CC" w:rsidRDefault="00194F8F" w:rsidP="00FE0CBA">
            <w:pPr>
              <w:spacing w:before="120" w:after="120"/>
              <w:jc w:val="both"/>
              <w:rPr>
                <w:rFonts w:asciiTheme="minorHAnsi" w:hAnsiTheme="minorHAnsi" w:cstheme="minorHAnsi"/>
                <w:szCs w:val="20"/>
              </w:rPr>
            </w:pPr>
            <w:r>
              <w:rPr>
                <w:rFonts w:asciiTheme="minorHAnsi" w:hAnsiTheme="minorHAnsi" w:cstheme="minorHAnsi"/>
                <w:szCs w:val="20"/>
              </w:rPr>
              <w:t>Consideration</w:t>
            </w:r>
            <w:r w:rsidR="00FE0CBA">
              <w:rPr>
                <w:rFonts w:asciiTheme="minorHAnsi" w:hAnsiTheme="minorHAnsi" w:cstheme="minorHAnsi"/>
                <w:szCs w:val="20"/>
              </w:rPr>
              <w:t xml:space="preserve"> by jurisdictions</w:t>
            </w:r>
            <w:r>
              <w:rPr>
                <w:rFonts w:asciiTheme="minorHAnsi" w:hAnsiTheme="minorHAnsi" w:cstheme="minorHAnsi"/>
                <w:szCs w:val="20"/>
              </w:rPr>
              <w:t xml:space="preserve"> of a</w:t>
            </w:r>
            <w:r w:rsidR="00287F20" w:rsidRPr="00F867CC">
              <w:rPr>
                <w:rFonts w:asciiTheme="minorHAnsi" w:hAnsiTheme="minorHAnsi" w:cstheme="minorHAnsi"/>
                <w:szCs w:val="20"/>
              </w:rPr>
              <w:t>dministrative measures  to support AMR, including fee waivers and streamlined, accelerated processes for interstate licence holders pending the passage of legislation</w:t>
            </w:r>
            <w:r w:rsidR="004E4ED5">
              <w:rPr>
                <w:rFonts w:asciiTheme="minorHAnsi" w:hAnsiTheme="minorHAnsi" w:cstheme="minorHAnsi"/>
                <w:szCs w:val="20"/>
              </w:rPr>
              <w:t xml:space="preserve"> and full implementation of the AMR scheme</w:t>
            </w:r>
          </w:p>
        </w:tc>
      </w:tr>
      <w:tr w:rsidR="00287F20" w14:paraId="5625842A" w14:textId="77777777" w:rsidTr="00726A94">
        <w:tc>
          <w:tcPr>
            <w:tcW w:w="2835" w:type="dxa"/>
          </w:tcPr>
          <w:p w14:paraId="56258423" w14:textId="77777777" w:rsidR="00287F20" w:rsidRPr="00F867CC" w:rsidRDefault="00287F20" w:rsidP="00726A94">
            <w:pPr>
              <w:spacing w:before="120" w:after="120"/>
              <w:jc w:val="both"/>
              <w:rPr>
                <w:rFonts w:asciiTheme="minorHAnsi" w:hAnsiTheme="minorHAnsi" w:cstheme="minorHAnsi"/>
                <w:szCs w:val="20"/>
              </w:rPr>
            </w:pPr>
            <w:r w:rsidRPr="00F867CC">
              <w:rPr>
                <w:rFonts w:asciiTheme="minorHAnsi" w:hAnsiTheme="minorHAnsi" w:cstheme="minorHAnsi"/>
                <w:szCs w:val="20"/>
              </w:rPr>
              <w:t xml:space="preserve">January—June 2021 </w:t>
            </w:r>
          </w:p>
        </w:tc>
        <w:tc>
          <w:tcPr>
            <w:tcW w:w="6191" w:type="dxa"/>
          </w:tcPr>
          <w:p w14:paraId="56258424" w14:textId="77777777" w:rsidR="004E4ED5" w:rsidRDefault="004E4ED5" w:rsidP="00726A94">
            <w:pPr>
              <w:spacing w:before="120" w:after="120"/>
              <w:jc w:val="both"/>
              <w:rPr>
                <w:rFonts w:asciiTheme="minorHAnsi" w:hAnsiTheme="minorHAnsi" w:cstheme="minorHAnsi"/>
                <w:szCs w:val="20"/>
              </w:rPr>
            </w:pPr>
            <w:r>
              <w:rPr>
                <w:rFonts w:asciiTheme="minorHAnsi" w:hAnsiTheme="minorHAnsi" w:cstheme="minorHAnsi"/>
                <w:szCs w:val="20"/>
              </w:rPr>
              <w:t xml:space="preserve">Introduction of Commonwealth bill </w:t>
            </w:r>
          </w:p>
          <w:p w14:paraId="56258425" w14:textId="77777777" w:rsidR="00287F20" w:rsidRPr="00F867CC" w:rsidRDefault="00287F20" w:rsidP="00726A94">
            <w:pPr>
              <w:spacing w:before="120" w:after="120"/>
              <w:jc w:val="both"/>
              <w:rPr>
                <w:rFonts w:asciiTheme="minorHAnsi" w:hAnsiTheme="minorHAnsi" w:cstheme="minorHAnsi"/>
                <w:szCs w:val="20"/>
              </w:rPr>
            </w:pPr>
            <w:r w:rsidRPr="00F867CC">
              <w:rPr>
                <w:rFonts w:asciiTheme="minorHAnsi" w:hAnsiTheme="minorHAnsi" w:cstheme="minorHAnsi"/>
                <w:szCs w:val="20"/>
              </w:rPr>
              <w:t>Compliance and enforcement arrangements developed by regulators for initial implementation of AMR, including information for stakeholders on implications of the changes</w:t>
            </w:r>
          </w:p>
          <w:p w14:paraId="56258426" w14:textId="77777777" w:rsidR="00287F20" w:rsidRPr="00F867CC" w:rsidRDefault="00287F20" w:rsidP="00726A94">
            <w:pPr>
              <w:spacing w:before="120" w:after="120"/>
              <w:jc w:val="both"/>
              <w:rPr>
                <w:rFonts w:asciiTheme="minorHAnsi" w:hAnsiTheme="minorHAnsi" w:cstheme="minorHAnsi"/>
                <w:szCs w:val="20"/>
              </w:rPr>
            </w:pPr>
            <w:r w:rsidRPr="00F867CC">
              <w:rPr>
                <w:rFonts w:asciiTheme="minorHAnsi" w:hAnsiTheme="minorHAnsi" w:cstheme="minorHAnsi"/>
                <w:szCs w:val="20"/>
              </w:rPr>
              <w:t>Occupational exemptions from AMR settled by jurisdictions, following consultation, and declared by relevant state ministers</w:t>
            </w:r>
            <w:r w:rsidR="004E4ED5">
              <w:rPr>
                <w:rFonts w:asciiTheme="minorHAnsi" w:hAnsiTheme="minorHAnsi" w:cstheme="minorHAnsi"/>
                <w:szCs w:val="20"/>
              </w:rPr>
              <w:t>, beginning with a six-month transition period</w:t>
            </w:r>
          </w:p>
          <w:p w14:paraId="56258427" w14:textId="77777777" w:rsidR="00287F20" w:rsidRPr="00F867CC" w:rsidRDefault="00287F20" w:rsidP="00726A94">
            <w:pPr>
              <w:rPr>
                <w:rFonts w:asciiTheme="minorHAnsi" w:hAnsiTheme="minorHAnsi" w:cstheme="minorHAnsi"/>
                <w:szCs w:val="20"/>
              </w:rPr>
            </w:pPr>
            <w:r w:rsidRPr="00F867CC">
              <w:rPr>
                <w:rFonts w:asciiTheme="minorHAnsi" w:hAnsiTheme="minorHAnsi" w:cstheme="minorHAnsi"/>
                <w:szCs w:val="20"/>
              </w:rPr>
              <w:t>Passage of supporting legislation by jurisdictions</w:t>
            </w:r>
          </w:p>
          <w:p w14:paraId="56258428" w14:textId="77777777" w:rsidR="00287F20" w:rsidRPr="00F867CC" w:rsidRDefault="00287F20" w:rsidP="00726A94">
            <w:pPr>
              <w:spacing w:before="120" w:after="120"/>
              <w:jc w:val="both"/>
              <w:rPr>
                <w:rFonts w:asciiTheme="minorHAnsi" w:hAnsiTheme="minorHAnsi" w:cstheme="minorHAnsi"/>
                <w:szCs w:val="20"/>
              </w:rPr>
            </w:pPr>
            <w:r w:rsidRPr="00F867CC">
              <w:rPr>
                <w:rFonts w:asciiTheme="minorHAnsi" w:hAnsiTheme="minorHAnsi" w:cstheme="minorHAnsi"/>
                <w:szCs w:val="20"/>
              </w:rPr>
              <w:t>New governance and review arrangements in place</w:t>
            </w:r>
          </w:p>
          <w:p w14:paraId="56258429" w14:textId="77777777" w:rsidR="00287F20" w:rsidRPr="00F867CC" w:rsidRDefault="00287F20" w:rsidP="00726A94">
            <w:pPr>
              <w:spacing w:before="120" w:after="120"/>
              <w:jc w:val="both"/>
              <w:rPr>
                <w:rFonts w:asciiTheme="minorHAnsi" w:hAnsiTheme="minorHAnsi" w:cstheme="minorHAnsi"/>
                <w:szCs w:val="20"/>
              </w:rPr>
            </w:pPr>
            <w:r w:rsidRPr="00F867CC">
              <w:rPr>
                <w:rFonts w:asciiTheme="minorHAnsi" w:hAnsiTheme="minorHAnsi" w:cstheme="minorHAnsi"/>
                <w:szCs w:val="20"/>
              </w:rPr>
              <w:t xml:space="preserve">Further staged investments in information systems to support AMR </w:t>
            </w:r>
          </w:p>
        </w:tc>
      </w:tr>
      <w:tr w:rsidR="00287F20" w14:paraId="5625842D" w14:textId="77777777" w:rsidTr="00726A94">
        <w:tc>
          <w:tcPr>
            <w:tcW w:w="2835" w:type="dxa"/>
          </w:tcPr>
          <w:p w14:paraId="5625842B" w14:textId="77777777" w:rsidR="00287F20" w:rsidRPr="00F867CC" w:rsidRDefault="00287F20" w:rsidP="00726A94">
            <w:pPr>
              <w:spacing w:before="120" w:after="120"/>
              <w:jc w:val="both"/>
              <w:rPr>
                <w:rFonts w:asciiTheme="minorHAnsi" w:hAnsiTheme="minorHAnsi" w:cstheme="minorHAnsi"/>
                <w:szCs w:val="20"/>
              </w:rPr>
            </w:pPr>
            <w:r w:rsidRPr="00F867CC">
              <w:rPr>
                <w:rFonts w:asciiTheme="minorHAnsi" w:hAnsiTheme="minorHAnsi" w:cstheme="minorHAnsi"/>
                <w:szCs w:val="20"/>
              </w:rPr>
              <w:t>1 July 2021</w:t>
            </w:r>
          </w:p>
        </w:tc>
        <w:tc>
          <w:tcPr>
            <w:tcW w:w="6191" w:type="dxa"/>
          </w:tcPr>
          <w:p w14:paraId="5625842C" w14:textId="77777777" w:rsidR="00287F20" w:rsidRPr="00F867CC" w:rsidRDefault="00287F20" w:rsidP="00FE0CBA">
            <w:pPr>
              <w:rPr>
                <w:rFonts w:asciiTheme="minorHAnsi" w:hAnsiTheme="minorHAnsi" w:cstheme="minorHAnsi"/>
                <w:szCs w:val="20"/>
              </w:rPr>
            </w:pPr>
            <w:r w:rsidRPr="00F867CC">
              <w:rPr>
                <w:rFonts w:asciiTheme="minorHAnsi" w:hAnsiTheme="minorHAnsi" w:cstheme="minorHAnsi"/>
                <w:szCs w:val="20"/>
              </w:rPr>
              <w:t>New scheme in place in all participating jurisdictions, with occupational registration exemptions from AMR</w:t>
            </w:r>
            <w:r w:rsidR="004E4ED5">
              <w:rPr>
                <w:rFonts w:asciiTheme="minorHAnsi" w:hAnsiTheme="minorHAnsi" w:cstheme="minorHAnsi"/>
                <w:szCs w:val="20"/>
              </w:rPr>
              <w:t>. Six-month period</w:t>
            </w:r>
            <w:r w:rsidR="00FE0CBA">
              <w:rPr>
                <w:rFonts w:asciiTheme="minorHAnsi" w:hAnsiTheme="minorHAnsi" w:cstheme="minorHAnsi"/>
                <w:szCs w:val="20"/>
              </w:rPr>
              <w:t xml:space="preserve"> for temporary exemptions </w:t>
            </w:r>
            <w:r w:rsidR="004E4ED5">
              <w:rPr>
                <w:rFonts w:asciiTheme="minorHAnsi" w:hAnsiTheme="minorHAnsi" w:cstheme="minorHAnsi"/>
                <w:szCs w:val="20"/>
              </w:rPr>
              <w:t xml:space="preserve">begins. </w:t>
            </w:r>
            <w:r w:rsidRPr="00F867CC">
              <w:rPr>
                <w:rFonts w:asciiTheme="minorHAnsi" w:hAnsiTheme="minorHAnsi" w:cstheme="minorHAnsi"/>
                <w:szCs w:val="20"/>
              </w:rPr>
              <w:t xml:space="preserve"> </w:t>
            </w:r>
          </w:p>
        </w:tc>
      </w:tr>
      <w:tr w:rsidR="00287F20" w14:paraId="56258430" w14:textId="77777777" w:rsidTr="00726A94">
        <w:tc>
          <w:tcPr>
            <w:tcW w:w="2835" w:type="dxa"/>
          </w:tcPr>
          <w:p w14:paraId="5625842E" w14:textId="77777777" w:rsidR="00287F20" w:rsidRPr="00F867CC" w:rsidRDefault="00287F20" w:rsidP="00726A94">
            <w:pPr>
              <w:spacing w:before="120" w:after="120"/>
              <w:jc w:val="both"/>
              <w:rPr>
                <w:rFonts w:asciiTheme="minorHAnsi" w:hAnsiTheme="minorHAnsi" w:cstheme="minorHAnsi"/>
                <w:szCs w:val="20"/>
              </w:rPr>
            </w:pPr>
            <w:r w:rsidRPr="00F867CC">
              <w:rPr>
                <w:rFonts w:asciiTheme="minorHAnsi" w:hAnsiTheme="minorHAnsi" w:cstheme="minorHAnsi"/>
                <w:szCs w:val="20"/>
              </w:rPr>
              <w:t>September quarter 2021</w:t>
            </w:r>
          </w:p>
        </w:tc>
        <w:tc>
          <w:tcPr>
            <w:tcW w:w="6191" w:type="dxa"/>
          </w:tcPr>
          <w:p w14:paraId="5625842F" w14:textId="77777777" w:rsidR="00287F20" w:rsidRPr="00F867CC" w:rsidRDefault="00287F20" w:rsidP="00726A94">
            <w:pPr>
              <w:spacing w:after="160" w:line="259" w:lineRule="auto"/>
              <w:rPr>
                <w:rFonts w:asciiTheme="minorHAnsi" w:hAnsiTheme="minorHAnsi" w:cstheme="minorHAnsi"/>
                <w:szCs w:val="20"/>
              </w:rPr>
            </w:pPr>
            <w:r w:rsidRPr="00F867CC">
              <w:rPr>
                <w:rFonts w:asciiTheme="minorHAnsi" w:hAnsiTheme="minorHAnsi" w:cstheme="minorHAnsi"/>
                <w:szCs w:val="20"/>
              </w:rPr>
              <w:t>Council on Federal Financial Relations review of initial implementation and any impediments</w:t>
            </w:r>
          </w:p>
        </w:tc>
      </w:tr>
      <w:tr w:rsidR="00287F20" w14:paraId="56258434" w14:textId="77777777" w:rsidTr="00726A94">
        <w:tc>
          <w:tcPr>
            <w:tcW w:w="2835" w:type="dxa"/>
          </w:tcPr>
          <w:p w14:paraId="56258431" w14:textId="77777777" w:rsidR="00287F20" w:rsidRPr="00F867CC" w:rsidRDefault="00287F20" w:rsidP="00726A94">
            <w:pPr>
              <w:spacing w:before="120" w:after="120"/>
              <w:jc w:val="both"/>
              <w:rPr>
                <w:rFonts w:asciiTheme="minorHAnsi" w:hAnsiTheme="minorHAnsi" w:cstheme="minorHAnsi"/>
                <w:szCs w:val="20"/>
              </w:rPr>
            </w:pPr>
            <w:r w:rsidRPr="00F867CC">
              <w:rPr>
                <w:rFonts w:asciiTheme="minorHAnsi" w:hAnsiTheme="minorHAnsi" w:cstheme="minorHAnsi"/>
                <w:szCs w:val="20"/>
              </w:rPr>
              <w:t>2022</w:t>
            </w:r>
          </w:p>
        </w:tc>
        <w:tc>
          <w:tcPr>
            <w:tcW w:w="6191" w:type="dxa"/>
          </w:tcPr>
          <w:p w14:paraId="56258432" w14:textId="77777777" w:rsidR="00287F20" w:rsidRPr="00F867CC" w:rsidRDefault="00287F20" w:rsidP="00726A94">
            <w:pPr>
              <w:spacing w:after="160" w:line="259" w:lineRule="auto"/>
              <w:rPr>
                <w:rFonts w:asciiTheme="minorHAnsi" w:hAnsiTheme="minorHAnsi" w:cstheme="minorHAnsi"/>
                <w:i/>
                <w:szCs w:val="20"/>
              </w:rPr>
            </w:pPr>
            <w:r w:rsidRPr="00F867CC">
              <w:rPr>
                <w:rFonts w:asciiTheme="minorHAnsi" w:hAnsiTheme="minorHAnsi" w:cstheme="minorHAnsi"/>
                <w:szCs w:val="20"/>
              </w:rPr>
              <w:t>Improved connectivity between regulators to support information sharing, including to monitor enforcement actions against registration holders in different jurisdictions</w:t>
            </w:r>
          </w:p>
          <w:p w14:paraId="56258433" w14:textId="77777777" w:rsidR="00287F20" w:rsidRPr="00F867CC" w:rsidRDefault="00287F20" w:rsidP="00726A94">
            <w:pPr>
              <w:spacing w:after="160" w:line="259" w:lineRule="auto"/>
              <w:rPr>
                <w:rFonts w:asciiTheme="minorHAnsi" w:hAnsiTheme="minorHAnsi" w:cstheme="minorHAnsi"/>
                <w:szCs w:val="20"/>
              </w:rPr>
            </w:pPr>
            <w:r w:rsidRPr="00F867CC">
              <w:rPr>
                <w:rFonts w:asciiTheme="minorHAnsi" w:hAnsiTheme="minorHAnsi" w:cstheme="minorHAnsi"/>
                <w:szCs w:val="20"/>
              </w:rPr>
              <w:t xml:space="preserve">Ongoing review of exemptions, investment in systems, and more effective compliance strategies by jurisdictions to reduce unnecessary regulatory burden </w:t>
            </w:r>
          </w:p>
        </w:tc>
      </w:tr>
      <w:tr w:rsidR="00287F20" w14:paraId="56258437" w14:textId="77777777" w:rsidTr="00726A94">
        <w:tc>
          <w:tcPr>
            <w:tcW w:w="2835" w:type="dxa"/>
          </w:tcPr>
          <w:p w14:paraId="56258435" w14:textId="77777777" w:rsidR="00287F20" w:rsidRPr="00F867CC" w:rsidRDefault="00287F20" w:rsidP="00726A94">
            <w:pPr>
              <w:spacing w:before="120" w:after="120"/>
              <w:jc w:val="both"/>
              <w:rPr>
                <w:rFonts w:asciiTheme="minorHAnsi" w:hAnsiTheme="minorHAnsi" w:cstheme="minorHAnsi"/>
                <w:szCs w:val="20"/>
              </w:rPr>
            </w:pPr>
            <w:r w:rsidRPr="00F867CC">
              <w:rPr>
                <w:rFonts w:asciiTheme="minorHAnsi" w:hAnsiTheme="minorHAnsi" w:cstheme="minorHAnsi"/>
                <w:szCs w:val="20"/>
              </w:rPr>
              <w:t>2023</w:t>
            </w:r>
          </w:p>
        </w:tc>
        <w:tc>
          <w:tcPr>
            <w:tcW w:w="6191" w:type="dxa"/>
          </w:tcPr>
          <w:p w14:paraId="56258436" w14:textId="77777777" w:rsidR="00287F20" w:rsidRPr="00F867CC" w:rsidRDefault="00287F20" w:rsidP="00290F48">
            <w:pPr>
              <w:rPr>
                <w:rFonts w:asciiTheme="minorHAnsi" w:hAnsiTheme="minorHAnsi" w:cstheme="minorHAnsi"/>
                <w:szCs w:val="20"/>
              </w:rPr>
            </w:pPr>
            <w:r w:rsidRPr="00F867CC">
              <w:rPr>
                <w:rFonts w:asciiTheme="minorHAnsi" w:hAnsiTheme="minorHAnsi" w:cstheme="minorHAnsi"/>
                <w:szCs w:val="20"/>
              </w:rPr>
              <w:t xml:space="preserve">Review of occupational registrations by jurisdictions and the Steering Group, including scope of AMR, arrangements for granting occupational registrations (and potential alternatives)  </w:t>
            </w:r>
          </w:p>
        </w:tc>
      </w:tr>
      <w:tr w:rsidR="00287F20" w14:paraId="5625843A" w14:textId="77777777" w:rsidTr="00726A94">
        <w:tc>
          <w:tcPr>
            <w:tcW w:w="2835" w:type="dxa"/>
          </w:tcPr>
          <w:p w14:paraId="56258438" w14:textId="77777777" w:rsidR="00287F20" w:rsidRPr="00F867CC" w:rsidRDefault="00287F20" w:rsidP="00726A94">
            <w:pPr>
              <w:spacing w:before="120" w:after="120"/>
              <w:jc w:val="both"/>
              <w:rPr>
                <w:rFonts w:asciiTheme="minorHAnsi" w:hAnsiTheme="minorHAnsi" w:cstheme="minorHAnsi"/>
                <w:szCs w:val="20"/>
              </w:rPr>
            </w:pPr>
            <w:r w:rsidRPr="00F867CC">
              <w:rPr>
                <w:rFonts w:asciiTheme="minorHAnsi" w:hAnsiTheme="minorHAnsi" w:cstheme="minorHAnsi"/>
                <w:szCs w:val="20"/>
              </w:rPr>
              <w:t xml:space="preserve">2025 </w:t>
            </w:r>
          </w:p>
        </w:tc>
        <w:tc>
          <w:tcPr>
            <w:tcW w:w="6191" w:type="dxa"/>
          </w:tcPr>
          <w:p w14:paraId="56258439" w14:textId="77777777" w:rsidR="00287F20" w:rsidRPr="00F867CC" w:rsidRDefault="00287F20" w:rsidP="00726A94">
            <w:pPr>
              <w:spacing w:after="160" w:line="259" w:lineRule="auto"/>
              <w:rPr>
                <w:rFonts w:asciiTheme="minorHAnsi" w:hAnsiTheme="minorHAnsi" w:cstheme="minorHAnsi"/>
                <w:i/>
                <w:szCs w:val="20"/>
              </w:rPr>
            </w:pPr>
            <w:r w:rsidRPr="00F867CC">
              <w:rPr>
                <w:rFonts w:asciiTheme="minorHAnsi" w:hAnsiTheme="minorHAnsi" w:cstheme="minorHAnsi"/>
                <w:szCs w:val="20"/>
              </w:rPr>
              <w:t>Review by the Council on Federal Financial Relations, including an independent assessment by the Productivity Commission of the implementation of AMR and mutual recognition generally, registrations in scope and exemptions</w:t>
            </w:r>
          </w:p>
        </w:tc>
      </w:tr>
      <w:tr w:rsidR="00287F20" w14:paraId="5625843D" w14:textId="77777777" w:rsidTr="00726A94">
        <w:tc>
          <w:tcPr>
            <w:tcW w:w="2835" w:type="dxa"/>
          </w:tcPr>
          <w:p w14:paraId="5625843B" w14:textId="77777777" w:rsidR="00287F20" w:rsidRPr="00F867CC" w:rsidRDefault="00287F20" w:rsidP="00726A94">
            <w:pPr>
              <w:spacing w:before="120" w:after="120"/>
              <w:jc w:val="both"/>
              <w:rPr>
                <w:rFonts w:asciiTheme="minorHAnsi" w:hAnsiTheme="minorHAnsi" w:cstheme="minorHAnsi"/>
                <w:szCs w:val="20"/>
              </w:rPr>
            </w:pPr>
            <w:r w:rsidRPr="00F867CC">
              <w:rPr>
                <w:rFonts w:asciiTheme="minorHAnsi" w:hAnsiTheme="minorHAnsi" w:cstheme="minorHAnsi"/>
                <w:szCs w:val="20"/>
              </w:rPr>
              <w:t>2026</w:t>
            </w:r>
          </w:p>
        </w:tc>
        <w:tc>
          <w:tcPr>
            <w:tcW w:w="6191" w:type="dxa"/>
          </w:tcPr>
          <w:p w14:paraId="5625843C" w14:textId="77777777" w:rsidR="00287F20" w:rsidRPr="00F867CC" w:rsidRDefault="00287F20" w:rsidP="00726A94">
            <w:pPr>
              <w:spacing w:after="160" w:line="259" w:lineRule="auto"/>
              <w:rPr>
                <w:rFonts w:asciiTheme="minorHAnsi" w:hAnsiTheme="minorHAnsi" w:cstheme="minorHAnsi"/>
                <w:szCs w:val="20"/>
              </w:rPr>
            </w:pPr>
            <w:r w:rsidRPr="00F867CC">
              <w:rPr>
                <w:rFonts w:asciiTheme="minorHAnsi" w:hAnsiTheme="minorHAnsi" w:cstheme="minorHAnsi"/>
                <w:szCs w:val="20"/>
              </w:rPr>
              <w:t>Initial exemptions sunset after five years, and subject to review with states publishing reasons if they are renewed</w:t>
            </w:r>
          </w:p>
        </w:tc>
      </w:tr>
    </w:tbl>
    <w:p w14:paraId="5625843E" w14:textId="77777777" w:rsidR="00432464" w:rsidRDefault="00432464" w:rsidP="00432464">
      <w:pPr>
        <w:pStyle w:val="Heading1"/>
      </w:pPr>
      <w:r>
        <w:rPr>
          <w:rStyle w:val="Heading1Char"/>
        </w:rPr>
        <w:lastRenderedPageBreak/>
        <w:t>Signatures</w:t>
      </w:r>
      <w:r>
        <w:rPr>
          <w:rStyle w:val="Heading1Char"/>
        </w:rPr>
        <w:br/>
      </w:r>
      <w:r w:rsidRPr="00432464">
        <w:rPr>
          <w:rFonts w:asciiTheme="minorHAnsi" w:hAnsiTheme="minorHAnsi" w:cstheme="minorHAnsi"/>
          <w:color w:val="auto"/>
          <w:sz w:val="22"/>
        </w:rPr>
        <w:t>The Parties have confirmed their commitment to this Agreement as follows:</w:t>
      </w:r>
    </w:p>
    <w:p w14:paraId="5625843F" w14:textId="77777777" w:rsidR="00432464" w:rsidRDefault="00432464" w:rsidP="00432464">
      <w:pPr>
        <w:pStyle w:val="Normalnumbered"/>
        <w:numPr>
          <w:ilvl w:val="0"/>
          <w:numId w:val="0"/>
        </w:numPr>
        <w:spacing w:after="0" w:line="240" w:lineRule="auto"/>
        <w:ind w:left="851"/>
      </w:pPr>
    </w:p>
    <w:tbl>
      <w:tblPr>
        <w:tblW w:w="9072" w:type="dxa"/>
        <w:jc w:val="center"/>
        <w:tblLayout w:type="fixed"/>
        <w:tblLook w:val="01E0" w:firstRow="1" w:lastRow="1" w:firstColumn="1" w:lastColumn="1" w:noHBand="0" w:noVBand="0"/>
      </w:tblPr>
      <w:tblGrid>
        <w:gridCol w:w="4253"/>
        <w:gridCol w:w="520"/>
        <w:gridCol w:w="4299"/>
      </w:tblGrid>
      <w:tr w:rsidR="00432464" w:rsidRPr="00FC5F92" w14:paraId="56258447" w14:textId="77777777" w:rsidTr="00290F48">
        <w:trPr>
          <w:cantSplit/>
          <w:trHeight w:val="2343"/>
          <w:jc w:val="center"/>
        </w:trPr>
        <w:tc>
          <w:tcPr>
            <w:tcW w:w="4253" w:type="dxa"/>
          </w:tcPr>
          <w:p w14:paraId="56258440" w14:textId="77777777" w:rsidR="00432464" w:rsidRPr="00FC5F92" w:rsidRDefault="00432464" w:rsidP="00726A94">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 Commonwealth of Australia by</w:t>
            </w:r>
          </w:p>
          <w:p w14:paraId="56258441" w14:textId="77777777" w:rsidR="00432464" w:rsidRPr="00FC5F92" w:rsidRDefault="00432464" w:rsidP="00726A94">
            <w:pPr>
              <w:pStyle w:val="LineForSignature"/>
              <w:rPr>
                <w:rFonts w:ascii="Calibri" w:hAnsi="Calibri"/>
                <w:color w:val="auto"/>
              </w:rPr>
            </w:pPr>
            <w:r w:rsidRPr="00FC5F92">
              <w:rPr>
                <w:rFonts w:ascii="Calibri" w:hAnsi="Calibri"/>
                <w:color w:val="auto"/>
              </w:rPr>
              <w:tab/>
            </w:r>
          </w:p>
          <w:p w14:paraId="56258442" w14:textId="77777777" w:rsidR="00432464" w:rsidRPr="00FC5F92" w:rsidRDefault="00432464" w:rsidP="00726A94">
            <w:pPr>
              <w:pStyle w:val="SingleParagraph"/>
              <w:rPr>
                <w:rStyle w:val="Bold"/>
                <w:rFonts w:ascii="Calibri" w:hAnsi="Calibri"/>
                <w:color w:val="auto"/>
              </w:rPr>
            </w:pPr>
            <w:r w:rsidRPr="00FC5F92">
              <w:rPr>
                <w:rStyle w:val="Bold"/>
                <w:rFonts w:ascii="Calibri" w:hAnsi="Calibri"/>
                <w:color w:val="auto"/>
              </w:rPr>
              <w:t xml:space="preserve">The Honourable </w:t>
            </w:r>
            <w:r w:rsidR="00F91336">
              <w:rPr>
                <w:rStyle w:val="Bold"/>
                <w:rFonts w:ascii="Calibri" w:hAnsi="Calibri"/>
                <w:color w:val="auto"/>
              </w:rPr>
              <w:t>Scott Morrison</w:t>
            </w:r>
            <w:r w:rsidRPr="00FC5F92">
              <w:rPr>
                <w:rStyle w:val="Bold"/>
                <w:rFonts w:ascii="Calibri" w:hAnsi="Calibri"/>
                <w:color w:val="auto"/>
              </w:rPr>
              <w:t xml:space="preserve"> MP</w:t>
            </w:r>
          </w:p>
          <w:p w14:paraId="56258443" w14:textId="77777777" w:rsidR="00432464" w:rsidRPr="00FC5F92" w:rsidRDefault="00F91336" w:rsidP="00726A94">
            <w:pPr>
              <w:pStyle w:val="Position"/>
              <w:rPr>
                <w:rFonts w:ascii="Calibri" w:hAnsi="Calibri"/>
                <w:color w:val="auto"/>
                <w:lang w:val="en-GB"/>
              </w:rPr>
            </w:pPr>
            <w:r>
              <w:rPr>
                <w:rFonts w:ascii="Calibri" w:hAnsi="Calibri"/>
                <w:color w:val="auto"/>
                <w:lang w:val="en-GB"/>
              </w:rPr>
              <w:t xml:space="preserve">Prime </w:t>
            </w:r>
            <w:r w:rsidR="00432464">
              <w:rPr>
                <w:rFonts w:ascii="Calibri" w:hAnsi="Calibri"/>
                <w:color w:val="auto"/>
                <w:lang w:val="en-GB"/>
              </w:rPr>
              <w:t xml:space="preserve">Minister </w:t>
            </w:r>
            <w:r w:rsidR="002675BC">
              <w:rPr>
                <w:rFonts w:ascii="Calibri" w:hAnsi="Calibri"/>
                <w:color w:val="auto"/>
                <w:lang w:val="en-GB"/>
              </w:rPr>
              <w:t>of</w:t>
            </w:r>
            <w:r w:rsidR="00432464">
              <w:rPr>
                <w:rFonts w:ascii="Calibri" w:hAnsi="Calibri"/>
                <w:color w:val="auto"/>
                <w:lang w:val="en-GB"/>
              </w:rPr>
              <w:t xml:space="preserve"> </w:t>
            </w:r>
            <w:r>
              <w:rPr>
                <w:rFonts w:ascii="Calibri" w:hAnsi="Calibri"/>
                <w:color w:val="auto"/>
                <w:lang w:val="en-GB"/>
              </w:rPr>
              <w:t>Australia</w:t>
            </w:r>
          </w:p>
          <w:p w14:paraId="56258444" w14:textId="77777777" w:rsidR="00432464" w:rsidRPr="00FC5F92" w:rsidRDefault="00432464" w:rsidP="00726A94">
            <w:pPr>
              <w:pStyle w:val="SingleParagraph"/>
              <w:tabs>
                <w:tab w:val="num" w:pos="1134"/>
              </w:tabs>
              <w:spacing w:after="240"/>
              <w:ind w:left="1134" w:hanging="567"/>
              <w:rPr>
                <w:rFonts w:ascii="Calibri" w:hAnsi="Calibri"/>
                <w:b/>
                <w:color w:val="auto"/>
                <w:lang w:val="en-GB"/>
              </w:rPr>
            </w:pPr>
            <w:r w:rsidRPr="00FC5F92">
              <w:rPr>
                <w:rFonts w:ascii="Calibri" w:hAnsi="Calibri"/>
                <w:color w:val="auto"/>
                <w:lang w:val="en-GB"/>
              </w:rPr>
              <w:t>Date</w:t>
            </w:r>
          </w:p>
        </w:tc>
        <w:tc>
          <w:tcPr>
            <w:tcW w:w="520" w:type="dxa"/>
            <w:tcMar>
              <w:left w:w="0" w:type="dxa"/>
              <w:right w:w="0" w:type="dxa"/>
            </w:tcMar>
          </w:tcPr>
          <w:p w14:paraId="56258445" w14:textId="77777777" w:rsidR="00432464" w:rsidRPr="00FC5F92" w:rsidRDefault="00432464" w:rsidP="00726A94">
            <w:pPr>
              <w:rPr>
                <w:lang w:val="en-GB"/>
              </w:rPr>
            </w:pPr>
          </w:p>
        </w:tc>
        <w:tc>
          <w:tcPr>
            <w:tcW w:w="4299" w:type="dxa"/>
          </w:tcPr>
          <w:p w14:paraId="56258446" w14:textId="77777777" w:rsidR="00432464" w:rsidRPr="00FC5F92" w:rsidRDefault="00432464" w:rsidP="00726A94">
            <w:pPr>
              <w:rPr>
                <w:lang w:val="en-GB"/>
              </w:rPr>
            </w:pPr>
          </w:p>
        </w:tc>
      </w:tr>
      <w:tr w:rsidR="00432464" w:rsidRPr="00FC5F92" w14:paraId="5625844B" w14:textId="77777777" w:rsidTr="00290F48">
        <w:trPr>
          <w:cantSplit/>
          <w:trHeight w:val="253"/>
          <w:jc w:val="center"/>
        </w:trPr>
        <w:tc>
          <w:tcPr>
            <w:tcW w:w="4253" w:type="dxa"/>
          </w:tcPr>
          <w:p w14:paraId="56258448" w14:textId="77777777" w:rsidR="00432464" w:rsidRPr="00FC5F92" w:rsidRDefault="00432464" w:rsidP="00726A94">
            <w:pPr>
              <w:pStyle w:val="SingleParagraph"/>
              <w:rPr>
                <w:rFonts w:ascii="Calibri" w:hAnsi="Calibri"/>
                <w:color w:val="auto"/>
                <w:lang w:val="en-GB"/>
              </w:rPr>
            </w:pPr>
          </w:p>
        </w:tc>
        <w:tc>
          <w:tcPr>
            <w:tcW w:w="520" w:type="dxa"/>
            <w:tcMar>
              <w:left w:w="0" w:type="dxa"/>
              <w:right w:w="0" w:type="dxa"/>
            </w:tcMar>
          </w:tcPr>
          <w:p w14:paraId="56258449" w14:textId="77777777" w:rsidR="00432464" w:rsidRPr="00FC5F92" w:rsidRDefault="00432464" w:rsidP="00726A94">
            <w:pPr>
              <w:pStyle w:val="SingleParagraph"/>
              <w:rPr>
                <w:rFonts w:ascii="Calibri" w:hAnsi="Calibri"/>
                <w:color w:val="auto"/>
                <w:lang w:val="en-GB"/>
              </w:rPr>
            </w:pPr>
          </w:p>
        </w:tc>
        <w:tc>
          <w:tcPr>
            <w:tcW w:w="4299" w:type="dxa"/>
          </w:tcPr>
          <w:p w14:paraId="5625844A" w14:textId="77777777" w:rsidR="00432464" w:rsidRPr="00FC5F92" w:rsidRDefault="00432464" w:rsidP="00726A94">
            <w:pPr>
              <w:pStyle w:val="SingleParagraph"/>
              <w:rPr>
                <w:rFonts w:ascii="Calibri" w:hAnsi="Calibri"/>
                <w:color w:val="auto"/>
                <w:lang w:val="en-GB"/>
              </w:rPr>
            </w:pPr>
          </w:p>
        </w:tc>
      </w:tr>
      <w:tr w:rsidR="00432464" w:rsidRPr="00FC5F92" w14:paraId="56258457" w14:textId="77777777" w:rsidTr="00290F48">
        <w:trPr>
          <w:cantSplit/>
          <w:trHeight w:val="2358"/>
          <w:jc w:val="center"/>
        </w:trPr>
        <w:tc>
          <w:tcPr>
            <w:tcW w:w="4253" w:type="dxa"/>
          </w:tcPr>
          <w:p w14:paraId="5625844C" w14:textId="77777777" w:rsidR="00432464" w:rsidRPr="00FC5F92" w:rsidRDefault="00432464" w:rsidP="00F91336">
            <w:pPr>
              <w:pStyle w:val="Signed"/>
              <w:jc w:val="left"/>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 </w:t>
            </w:r>
            <w:r w:rsidRPr="00FC5F92">
              <w:rPr>
                <w:rFonts w:ascii="Calibri" w:hAnsi="Calibri"/>
                <w:color w:val="auto"/>
              </w:rPr>
              <w:br/>
              <w:t>State of New South Wales by</w:t>
            </w:r>
          </w:p>
          <w:p w14:paraId="5625844D" w14:textId="77777777" w:rsidR="00432464" w:rsidRPr="00FC5F92" w:rsidRDefault="00432464" w:rsidP="00726A94">
            <w:pPr>
              <w:pStyle w:val="LineForSignature"/>
              <w:rPr>
                <w:rFonts w:ascii="Calibri" w:hAnsi="Calibri"/>
                <w:color w:val="auto"/>
              </w:rPr>
            </w:pPr>
            <w:r w:rsidRPr="00FC5F92">
              <w:rPr>
                <w:rFonts w:ascii="Calibri" w:hAnsi="Calibri"/>
                <w:color w:val="auto"/>
              </w:rPr>
              <w:tab/>
            </w:r>
          </w:p>
          <w:p w14:paraId="5625844E" w14:textId="77777777" w:rsidR="00432464" w:rsidRPr="001B3F2B" w:rsidRDefault="00432464" w:rsidP="00726A94">
            <w:pPr>
              <w:pStyle w:val="SingleParagraph"/>
              <w:rPr>
                <w:rStyle w:val="Bold"/>
                <w:rFonts w:ascii="Calibri" w:hAnsi="Calibri"/>
                <w:color w:val="auto"/>
              </w:rPr>
            </w:pPr>
            <w:r w:rsidRPr="001B3F2B">
              <w:rPr>
                <w:rStyle w:val="Bold"/>
                <w:rFonts w:ascii="Calibri" w:hAnsi="Calibri"/>
                <w:color w:val="auto"/>
              </w:rPr>
              <w:t xml:space="preserve">The Honourable </w:t>
            </w:r>
            <w:r w:rsidR="001B3F2B" w:rsidRPr="001B3F2B">
              <w:rPr>
                <w:rStyle w:val="Bold"/>
                <w:rFonts w:ascii="Calibri" w:hAnsi="Calibri"/>
                <w:color w:val="auto"/>
              </w:rPr>
              <w:t xml:space="preserve">Gladys </w:t>
            </w:r>
            <w:proofErr w:type="spellStart"/>
            <w:r w:rsidR="001B3F2B" w:rsidRPr="001B3F2B">
              <w:rPr>
                <w:rStyle w:val="Bold"/>
                <w:rFonts w:ascii="Calibri" w:hAnsi="Calibri"/>
                <w:color w:val="auto"/>
              </w:rPr>
              <w:t>Berejiklian</w:t>
            </w:r>
            <w:proofErr w:type="spellEnd"/>
            <w:r w:rsidRPr="001B3F2B">
              <w:rPr>
                <w:rStyle w:val="Bold"/>
                <w:rFonts w:ascii="Calibri" w:hAnsi="Calibri"/>
                <w:color w:val="auto"/>
              </w:rPr>
              <w:t xml:space="preserve"> MP</w:t>
            </w:r>
          </w:p>
          <w:p w14:paraId="5625844F" w14:textId="77777777" w:rsidR="00432464" w:rsidRPr="00FC5F92" w:rsidRDefault="00A766A3" w:rsidP="00726A94">
            <w:pPr>
              <w:pStyle w:val="Position"/>
              <w:rPr>
                <w:rFonts w:ascii="Calibri" w:hAnsi="Calibri"/>
                <w:bCs/>
                <w:color w:val="auto"/>
                <w:lang w:val="en-GB"/>
              </w:rPr>
            </w:pPr>
            <w:r w:rsidRPr="001B3F2B">
              <w:rPr>
                <w:rFonts w:ascii="Calibri" w:hAnsi="Calibri"/>
                <w:color w:val="auto"/>
                <w:lang w:val="en-GB"/>
              </w:rPr>
              <w:t xml:space="preserve">Premier </w:t>
            </w:r>
            <w:r w:rsidR="002675BC">
              <w:rPr>
                <w:rFonts w:ascii="Calibri" w:hAnsi="Calibri"/>
                <w:color w:val="auto"/>
                <w:lang w:val="en-GB"/>
              </w:rPr>
              <w:t>of</w:t>
            </w:r>
            <w:r w:rsidRPr="001B3F2B">
              <w:rPr>
                <w:rFonts w:ascii="Calibri" w:hAnsi="Calibri"/>
                <w:color w:val="auto"/>
                <w:lang w:val="en-GB"/>
              </w:rPr>
              <w:t xml:space="preserve"> New South Wales</w:t>
            </w:r>
          </w:p>
          <w:p w14:paraId="56258450" w14:textId="77777777" w:rsidR="00432464" w:rsidRPr="00FC5F92" w:rsidRDefault="00432464" w:rsidP="00726A94">
            <w:pPr>
              <w:pStyle w:val="SingleParagraph"/>
              <w:tabs>
                <w:tab w:val="num" w:pos="1134"/>
              </w:tabs>
              <w:spacing w:after="240"/>
              <w:ind w:left="1134" w:hanging="567"/>
              <w:rPr>
                <w:rFonts w:ascii="Calibri" w:hAnsi="Calibri"/>
                <w:color w:val="auto"/>
                <w:szCs w:val="22"/>
                <w:lang w:val="en-GB"/>
              </w:rPr>
            </w:pPr>
            <w:r w:rsidRPr="00FC5F92">
              <w:rPr>
                <w:rFonts w:ascii="Calibri" w:hAnsi="Calibri"/>
                <w:color w:val="auto"/>
                <w:lang w:val="en-GB"/>
              </w:rPr>
              <w:t>Date</w:t>
            </w:r>
          </w:p>
        </w:tc>
        <w:tc>
          <w:tcPr>
            <w:tcW w:w="520" w:type="dxa"/>
            <w:tcMar>
              <w:left w:w="0" w:type="dxa"/>
              <w:right w:w="0" w:type="dxa"/>
            </w:tcMar>
          </w:tcPr>
          <w:p w14:paraId="56258451" w14:textId="77777777" w:rsidR="00432464" w:rsidRPr="00FC5F92" w:rsidRDefault="00432464" w:rsidP="00726A94">
            <w:pPr>
              <w:rPr>
                <w:lang w:val="en-GB"/>
              </w:rPr>
            </w:pPr>
          </w:p>
        </w:tc>
        <w:tc>
          <w:tcPr>
            <w:tcW w:w="4299" w:type="dxa"/>
          </w:tcPr>
          <w:p w14:paraId="56258452" w14:textId="77777777" w:rsidR="00432464" w:rsidRPr="00FC5F92" w:rsidRDefault="00432464" w:rsidP="00F91336">
            <w:pPr>
              <w:pStyle w:val="Signed"/>
              <w:jc w:val="left"/>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Victoria by</w:t>
            </w:r>
          </w:p>
          <w:p w14:paraId="56258453" w14:textId="77777777" w:rsidR="00432464" w:rsidRPr="00FC5F92" w:rsidRDefault="00432464" w:rsidP="00726A94">
            <w:pPr>
              <w:pStyle w:val="LineForSignature"/>
              <w:rPr>
                <w:rFonts w:ascii="Calibri" w:hAnsi="Calibri"/>
                <w:color w:val="auto"/>
              </w:rPr>
            </w:pPr>
            <w:r w:rsidRPr="00FC5F92">
              <w:rPr>
                <w:rFonts w:ascii="Calibri" w:hAnsi="Calibri"/>
                <w:color w:val="auto"/>
              </w:rPr>
              <w:tab/>
            </w:r>
          </w:p>
          <w:p w14:paraId="56258454" w14:textId="77777777" w:rsidR="00432464" w:rsidRPr="001B3F2B" w:rsidRDefault="00432464" w:rsidP="00726A94">
            <w:pPr>
              <w:pStyle w:val="SingleParagraph"/>
              <w:rPr>
                <w:rStyle w:val="Bold"/>
                <w:rFonts w:ascii="Calibri" w:hAnsi="Calibri"/>
                <w:color w:val="auto"/>
              </w:rPr>
            </w:pPr>
            <w:r w:rsidRPr="00FC5F92">
              <w:rPr>
                <w:rStyle w:val="Bold"/>
                <w:rFonts w:ascii="Calibri" w:hAnsi="Calibri"/>
                <w:color w:val="auto"/>
              </w:rPr>
              <w:t xml:space="preserve">The </w:t>
            </w:r>
            <w:r w:rsidRPr="001B3F2B">
              <w:rPr>
                <w:rStyle w:val="Bold"/>
                <w:rFonts w:ascii="Calibri" w:hAnsi="Calibri"/>
                <w:color w:val="auto"/>
              </w:rPr>
              <w:t xml:space="preserve">Honourable </w:t>
            </w:r>
            <w:r w:rsidR="001B3F2B" w:rsidRPr="001B3F2B">
              <w:rPr>
                <w:rStyle w:val="Bold"/>
                <w:rFonts w:ascii="Calibri" w:hAnsi="Calibri"/>
                <w:color w:val="auto"/>
              </w:rPr>
              <w:t>Daniel Andrews</w:t>
            </w:r>
            <w:r w:rsidRPr="001B3F2B">
              <w:rPr>
                <w:rFonts w:ascii="Calibri" w:hAnsi="Calibri"/>
                <w:color w:val="auto"/>
              </w:rPr>
              <w:t xml:space="preserve"> </w:t>
            </w:r>
            <w:r w:rsidRPr="001B3F2B">
              <w:rPr>
                <w:rStyle w:val="Bold"/>
                <w:rFonts w:ascii="Calibri" w:hAnsi="Calibri"/>
                <w:color w:val="auto"/>
              </w:rPr>
              <w:t>MP</w:t>
            </w:r>
          </w:p>
          <w:p w14:paraId="56258455" w14:textId="77777777" w:rsidR="00432464" w:rsidRPr="00FC5F92" w:rsidRDefault="001B3F2B" w:rsidP="00726A94">
            <w:pPr>
              <w:pStyle w:val="Position"/>
              <w:rPr>
                <w:rFonts w:ascii="Calibri" w:hAnsi="Calibri"/>
                <w:bCs/>
                <w:color w:val="auto"/>
                <w:lang w:val="en-GB"/>
              </w:rPr>
            </w:pPr>
            <w:r w:rsidRPr="001B3F2B">
              <w:rPr>
                <w:rFonts w:ascii="Calibri" w:hAnsi="Calibri"/>
                <w:color w:val="auto"/>
                <w:lang w:val="en-GB"/>
              </w:rPr>
              <w:t xml:space="preserve">Premier </w:t>
            </w:r>
            <w:r w:rsidR="002675BC">
              <w:rPr>
                <w:rFonts w:ascii="Calibri" w:hAnsi="Calibri"/>
                <w:color w:val="auto"/>
                <w:lang w:val="en-GB"/>
              </w:rPr>
              <w:t>of</w:t>
            </w:r>
            <w:r w:rsidRPr="001B3F2B">
              <w:rPr>
                <w:rFonts w:ascii="Calibri" w:hAnsi="Calibri"/>
                <w:color w:val="auto"/>
                <w:lang w:val="en-GB"/>
              </w:rPr>
              <w:t xml:space="preserve"> Victoria</w:t>
            </w:r>
          </w:p>
          <w:p w14:paraId="56258456" w14:textId="77777777" w:rsidR="00432464" w:rsidRPr="00FC5F92" w:rsidRDefault="00432464" w:rsidP="00726A94">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bookmarkStart w:id="0" w:name="_GoBack"/>
        <w:bookmarkEnd w:id="0"/>
      </w:tr>
      <w:tr w:rsidR="00432464" w:rsidRPr="00FC5F92" w14:paraId="5625845B" w14:textId="77777777" w:rsidTr="00290F48">
        <w:trPr>
          <w:cantSplit/>
          <w:trHeight w:val="253"/>
          <w:jc w:val="center"/>
        </w:trPr>
        <w:tc>
          <w:tcPr>
            <w:tcW w:w="4253" w:type="dxa"/>
          </w:tcPr>
          <w:p w14:paraId="56258458" w14:textId="77777777" w:rsidR="00432464" w:rsidRPr="00FC5F92" w:rsidRDefault="00432464" w:rsidP="00726A94">
            <w:pPr>
              <w:pStyle w:val="SingleParagraph"/>
              <w:rPr>
                <w:rFonts w:ascii="Calibri" w:hAnsi="Calibri"/>
                <w:color w:val="auto"/>
                <w:lang w:val="en-GB"/>
              </w:rPr>
            </w:pPr>
          </w:p>
        </w:tc>
        <w:tc>
          <w:tcPr>
            <w:tcW w:w="520" w:type="dxa"/>
            <w:tcMar>
              <w:left w:w="0" w:type="dxa"/>
              <w:right w:w="0" w:type="dxa"/>
            </w:tcMar>
          </w:tcPr>
          <w:p w14:paraId="56258459" w14:textId="77777777" w:rsidR="00432464" w:rsidRPr="00FC5F92" w:rsidRDefault="00432464" w:rsidP="00726A94">
            <w:pPr>
              <w:pStyle w:val="SingleParagraph"/>
              <w:rPr>
                <w:rFonts w:ascii="Calibri" w:hAnsi="Calibri"/>
                <w:color w:val="auto"/>
                <w:lang w:val="en-GB"/>
              </w:rPr>
            </w:pPr>
          </w:p>
        </w:tc>
        <w:tc>
          <w:tcPr>
            <w:tcW w:w="4299" w:type="dxa"/>
          </w:tcPr>
          <w:p w14:paraId="5625845A" w14:textId="77777777" w:rsidR="00432464" w:rsidRPr="00FC5F92" w:rsidRDefault="00432464" w:rsidP="00726A94">
            <w:pPr>
              <w:pStyle w:val="SingleParagraph"/>
              <w:rPr>
                <w:rFonts w:ascii="Calibri" w:hAnsi="Calibri"/>
                <w:color w:val="auto"/>
                <w:lang w:val="en-GB"/>
              </w:rPr>
            </w:pPr>
          </w:p>
        </w:tc>
      </w:tr>
      <w:tr w:rsidR="00432464" w:rsidRPr="00FC5F92" w14:paraId="56258467" w14:textId="77777777" w:rsidTr="00290F48">
        <w:trPr>
          <w:cantSplit/>
          <w:trHeight w:val="2343"/>
          <w:jc w:val="center"/>
        </w:trPr>
        <w:tc>
          <w:tcPr>
            <w:tcW w:w="4253" w:type="dxa"/>
          </w:tcPr>
          <w:p w14:paraId="5625845C" w14:textId="77777777" w:rsidR="00432464" w:rsidRPr="00FC5F92" w:rsidRDefault="00432464" w:rsidP="00F91336">
            <w:pPr>
              <w:pStyle w:val="Signed"/>
              <w:jc w:val="left"/>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Queensland by</w:t>
            </w:r>
          </w:p>
          <w:p w14:paraId="5625845D" w14:textId="77777777" w:rsidR="00432464" w:rsidRPr="00FC5F92" w:rsidRDefault="00432464" w:rsidP="00726A94">
            <w:pPr>
              <w:pStyle w:val="LineForSignature"/>
              <w:rPr>
                <w:rFonts w:ascii="Calibri" w:hAnsi="Calibri"/>
                <w:color w:val="auto"/>
              </w:rPr>
            </w:pPr>
            <w:r w:rsidRPr="00FC5F92">
              <w:rPr>
                <w:rFonts w:ascii="Calibri" w:hAnsi="Calibri"/>
                <w:color w:val="auto"/>
              </w:rPr>
              <w:tab/>
            </w:r>
          </w:p>
          <w:p w14:paraId="5625845E" w14:textId="77777777" w:rsidR="00432464" w:rsidRPr="001B3F2B" w:rsidRDefault="00432464" w:rsidP="00726A94">
            <w:pPr>
              <w:pStyle w:val="SingleParagraph"/>
              <w:rPr>
                <w:rFonts w:ascii="Calibri" w:hAnsi="Calibri"/>
                <w:b/>
                <w:color w:val="auto"/>
              </w:rPr>
            </w:pPr>
            <w:r w:rsidRPr="00FC5F92">
              <w:rPr>
                <w:rFonts w:ascii="Calibri" w:hAnsi="Calibri"/>
                <w:b/>
                <w:color w:val="auto"/>
              </w:rPr>
              <w:t xml:space="preserve">The </w:t>
            </w:r>
            <w:r w:rsidRPr="001B3F2B">
              <w:rPr>
                <w:rFonts w:ascii="Calibri" w:hAnsi="Calibri"/>
                <w:b/>
                <w:color w:val="auto"/>
              </w:rPr>
              <w:t xml:space="preserve">Honourable </w:t>
            </w:r>
            <w:proofErr w:type="spellStart"/>
            <w:r w:rsidR="001B3F2B" w:rsidRPr="001B3F2B">
              <w:rPr>
                <w:rFonts w:ascii="Calibri" w:hAnsi="Calibri"/>
                <w:b/>
                <w:color w:val="auto"/>
              </w:rPr>
              <w:t>Annastacia</w:t>
            </w:r>
            <w:proofErr w:type="spellEnd"/>
            <w:r w:rsidR="001B3F2B" w:rsidRPr="001B3F2B">
              <w:rPr>
                <w:rFonts w:ascii="Calibri" w:hAnsi="Calibri"/>
                <w:b/>
                <w:color w:val="auto"/>
              </w:rPr>
              <w:t xml:space="preserve"> </w:t>
            </w:r>
            <w:r w:rsidR="002675BC" w:rsidRPr="002675BC">
              <w:rPr>
                <w:rFonts w:ascii="Calibri" w:hAnsi="Calibri"/>
                <w:b/>
                <w:color w:val="auto"/>
              </w:rPr>
              <w:t>Palaszczuk</w:t>
            </w:r>
            <w:r w:rsidR="002675BC">
              <w:rPr>
                <w:rFonts w:ascii="Calibri" w:hAnsi="Calibri"/>
                <w:b/>
                <w:color w:val="auto"/>
              </w:rPr>
              <w:t xml:space="preserve"> </w:t>
            </w:r>
            <w:r w:rsidRPr="001B3F2B">
              <w:rPr>
                <w:rFonts w:ascii="Calibri" w:hAnsi="Calibri"/>
                <w:b/>
                <w:color w:val="auto"/>
              </w:rPr>
              <w:t>MP</w:t>
            </w:r>
          </w:p>
          <w:p w14:paraId="5625845F" w14:textId="77777777" w:rsidR="00432464" w:rsidRPr="00FC5F92" w:rsidRDefault="001B3F2B" w:rsidP="00726A94">
            <w:pPr>
              <w:pStyle w:val="Position"/>
              <w:rPr>
                <w:rFonts w:ascii="Calibri" w:hAnsi="Calibri"/>
                <w:bCs/>
                <w:color w:val="auto"/>
                <w:lang w:val="en-GB"/>
              </w:rPr>
            </w:pPr>
            <w:r w:rsidRPr="001B3F2B">
              <w:rPr>
                <w:rFonts w:ascii="Calibri" w:hAnsi="Calibri"/>
                <w:color w:val="auto"/>
                <w:lang w:val="en-GB"/>
              </w:rPr>
              <w:t xml:space="preserve">Premier </w:t>
            </w:r>
            <w:r w:rsidR="002675BC">
              <w:rPr>
                <w:rFonts w:ascii="Calibri" w:hAnsi="Calibri"/>
                <w:color w:val="auto"/>
                <w:lang w:val="en-GB"/>
              </w:rPr>
              <w:t>of</w:t>
            </w:r>
            <w:r w:rsidRPr="001B3F2B">
              <w:rPr>
                <w:rFonts w:ascii="Calibri" w:hAnsi="Calibri"/>
                <w:color w:val="auto"/>
                <w:lang w:val="en-GB"/>
              </w:rPr>
              <w:t xml:space="preserve"> Queensland</w:t>
            </w:r>
          </w:p>
          <w:p w14:paraId="56258460" w14:textId="77777777" w:rsidR="00432464" w:rsidRPr="00FC5F92" w:rsidRDefault="00432464" w:rsidP="00726A94">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c>
          <w:tcPr>
            <w:tcW w:w="520" w:type="dxa"/>
            <w:tcMar>
              <w:left w:w="0" w:type="dxa"/>
              <w:right w:w="0" w:type="dxa"/>
            </w:tcMar>
          </w:tcPr>
          <w:p w14:paraId="56258461" w14:textId="77777777" w:rsidR="00432464" w:rsidRPr="00FC5F92" w:rsidRDefault="00432464" w:rsidP="00726A94">
            <w:pPr>
              <w:rPr>
                <w:lang w:val="en-GB"/>
              </w:rPr>
            </w:pPr>
          </w:p>
        </w:tc>
        <w:tc>
          <w:tcPr>
            <w:tcW w:w="4299" w:type="dxa"/>
          </w:tcPr>
          <w:p w14:paraId="56258462" w14:textId="77777777" w:rsidR="00432464" w:rsidRPr="00FC5F92" w:rsidRDefault="00432464" w:rsidP="00F91336">
            <w:pPr>
              <w:pStyle w:val="Signed"/>
              <w:jc w:val="left"/>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Western Australia by</w:t>
            </w:r>
          </w:p>
          <w:p w14:paraId="56258463" w14:textId="77777777" w:rsidR="00432464" w:rsidRPr="00FC5F92" w:rsidRDefault="00432464" w:rsidP="00726A94">
            <w:pPr>
              <w:pStyle w:val="LineForSignature"/>
              <w:rPr>
                <w:rFonts w:ascii="Calibri" w:hAnsi="Calibri"/>
                <w:color w:val="auto"/>
              </w:rPr>
            </w:pPr>
            <w:r w:rsidRPr="00FC5F92">
              <w:rPr>
                <w:rFonts w:ascii="Calibri" w:hAnsi="Calibri"/>
                <w:color w:val="auto"/>
              </w:rPr>
              <w:tab/>
            </w:r>
          </w:p>
          <w:p w14:paraId="56258464" w14:textId="77777777" w:rsidR="00432464" w:rsidRPr="001B3F2B" w:rsidRDefault="00432464" w:rsidP="00726A94">
            <w:pPr>
              <w:pStyle w:val="SingleParagraph"/>
              <w:rPr>
                <w:rStyle w:val="Bold"/>
                <w:rFonts w:ascii="Calibri" w:hAnsi="Calibri"/>
                <w:color w:val="auto"/>
              </w:rPr>
            </w:pPr>
            <w:r w:rsidRPr="00FC5F92">
              <w:rPr>
                <w:rStyle w:val="Bold"/>
                <w:rFonts w:ascii="Calibri" w:hAnsi="Calibri"/>
                <w:color w:val="auto"/>
              </w:rPr>
              <w:t xml:space="preserve">The </w:t>
            </w:r>
            <w:r w:rsidRPr="001B3F2B">
              <w:rPr>
                <w:rStyle w:val="Bold"/>
                <w:rFonts w:ascii="Calibri" w:hAnsi="Calibri"/>
                <w:color w:val="auto"/>
              </w:rPr>
              <w:t xml:space="preserve">Honourable </w:t>
            </w:r>
            <w:r w:rsidR="001B3F2B" w:rsidRPr="001B3F2B">
              <w:rPr>
                <w:rStyle w:val="Bold"/>
                <w:rFonts w:ascii="Calibri" w:hAnsi="Calibri"/>
                <w:color w:val="auto"/>
              </w:rPr>
              <w:t>Mark McGowan MLA</w:t>
            </w:r>
          </w:p>
          <w:p w14:paraId="56258465" w14:textId="77777777" w:rsidR="00432464" w:rsidRPr="00FC5F92" w:rsidRDefault="001B3F2B" w:rsidP="00726A94">
            <w:pPr>
              <w:pStyle w:val="Position"/>
              <w:rPr>
                <w:rFonts w:ascii="Calibri" w:hAnsi="Calibri"/>
                <w:bCs/>
                <w:color w:val="auto"/>
                <w:lang w:val="en-GB"/>
              </w:rPr>
            </w:pPr>
            <w:r w:rsidRPr="001B3F2B">
              <w:rPr>
                <w:rFonts w:ascii="Calibri" w:hAnsi="Calibri"/>
                <w:color w:val="auto"/>
                <w:lang w:val="en-GB"/>
              </w:rPr>
              <w:t xml:space="preserve">Premier </w:t>
            </w:r>
            <w:r w:rsidR="002675BC">
              <w:rPr>
                <w:rFonts w:ascii="Calibri" w:hAnsi="Calibri"/>
                <w:color w:val="auto"/>
                <w:lang w:val="en-GB"/>
              </w:rPr>
              <w:t>of</w:t>
            </w:r>
            <w:r w:rsidRPr="001B3F2B">
              <w:rPr>
                <w:rFonts w:ascii="Calibri" w:hAnsi="Calibri"/>
                <w:color w:val="auto"/>
                <w:lang w:val="en-GB"/>
              </w:rPr>
              <w:t xml:space="preserve"> Western Australia</w:t>
            </w:r>
          </w:p>
          <w:p w14:paraId="56258466" w14:textId="77777777" w:rsidR="00432464" w:rsidRPr="00FC5F92" w:rsidRDefault="00432464" w:rsidP="00726A94">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432464" w:rsidRPr="00FC5F92" w14:paraId="5625846B" w14:textId="77777777" w:rsidTr="00290F48">
        <w:trPr>
          <w:cantSplit/>
          <w:trHeight w:val="253"/>
          <w:jc w:val="center"/>
        </w:trPr>
        <w:tc>
          <w:tcPr>
            <w:tcW w:w="4253" w:type="dxa"/>
          </w:tcPr>
          <w:p w14:paraId="56258468" w14:textId="77777777" w:rsidR="00432464" w:rsidRPr="00FC5F92" w:rsidRDefault="00432464" w:rsidP="00726A94">
            <w:pPr>
              <w:pStyle w:val="SingleParagraph"/>
              <w:rPr>
                <w:rFonts w:ascii="Calibri" w:hAnsi="Calibri"/>
                <w:color w:val="auto"/>
                <w:lang w:val="en-GB"/>
              </w:rPr>
            </w:pPr>
          </w:p>
        </w:tc>
        <w:tc>
          <w:tcPr>
            <w:tcW w:w="520" w:type="dxa"/>
            <w:tcMar>
              <w:left w:w="0" w:type="dxa"/>
              <w:right w:w="0" w:type="dxa"/>
            </w:tcMar>
          </w:tcPr>
          <w:p w14:paraId="56258469" w14:textId="77777777" w:rsidR="00432464" w:rsidRPr="00FC5F92" w:rsidRDefault="00432464" w:rsidP="00726A94">
            <w:pPr>
              <w:pStyle w:val="SingleParagraph"/>
              <w:rPr>
                <w:rFonts w:ascii="Calibri" w:hAnsi="Calibri"/>
                <w:color w:val="auto"/>
                <w:lang w:val="en-GB"/>
              </w:rPr>
            </w:pPr>
          </w:p>
        </w:tc>
        <w:tc>
          <w:tcPr>
            <w:tcW w:w="4299" w:type="dxa"/>
          </w:tcPr>
          <w:p w14:paraId="5625846A" w14:textId="77777777" w:rsidR="00432464" w:rsidRPr="00FC5F92" w:rsidRDefault="00432464" w:rsidP="00726A94">
            <w:pPr>
              <w:pStyle w:val="SingleParagraph"/>
              <w:rPr>
                <w:rFonts w:ascii="Calibri" w:hAnsi="Calibri"/>
                <w:color w:val="auto"/>
                <w:lang w:val="en-GB"/>
              </w:rPr>
            </w:pPr>
          </w:p>
        </w:tc>
      </w:tr>
      <w:tr w:rsidR="00432464" w:rsidRPr="00FC5F92" w14:paraId="56258477" w14:textId="77777777" w:rsidTr="00290F48">
        <w:trPr>
          <w:cantSplit/>
          <w:trHeight w:val="142"/>
          <w:jc w:val="center"/>
        </w:trPr>
        <w:tc>
          <w:tcPr>
            <w:tcW w:w="4253" w:type="dxa"/>
          </w:tcPr>
          <w:p w14:paraId="5625846C" w14:textId="77777777" w:rsidR="00432464" w:rsidRPr="00FC5F92" w:rsidRDefault="00432464" w:rsidP="00F91336">
            <w:pPr>
              <w:pStyle w:val="Signed"/>
              <w:jc w:val="left"/>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South Australia by</w:t>
            </w:r>
          </w:p>
          <w:p w14:paraId="5625846D" w14:textId="77777777" w:rsidR="00432464" w:rsidRPr="00FC5F92" w:rsidRDefault="00432464" w:rsidP="00726A94">
            <w:pPr>
              <w:pStyle w:val="LineForSignature"/>
              <w:rPr>
                <w:rFonts w:ascii="Calibri" w:hAnsi="Calibri"/>
                <w:color w:val="auto"/>
              </w:rPr>
            </w:pPr>
            <w:r w:rsidRPr="00FC5F92">
              <w:rPr>
                <w:rFonts w:ascii="Calibri" w:hAnsi="Calibri"/>
                <w:color w:val="auto"/>
              </w:rPr>
              <w:tab/>
            </w:r>
          </w:p>
          <w:p w14:paraId="5625846E" w14:textId="77777777" w:rsidR="00432464" w:rsidRPr="002675BC" w:rsidRDefault="00432464" w:rsidP="00726A94">
            <w:pPr>
              <w:pStyle w:val="SingleParagraph"/>
              <w:rPr>
                <w:rStyle w:val="Bold"/>
                <w:rFonts w:ascii="Calibri" w:hAnsi="Calibri"/>
                <w:color w:val="auto"/>
              </w:rPr>
            </w:pPr>
            <w:r w:rsidRPr="002675BC">
              <w:rPr>
                <w:rStyle w:val="Bold"/>
                <w:rFonts w:ascii="Calibri" w:hAnsi="Calibri"/>
                <w:color w:val="auto"/>
              </w:rPr>
              <w:t xml:space="preserve">The Honourable </w:t>
            </w:r>
            <w:r w:rsidR="001B3F2B" w:rsidRPr="002675BC">
              <w:rPr>
                <w:rStyle w:val="Bold"/>
                <w:rFonts w:ascii="Calibri" w:hAnsi="Calibri"/>
                <w:color w:val="auto"/>
              </w:rPr>
              <w:t>Steven Marshall</w:t>
            </w:r>
            <w:r w:rsidRPr="002675BC">
              <w:rPr>
                <w:rStyle w:val="Bold"/>
                <w:rFonts w:ascii="Calibri" w:hAnsi="Calibri"/>
                <w:color w:val="auto"/>
              </w:rPr>
              <w:t xml:space="preserve"> MP</w:t>
            </w:r>
          </w:p>
          <w:p w14:paraId="5625846F" w14:textId="77777777" w:rsidR="00432464" w:rsidRPr="00FC5F92" w:rsidRDefault="001B3F2B" w:rsidP="00726A94">
            <w:pPr>
              <w:pStyle w:val="Position"/>
              <w:rPr>
                <w:rFonts w:ascii="Calibri" w:hAnsi="Calibri"/>
                <w:bCs/>
                <w:color w:val="auto"/>
                <w:lang w:val="en-GB"/>
              </w:rPr>
            </w:pPr>
            <w:r w:rsidRPr="002675BC">
              <w:rPr>
                <w:rFonts w:ascii="Calibri" w:hAnsi="Calibri"/>
                <w:color w:val="auto"/>
                <w:lang w:val="en-GB"/>
              </w:rPr>
              <w:t xml:space="preserve">Premier </w:t>
            </w:r>
            <w:r w:rsidR="002675BC">
              <w:rPr>
                <w:rFonts w:ascii="Calibri" w:hAnsi="Calibri"/>
                <w:color w:val="auto"/>
                <w:lang w:val="en-GB"/>
              </w:rPr>
              <w:t>of</w:t>
            </w:r>
            <w:r w:rsidRPr="002675BC">
              <w:rPr>
                <w:rFonts w:ascii="Calibri" w:hAnsi="Calibri"/>
                <w:color w:val="auto"/>
                <w:lang w:val="en-GB"/>
              </w:rPr>
              <w:t xml:space="preserve"> South Australia</w:t>
            </w:r>
          </w:p>
          <w:p w14:paraId="56258470" w14:textId="77777777" w:rsidR="00432464" w:rsidRPr="00FC5F92" w:rsidRDefault="00432464" w:rsidP="00726A94">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c>
          <w:tcPr>
            <w:tcW w:w="520" w:type="dxa"/>
            <w:tcMar>
              <w:left w:w="0" w:type="dxa"/>
              <w:right w:w="0" w:type="dxa"/>
            </w:tcMar>
          </w:tcPr>
          <w:p w14:paraId="56258471" w14:textId="77777777" w:rsidR="00432464" w:rsidRPr="00FC5F92" w:rsidRDefault="00432464" w:rsidP="00726A94">
            <w:pPr>
              <w:rPr>
                <w:lang w:val="en-GB"/>
              </w:rPr>
            </w:pPr>
          </w:p>
        </w:tc>
        <w:tc>
          <w:tcPr>
            <w:tcW w:w="4299" w:type="dxa"/>
          </w:tcPr>
          <w:p w14:paraId="56258472" w14:textId="77777777" w:rsidR="00432464" w:rsidRPr="00FC5F92" w:rsidRDefault="00432464" w:rsidP="00F91336">
            <w:pPr>
              <w:pStyle w:val="Signed"/>
              <w:jc w:val="left"/>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Tasmania by</w:t>
            </w:r>
          </w:p>
          <w:p w14:paraId="56258473" w14:textId="77777777" w:rsidR="00432464" w:rsidRPr="00FC5F92" w:rsidRDefault="00432464" w:rsidP="00726A94">
            <w:pPr>
              <w:pStyle w:val="LineForSignature"/>
              <w:rPr>
                <w:rFonts w:ascii="Calibri" w:hAnsi="Calibri"/>
                <w:color w:val="auto"/>
              </w:rPr>
            </w:pPr>
            <w:r w:rsidRPr="00FC5F92">
              <w:rPr>
                <w:rFonts w:ascii="Calibri" w:hAnsi="Calibri"/>
                <w:color w:val="auto"/>
              </w:rPr>
              <w:tab/>
            </w:r>
          </w:p>
          <w:p w14:paraId="56258474" w14:textId="77777777" w:rsidR="00432464" w:rsidRPr="002675BC" w:rsidRDefault="00432464" w:rsidP="00726A94">
            <w:pPr>
              <w:pStyle w:val="SingleParagraph"/>
              <w:rPr>
                <w:rStyle w:val="Bold"/>
                <w:rFonts w:ascii="Calibri" w:hAnsi="Calibri"/>
                <w:color w:val="auto"/>
              </w:rPr>
            </w:pPr>
            <w:r w:rsidRPr="00FC5F92">
              <w:rPr>
                <w:rStyle w:val="Bold"/>
                <w:rFonts w:ascii="Calibri" w:hAnsi="Calibri"/>
                <w:color w:val="auto"/>
              </w:rPr>
              <w:t xml:space="preserve">The Honourable </w:t>
            </w:r>
            <w:r w:rsidRPr="002675BC">
              <w:rPr>
                <w:rStyle w:val="Bold"/>
                <w:rFonts w:ascii="Calibri" w:hAnsi="Calibri"/>
                <w:color w:val="auto"/>
              </w:rPr>
              <w:t xml:space="preserve">Peter </w:t>
            </w:r>
            <w:proofErr w:type="spellStart"/>
            <w:r w:rsidRPr="002675BC">
              <w:rPr>
                <w:rStyle w:val="Bold"/>
                <w:rFonts w:ascii="Calibri" w:hAnsi="Calibri"/>
                <w:color w:val="auto"/>
              </w:rPr>
              <w:t>Gutwein</w:t>
            </w:r>
            <w:proofErr w:type="spellEnd"/>
            <w:r w:rsidRPr="002675BC">
              <w:rPr>
                <w:rStyle w:val="Bold"/>
                <w:rFonts w:ascii="Calibri" w:hAnsi="Calibri"/>
                <w:color w:val="auto"/>
              </w:rPr>
              <w:t xml:space="preserve"> MP</w:t>
            </w:r>
          </w:p>
          <w:p w14:paraId="56258475" w14:textId="77777777" w:rsidR="00432464" w:rsidRPr="00FC5F92" w:rsidRDefault="001B3F2B" w:rsidP="00726A94">
            <w:pPr>
              <w:pStyle w:val="Position"/>
              <w:rPr>
                <w:rFonts w:ascii="Calibri" w:hAnsi="Calibri"/>
                <w:bCs/>
                <w:color w:val="auto"/>
                <w:lang w:val="en-GB"/>
              </w:rPr>
            </w:pPr>
            <w:r w:rsidRPr="002675BC">
              <w:rPr>
                <w:rFonts w:ascii="Calibri" w:hAnsi="Calibri"/>
                <w:color w:val="auto"/>
                <w:lang w:val="en-GB"/>
              </w:rPr>
              <w:t xml:space="preserve">Premier </w:t>
            </w:r>
            <w:r w:rsidR="002675BC">
              <w:rPr>
                <w:rFonts w:ascii="Calibri" w:hAnsi="Calibri"/>
                <w:color w:val="auto"/>
                <w:lang w:val="en-GB"/>
              </w:rPr>
              <w:t>of</w:t>
            </w:r>
            <w:r w:rsidR="002675BC" w:rsidRPr="002675BC">
              <w:rPr>
                <w:rFonts w:ascii="Calibri" w:hAnsi="Calibri"/>
                <w:color w:val="auto"/>
                <w:lang w:val="en-GB"/>
              </w:rPr>
              <w:t xml:space="preserve"> Tasmania</w:t>
            </w:r>
          </w:p>
          <w:p w14:paraId="56258476" w14:textId="77777777" w:rsidR="00432464" w:rsidRPr="00FC5F92" w:rsidRDefault="00432464" w:rsidP="00726A94">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432464" w:rsidRPr="00FC5F92" w14:paraId="5625847B" w14:textId="77777777" w:rsidTr="00290F48">
        <w:trPr>
          <w:cantSplit/>
          <w:trHeight w:val="253"/>
          <w:jc w:val="center"/>
        </w:trPr>
        <w:tc>
          <w:tcPr>
            <w:tcW w:w="4253" w:type="dxa"/>
          </w:tcPr>
          <w:p w14:paraId="56258478" w14:textId="77777777" w:rsidR="00432464" w:rsidRPr="00FC5F92" w:rsidRDefault="00432464" w:rsidP="00726A94">
            <w:pPr>
              <w:pStyle w:val="SingleParagraph"/>
              <w:rPr>
                <w:rFonts w:ascii="Calibri" w:hAnsi="Calibri"/>
                <w:color w:val="auto"/>
                <w:lang w:val="en-GB"/>
              </w:rPr>
            </w:pPr>
          </w:p>
        </w:tc>
        <w:tc>
          <w:tcPr>
            <w:tcW w:w="520" w:type="dxa"/>
            <w:tcMar>
              <w:left w:w="0" w:type="dxa"/>
              <w:right w:w="0" w:type="dxa"/>
            </w:tcMar>
          </w:tcPr>
          <w:p w14:paraId="56258479" w14:textId="77777777" w:rsidR="00432464" w:rsidRPr="00FC5F92" w:rsidRDefault="00432464" w:rsidP="00726A94">
            <w:pPr>
              <w:pStyle w:val="SingleParagraph"/>
              <w:rPr>
                <w:rFonts w:ascii="Calibri" w:hAnsi="Calibri"/>
                <w:color w:val="auto"/>
                <w:lang w:val="en-GB"/>
              </w:rPr>
            </w:pPr>
          </w:p>
        </w:tc>
        <w:tc>
          <w:tcPr>
            <w:tcW w:w="4299" w:type="dxa"/>
          </w:tcPr>
          <w:p w14:paraId="5625847A" w14:textId="77777777" w:rsidR="00432464" w:rsidRPr="00FC5F92" w:rsidRDefault="00432464" w:rsidP="00726A94">
            <w:pPr>
              <w:pStyle w:val="SingleParagraph"/>
              <w:rPr>
                <w:rFonts w:ascii="Calibri" w:hAnsi="Calibri"/>
                <w:color w:val="auto"/>
                <w:lang w:val="en-GB"/>
              </w:rPr>
            </w:pPr>
          </w:p>
        </w:tc>
      </w:tr>
      <w:tr w:rsidR="00432464" w:rsidRPr="00FC5F92" w14:paraId="56258487" w14:textId="77777777" w:rsidTr="00290F48">
        <w:trPr>
          <w:cantSplit/>
          <w:trHeight w:val="2343"/>
          <w:jc w:val="center"/>
        </w:trPr>
        <w:tc>
          <w:tcPr>
            <w:tcW w:w="4253" w:type="dxa"/>
          </w:tcPr>
          <w:p w14:paraId="5625847C" w14:textId="77777777" w:rsidR="00432464" w:rsidRPr="00FC5F92" w:rsidRDefault="00432464" w:rsidP="00F91336">
            <w:pPr>
              <w:pStyle w:val="Signed"/>
              <w:jc w:val="left"/>
              <w:rPr>
                <w:rFonts w:ascii="Calibri" w:hAnsi="Calibri"/>
                <w:color w:val="auto"/>
              </w:rPr>
            </w:pPr>
            <w:r w:rsidRPr="00FC5F92">
              <w:rPr>
                <w:rStyle w:val="SignedBold"/>
                <w:rFonts w:ascii="Calibri" w:hAnsi="Calibri"/>
                <w:color w:val="auto"/>
              </w:rPr>
              <w:t>Signed</w:t>
            </w:r>
            <w:r w:rsidRPr="00FC5F92">
              <w:rPr>
                <w:rFonts w:ascii="Calibri" w:hAnsi="Calibri"/>
                <w:i w:val="0"/>
                <w:color w:val="auto"/>
              </w:rPr>
              <w:t xml:space="preserve"> for and on behalf of the </w:t>
            </w:r>
            <w:r w:rsidRPr="00FC5F92">
              <w:rPr>
                <w:rFonts w:ascii="Calibri" w:hAnsi="Calibri"/>
                <w:color w:val="auto"/>
              </w:rPr>
              <w:t>Australian Capital Territory by</w:t>
            </w:r>
          </w:p>
          <w:p w14:paraId="5625847D" w14:textId="77777777" w:rsidR="00432464" w:rsidRPr="00FC5F92" w:rsidRDefault="00432464" w:rsidP="00726A94">
            <w:pPr>
              <w:pStyle w:val="LineForSignature"/>
              <w:rPr>
                <w:rFonts w:ascii="Calibri" w:hAnsi="Calibri"/>
                <w:color w:val="auto"/>
              </w:rPr>
            </w:pPr>
            <w:r w:rsidRPr="00FC5F92">
              <w:rPr>
                <w:rFonts w:ascii="Calibri" w:hAnsi="Calibri"/>
                <w:color w:val="auto"/>
              </w:rPr>
              <w:tab/>
            </w:r>
          </w:p>
          <w:p w14:paraId="5625847E" w14:textId="77777777" w:rsidR="001B3F2B" w:rsidRPr="001B3F2B" w:rsidRDefault="001B3F2B" w:rsidP="001B3F2B">
            <w:pPr>
              <w:pStyle w:val="SingleParagraph"/>
              <w:rPr>
                <w:rStyle w:val="Bold"/>
                <w:rFonts w:ascii="Calibri" w:hAnsi="Calibri"/>
                <w:color w:val="auto"/>
              </w:rPr>
            </w:pPr>
            <w:r>
              <w:rPr>
                <w:rStyle w:val="Bold"/>
                <w:rFonts w:ascii="Calibri" w:hAnsi="Calibri"/>
                <w:color w:val="auto"/>
              </w:rPr>
              <w:t xml:space="preserve">The </w:t>
            </w:r>
            <w:r w:rsidRPr="00FC5F92">
              <w:rPr>
                <w:rStyle w:val="Bold"/>
                <w:rFonts w:ascii="Calibri" w:hAnsi="Calibri"/>
                <w:color w:val="auto"/>
              </w:rPr>
              <w:t xml:space="preserve">Honourable </w:t>
            </w:r>
            <w:r w:rsidRPr="001B3F2B">
              <w:rPr>
                <w:rStyle w:val="Bold"/>
                <w:rFonts w:ascii="Calibri" w:hAnsi="Calibri"/>
                <w:color w:val="auto"/>
              </w:rPr>
              <w:t>Andrew Barr MLA</w:t>
            </w:r>
          </w:p>
          <w:p w14:paraId="5625847F" w14:textId="77777777" w:rsidR="001B3F2B" w:rsidRPr="00FC5F92" w:rsidRDefault="001B3F2B" w:rsidP="001B3F2B">
            <w:pPr>
              <w:pStyle w:val="Position"/>
              <w:rPr>
                <w:rFonts w:ascii="Calibri" w:hAnsi="Calibri"/>
                <w:bCs/>
                <w:color w:val="auto"/>
                <w:lang w:val="en-GB"/>
              </w:rPr>
            </w:pPr>
            <w:r w:rsidRPr="001B3F2B">
              <w:rPr>
                <w:rFonts w:ascii="Calibri" w:hAnsi="Calibri"/>
                <w:color w:val="auto"/>
                <w:lang w:val="en-GB"/>
              </w:rPr>
              <w:t xml:space="preserve">Chief Minister </w:t>
            </w:r>
            <w:r w:rsidR="002675BC">
              <w:rPr>
                <w:rFonts w:ascii="Calibri" w:hAnsi="Calibri"/>
                <w:color w:val="auto"/>
                <w:lang w:val="en-GB"/>
              </w:rPr>
              <w:t>of</w:t>
            </w:r>
            <w:r w:rsidRPr="001B3F2B">
              <w:rPr>
                <w:rFonts w:ascii="Calibri" w:hAnsi="Calibri"/>
                <w:color w:val="auto"/>
                <w:lang w:val="en-GB"/>
              </w:rPr>
              <w:t xml:space="preserve"> the Australian Capital Territory</w:t>
            </w:r>
          </w:p>
          <w:p w14:paraId="56258480" w14:textId="77777777" w:rsidR="00432464" w:rsidRPr="00FC5F92" w:rsidRDefault="00432464" w:rsidP="00726A94">
            <w:pPr>
              <w:pStyle w:val="SingleParagraph"/>
              <w:tabs>
                <w:tab w:val="num" w:pos="1134"/>
              </w:tabs>
              <w:spacing w:after="240"/>
              <w:ind w:left="1134" w:hanging="567"/>
              <w:rPr>
                <w:rFonts w:ascii="Calibri" w:hAnsi="Calibri"/>
                <w:color w:val="auto"/>
                <w:szCs w:val="22"/>
                <w:lang w:val="en-GB"/>
              </w:rPr>
            </w:pPr>
            <w:r w:rsidRPr="00FC5F92">
              <w:rPr>
                <w:rFonts w:ascii="Calibri" w:hAnsi="Calibri"/>
                <w:color w:val="auto"/>
                <w:lang w:val="en-GB"/>
              </w:rPr>
              <w:t>Date</w:t>
            </w:r>
          </w:p>
        </w:tc>
        <w:tc>
          <w:tcPr>
            <w:tcW w:w="520" w:type="dxa"/>
            <w:tcMar>
              <w:left w:w="0" w:type="dxa"/>
              <w:right w:w="0" w:type="dxa"/>
            </w:tcMar>
          </w:tcPr>
          <w:p w14:paraId="56258481" w14:textId="77777777" w:rsidR="00432464" w:rsidRPr="00FC5F92" w:rsidRDefault="00432464" w:rsidP="00726A94">
            <w:pPr>
              <w:rPr>
                <w:lang w:val="en-GB"/>
              </w:rPr>
            </w:pPr>
          </w:p>
        </w:tc>
        <w:tc>
          <w:tcPr>
            <w:tcW w:w="4299" w:type="dxa"/>
          </w:tcPr>
          <w:p w14:paraId="56258482" w14:textId="77777777" w:rsidR="00432464" w:rsidRPr="00FC5F92" w:rsidRDefault="00432464" w:rsidP="00F91336">
            <w:pPr>
              <w:pStyle w:val="Signed"/>
              <w:jc w:val="left"/>
              <w:rPr>
                <w:rFonts w:ascii="Calibri" w:hAnsi="Calibri"/>
                <w:color w:val="auto"/>
              </w:rPr>
            </w:pPr>
            <w:r w:rsidRPr="00FC5F92">
              <w:rPr>
                <w:rStyle w:val="SignedBold"/>
                <w:rFonts w:ascii="Calibri" w:hAnsi="Calibri"/>
                <w:color w:val="auto"/>
              </w:rPr>
              <w:t>Signed</w:t>
            </w:r>
            <w:r w:rsidRPr="00FC5F92">
              <w:rPr>
                <w:rFonts w:ascii="Calibri" w:hAnsi="Calibri"/>
                <w:i w:val="0"/>
                <w:color w:val="auto"/>
              </w:rPr>
              <w:t xml:space="preserve"> for and on behalf of the </w:t>
            </w:r>
            <w:r w:rsidRPr="00FC5F92">
              <w:rPr>
                <w:rFonts w:ascii="Calibri" w:hAnsi="Calibri"/>
                <w:color w:val="auto"/>
              </w:rPr>
              <w:t>Northern Territory by</w:t>
            </w:r>
          </w:p>
          <w:p w14:paraId="56258483" w14:textId="77777777" w:rsidR="00432464" w:rsidRPr="00FC5F92" w:rsidRDefault="00432464" w:rsidP="00726A94">
            <w:pPr>
              <w:pStyle w:val="LineForSignature"/>
              <w:rPr>
                <w:rFonts w:ascii="Calibri" w:hAnsi="Calibri"/>
                <w:color w:val="auto"/>
              </w:rPr>
            </w:pPr>
            <w:r w:rsidRPr="00FC5F92">
              <w:rPr>
                <w:rFonts w:ascii="Calibri" w:hAnsi="Calibri"/>
                <w:color w:val="auto"/>
              </w:rPr>
              <w:tab/>
            </w:r>
          </w:p>
          <w:p w14:paraId="56258484" w14:textId="77777777" w:rsidR="00432464" w:rsidRPr="001B3F2B" w:rsidRDefault="00432464" w:rsidP="00726A94">
            <w:pPr>
              <w:pStyle w:val="SingleParagraph"/>
              <w:rPr>
                <w:rStyle w:val="Bold"/>
                <w:rFonts w:ascii="Calibri" w:hAnsi="Calibri"/>
                <w:color w:val="auto"/>
              </w:rPr>
            </w:pPr>
            <w:r w:rsidRPr="00FC5F92">
              <w:rPr>
                <w:rStyle w:val="Bold"/>
                <w:rFonts w:ascii="Calibri" w:hAnsi="Calibri"/>
                <w:color w:val="auto"/>
              </w:rPr>
              <w:t xml:space="preserve">The Honourable </w:t>
            </w:r>
            <w:r w:rsidR="002675BC">
              <w:rPr>
                <w:rStyle w:val="Bold"/>
                <w:rFonts w:ascii="Calibri" w:hAnsi="Calibri"/>
                <w:color w:val="auto"/>
              </w:rPr>
              <w:t xml:space="preserve">Michael Gunner </w:t>
            </w:r>
            <w:r w:rsidRPr="001B3F2B">
              <w:rPr>
                <w:rStyle w:val="Bold"/>
                <w:rFonts w:ascii="Calibri" w:hAnsi="Calibri"/>
                <w:color w:val="auto"/>
              </w:rPr>
              <w:t>MLA</w:t>
            </w:r>
          </w:p>
          <w:p w14:paraId="56258485" w14:textId="77777777" w:rsidR="00432464" w:rsidRPr="00FC5F92" w:rsidRDefault="001B3F2B" w:rsidP="00726A94">
            <w:pPr>
              <w:pStyle w:val="Position"/>
              <w:rPr>
                <w:rFonts w:ascii="Calibri" w:hAnsi="Calibri"/>
                <w:bCs/>
                <w:color w:val="auto"/>
                <w:lang w:val="en-GB"/>
              </w:rPr>
            </w:pPr>
            <w:r w:rsidRPr="001B3F2B">
              <w:rPr>
                <w:rFonts w:ascii="Calibri" w:hAnsi="Calibri"/>
                <w:color w:val="auto"/>
                <w:lang w:val="en-GB"/>
              </w:rPr>
              <w:t xml:space="preserve">Chief Minister </w:t>
            </w:r>
            <w:r w:rsidR="002675BC">
              <w:rPr>
                <w:rFonts w:ascii="Calibri" w:hAnsi="Calibri"/>
                <w:color w:val="auto"/>
                <w:lang w:val="en-GB"/>
              </w:rPr>
              <w:t>of</w:t>
            </w:r>
            <w:r w:rsidRPr="001B3F2B">
              <w:rPr>
                <w:rFonts w:ascii="Calibri" w:hAnsi="Calibri"/>
                <w:color w:val="auto"/>
                <w:lang w:val="en-GB"/>
              </w:rPr>
              <w:t xml:space="preserve"> the </w:t>
            </w:r>
            <w:r>
              <w:rPr>
                <w:rFonts w:ascii="Calibri" w:hAnsi="Calibri"/>
                <w:color w:val="auto"/>
                <w:lang w:val="en-GB"/>
              </w:rPr>
              <w:t>Northern Territory</w:t>
            </w:r>
          </w:p>
          <w:p w14:paraId="56258486" w14:textId="77777777" w:rsidR="00432464" w:rsidRPr="00FC5F92" w:rsidRDefault="00432464" w:rsidP="00EE5A67">
            <w:pPr>
              <w:pStyle w:val="SingleParagraph"/>
              <w:tabs>
                <w:tab w:val="left" w:pos="3120"/>
              </w:tabs>
              <w:spacing w:after="240"/>
              <w:ind w:left="1134" w:hanging="567"/>
              <w:rPr>
                <w:rFonts w:ascii="Calibri" w:hAnsi="Calibri"/>
                <w:color w:val="auto"/>
                <w:lang w:val="en-GB"/>
              </w:rPr>
            </w:pPr>
            <w:r w:rsidRPr="00FC5F92">
              <w:rPr>
                <w:rFonts w:ascii="Calibri" w:hAnsi="Calibri"/>
                <w:color w:val="auto"/>
                <w:lang w:val="en-GB"/>
              </w:rPr>
              <w:t>Date</w:t>
            </w:r>
            <w:r w:rsidR="00EE5A67">
              <w:rPr>
                <w:rFonts w:ascii="Calibri" w:hAnsi="Calibri"/>
                <w:color w:val="auto"/>
                <w:lang w:val="en-GB"/>
              </w:rPr>
              <w:tab/>
            </w:r>
            <w:r w:rsidR="00EE5A67">
              <w:rPr>
                <w:rFonts w:ascii="Calibri" w:hAnsi="Calibri"/>
                <w:color w:val="auto"/>
                <w:lang w:val="en-GB"/>
              </w:rPr>
              <w:tab/>
            </w:r>
          </w:p>
        </w:tc>
      </w:tr>
    </w:tbl>
    <w:p w14:paraId="56258488" w14:textId="77777777" w:rsidR="004F1FD3" w:rsidRPr="004F1FD3" w:rsidRDefault="004F1FD3" w:rsidP="005A253B">
      <w:pPr>
        <w:pStyle w:val="Normalnumbered"/>
        <w:pageBreakBefore/>
        <w:numPr>
          <w:ilvl w:val="0"/>
          <w:numId w:val="0"/>
        </w:numPr>
        <w:spacing w:after="0" w:line="240" w:lineRule="auto"/>
        <w:rPr>
          <w:rFonts w:asciiTheme="minorHAnsi" w:hAnsiTheme="minorHAnsi" w:cstheme="minorHAnsi"/>
          <w:sz w:val="24"/>
          <w:szCs w:val="24"/>
        </w:rPr>
      </w:pPr>
    </w:p>
    <w:sectPr w:rsidR="004F1FD3" w:rsidRPr="004F1FD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9A6DE" w14:textId="77777777" w:rsidR="00FD1557" w:rsidRDefault="00FD1557" w:rsidP="00CF73B6">
      <w:pPr>
        <w:spacing w:after="0" w:line="240" w:lineRule="auto"/>
      </w:pPr>
      <w:r>
        <w:separator/>
      </w:r>
    </w:p>
  </w:endnote>
  <w:endnote w:type="continuationSeparator" w:id="0">
    <w:p w14:paraId="68D42E96" w14:textId="77777777" w:rsidR="00FD1557" w:rsidRDefault="00FD1557" w:rsidP="00CF73B6">
      <w:pPr>
        <w:spacing w:after="0" w:line="240" w:lineRule="auto"/>
      </w:pPr>
      <w:r>
        <w:continuationSeparator/>
      </w:r>
    </w:p>
  </w:endnote>
  <w:endnote w:type="continuationNotice" w:id="1">
    <w:p w14:paraId="7CC4273C" w14:textId="77777777" w:rsidR="00FD1557" w:rsidRDefault="00FD15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958326432"/>
      <w:docPartObj>
        <w:docPartGallery w:val="Page Numbers (Bottom of Page)"/>
        <w:docPartUnique/>
      </w:docPartObj>
    </w:sdtPr>
    <w:sdtEndPr>
      <w:rPr>
        <w:noProof/>
      </w:rPr>
    </w:sdtEndPr>
    <w:sdtContent>
      <w:p w14:paraId="56258491" w14:textId="60C54364" w:rsidR="00726A94" w:rsidRPr="00EE5A67" w:rsidRDefault="00726A94" w:rsidP="00EE5A67">
        <w:pPr>
          <w:pStyle w:val="Footer"/>
          <w:jc w:val="right"/>
          <w:rPr>
            <w:rFonts w:asciiTheme="minorHAnsi" w:hAnsiTheme="minorHAnsi"/>
          </w:rPr>
        </w:pPr>
        <w:r w:rsidRPr="002F258D">
          <w:rPr>
            <w:rFonts w:asciiTheme="minorHAnsi" w:hAnsiTheme="minorHAnsi"/>
          </w:rPr>
          <w:t xml:space="preserve">Page </w:t>
        </w:r>
        <w:r w:rsidRPr="002F258D">
          <w:rPr>
            <w:rFonts w:asciiTheme="minorHAnsi" w:hAnsiTheme="minorHAnsi"/>
          </w:rPr>
          <w:fldChar w:fldCharType="begin"/>
        </w:r>
        <w:r w:rsidRPr="002F258D">
          <w:rPr>
            <w:rFonts w:asciiTheme="minorHAnsi" w:hAnsiTheme="minorHAnsi"/>
          </w:rPr>
          <w:instrText xml:space="preserve"> PAGE   \* MERGEFORMAT </w:instrText>
        </w:r>
        <w:r w:rsidRPr="002F258D">
          <w:rPr>
            <w:rFonts w:asciiTheme="minorHAnsi" w:hAnsiTheme="minorHAnsi"/>
          </w:rPr>
          <w:fldChar w:fldCharType="separate"/>
        </w:r>
        <w:r w:rsidR="00F53C7A">
          <w:rPr>
            <w:rFonts w:asciiTheme="minorHAnsi" w:hAnsiTheme="minorHAnsi"/>
            <w:noProof/>
          </w:rPr>
          <w:t>6</w:t>
        </w:r>
        <w:r w:rsidRPr="002F258D">
          <w:rPr>
            <w:rFonts w:asciiTheme="minorHAnsi" w:hAnsi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CD983" w14:textId="77777777" w:rsidR="00FD1557" w:rsidRDefault="00FD1557" w:rsidP="00CF73B6">
      <w:pPr>
        <w:spacing w:after="0" w:line="240" w:lineRule="auto"/>
      </w:pPr>
      <w:r>
        <w:separator/>
      </w:r>
    </w:p>
  </w:footnote>
  <w:footnote w:type="continuationSeparator" w:id="0">
    <w:p w14:paraId="2E074D15" w14:textId="77777777" w:rsidR="00FD1557" w:rsidRDefault="00FD1557" w:rsidP="00CF73B6">
      <w:pPr>
        <w:spacing w:after="0" w:line="240" w:lineRule="auto"/>
      </w:pPr>
      <w:r>
        <w:continuationSeparator/>
      </w:r>
    </w:p>
  </w:footnote>
  <w:footnote w:type="continuationNotice" w:id="1">
    <w:p w14:paraId="45FBD7B4" w14:textId="77777777" w:rsidR="00FD1557" w:rsidRDefault="00FD15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848F" w14:textId="77777777" w:rsidR="00726A94" w:rsidRPr="00E903EC" w:rsidRDefault="00726A94" w:rsidP="00726A94">
    <w:pPr>
      <w:keepNext/>
      <w:tabs>
        <w:tab w:val="num" w:pos="1134"/>
      </w:tabs>
      <w:spacing w:after="0"/>
      <w:jc w:val="center"/>
      <w:rPr>
        <w:rFonts w:eastAsia="Times New Roman" w:cs="Corbel"/>
        <w:color w:val="8DB3E2"/>
        <w:sz w:val="18"/>
        <w:szCs w:val="18"/>
        <w:lang w:eastAsia="en-AU"/>
      </w:rPr>
    </w:pPr>
    <w:r w:rsidRPr="00E903EC">
      <w:rPr>
        <w:rFonts w:eastAsia="Times New Roman" w:cs="Corbel"/>
        <w:color w:val="8DB3E2"/>
        <w:sz w:val="18"/>
        <w:szCs w:val="18"/>
        <w:lang w:eastAsia="en-AU"/>
      </w:rPr>
      <w:t>Intergovernmental Agreement on a National Framework for Responding to PFAS Contamination</w:t>
    </w:r>
  </w:p>
  <w:p w14:paraId="56258490" w14:textId="77777777" w:rsidR="00726A94" w:rsidRPr="00E903EC" w:rsidRDefault="00726A94" w:rsidP="00726A94">
    <w:pPr>
      <w:keepNext/>
      <w:spacing w:after="0"/>
      <w:rPr>
        <w:rFonts w:ascii="Corbel" w:eastAsia="Times New Roman" w:hAnsi="Corbel" w:cs="Corbel"/>
        <w:color w:val="3D4B67"/>
        <w:sz w:val="18"/>
        <w:szCs w:val="18"/>
        <w:lang w:eastAsia="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FF48" w14:textId="5800C3E7" w:rsidR="00711B8D" w:rsidRPr="00711B8D" w:rsidRDefault="00711B8D" w:rsidP="00711B8D">
    <w:pPr>
      <w:pStyle w:val="CoverTitleMain"/>
      <w:jc w:val="right"/>
      <w:outlineLvl w:val="0"/>
    </w:pPr>
    <w:r w:rsidRPr="00CF73B6">
      <w:rPr>
        <w:caps w:val="0"/>
        <w:color w:val="1F497D"/>
        <w:sz w:val="18"/>
        <w:szCs w:val="18"/>
      </w:rPr>
      <w:t>Intergovernmental Agreement on the Automatic Mutual Recognition of Occupational Registration</w:t>
    </w:r>
  </w:p>
  <w:p w14:paraId="56258493" w14:textId="77777777" w:rsidR="00726A94" w:rsidRPr="003B3FA1" w:rsidRDefault="00726A94" w:rsidP="005A253B">
    <w:pPr>
      <w:pStyle w:val="Footer"/>
      <w:rPr>
        <w:b/>
        <w:sz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8494" w14:textId="77777777" w:rsidR="00726A94" w:rsidRDefault="00726A94" w:rsidP="00EE5A67">
    <w:pPr>
      <w:pStyle w:val="CoverTitleMain"/>
      <w:jc w:val="right"/>
      <w:outlineLvl w:val="0"/>
    </w:pPr>
    <w:r w:rsidRPr="00CF73B6">
      <w:rPr>
        <w:caps w:val="0"/>
        <w:color w:val="1F497D"/>
        <w:sz w:val="18"/>
        <w:szCs w:val="18"/>
      </w:rPr>
      <w:t>Intergovernmental Agreement on the Automatic Mutual Recognition of Occupational Registration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AEC"/>
    <w:multiLevelType w:val="hybridMultilevel"/>
    <w:tmpl w:val="EF4844A8"/>
    <w:lvl w:ilvl="0" w:tplc="CC36ADC0">
      <w:start w:val="1"/>
      <w:numFmt w:val="bullet"/>
      <w:pStyle w:val="ListBullet2"/>
      <w:lvlText w:val="o"/>
      <w:lvlJc w:val="left"/>
      <w:pPr>
        <w:ind w:left="2770"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109C7372"/>
    <w:multiLevelType w:val="hybridMultilevel"/>
    <w:tmpl w:val="F2CC3502"/>
    <w:lvl w:ilvl="0" w:tplc="0C090019">
      <w:start w:val="1"/>
      <w:numFmt w:val="lowerLetter"/>
      <w:lvlText w:val="%1."/>
      <w:lvlJc w:val="left"/>
      <w:pPr>
        <w:ind w:left="720" w:hanging="360"/>
      </w:pPr>
      <w:rPr>
        <w:rFonts w:hint="default"/>
      </w:rPr>
    </w:lvl>
    <w:lvl w:ilvl="1" w:tplc="13B09620">
      <w:start w:val="1"/>
      <w:numFmt w:val="lowerRoman"/>
      <w:lvlText w:val="(%2)"/>
      <w:lvlJc w:val="right"/>
      <w:pPr>
        <w:ind w:left="1211" w:hanging="360"/>
      </w:pPr>
      <w:rPr>
        <w:rFonts w:ascii="Arial" w:eastAsiaTheme="minorHAnsi" w:hAnsi="Arial" w:cstheme="minorBidi"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A25721"/>
    <w:multiLevelType w:val="hybridMultilevel"/>
    <w:tmpl w:val="CE8C88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466BC5"/>
    <w:multiLevelType w:val="hybridMultilevel"/>
    <w:tmpl w:val="4E30DD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AD95C09"/>
    <w:multiLevelType w:val="hybridMultilevel"/>
    <w:tmpl w:val="21A896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BBB4575"/>
    <w:multiLevelType w:val="multilevel"/>
    <w:tmpl w:val="B9385130"/>
    <w:lvl w:ilvl="0">
      <w:start w:val="1"/>
      <w:numFmt w:val="decimal"/>
      <w:lvlText w:val="%1"/>
      <w:lvlJc w:val="left"/>
      <w:pPr>
        <w:ind w:left="360" w:hanging="360"/>
      </w:pPr>
      <w:rPr>
        <w:rFonts w:hint="default"/>
        <w:sz w:val="28"/>
      </w:rPr>
    </w:lvl>
    <w:lvl w:ilvl="1">
      <w:start w:val="1"/>
      <w:numFmt w:val="decimal"/>
      <w:lvlText w:val="%1.%2"/>
      <w:lvlJc w:val="left"/>
      <w:pPr>
        <w:tabs>
          <w:tab w:val="num" w:pos="340"/>
        </w:tabs>
        <w:ind w:left="34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AA12966"/>
    <w:multiLevelType w:val="multilevel"/>
    <w:tmpl w:val="57025F5C"/>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7" w15:restartNumberingAfterBreak="0">
    <w:nsid w:val="78854AAC"/>
    <w:multiLevelType w:val="hybridMultilevel"/>
    <w:tmpl w:val="1AFA679A"/>
    <w:lvl w:ilvl="0" w:tplc="FFFFFFFF">
      <w:start w:val="1"/>
      <w:numFmt w:val="decimal"/>
      <w:pStyle w:val="Normalnumbered"/>
      <w:lvlText w:val="%1."/>
      <w:lvlJc w:val="left"/>
      <w:pPr>
        <w:tabs>
          <w:tab w:val="num" w:pos="851"/>
        </w:tabs>
        <w:ind w:left="851" w:hanging="567"/>
      </w:pPr>
      <w:rPr>
        <w:rFonts w:cs="Times New Roman" w:hint="default"/>
      </w:rPr>
    </w:lvl>
    <w:lvl w:ilvl="1" w:tplc="0A76ADDC">
      <w:start w:val="1"/>
      <w:numFmt w:val="lowerLetter"/>
      <w:lvlText w:val="%2)"/>
      <w:lvlJc w:val="left"/>
      <w:pPr>
        <w:tabs>
          <w:tab w:val="num" w:pos="1440"/>
        </w:tabs>
        <w:ind w:left="1440" w:hanging="360"/>
      </w:pPr>
      <w:rPr>
        <w:i w:val="0"/>
      </w:rPr>
    </w:lvl>
    <w:lvl w:ilvl="2" w:tplc="C3D2FB00">
      <w:start w:val="1"/>
      <w:numFmt w:val="lowerRoman"/>
      <w:lvlText w:val="%3."/>
      <w:lvlJc w:val="left"/>
      <w:pPr>
        <w:tabs>
          <w:tab w:val="num" w:pos="2160"/>
        </w:tabs>
        <w:ind w:left="2160" w:hanging="180"/>
      </w:pPr>
      <w:rPr>
        <w:rFonts w:ascii="Corbel" w:eastAsia="Times New Roman" w:hAnsi="Corbel" w:cs="Corbel"/>
      </w:rPr>
    </w:lvl>
    <w:lvl w:ilvl="3" w:tplc="65445262">
      <w:start w:val="1"/>
      <w:numFmt w:val="decimal"/>
      <w:lvlText w:val="%4."/>
      <w:lvlJc w:val="right"/>
      <w:pPr>
        <w:tabs>
          <w:tab w:val="num" w:pos="2880"/>
        </w:tabs>
        <w:ind w:left="2880" w:hanging="360"/>
      </w:pPr>
      <w:rPr>
        <w:rFonts w:ascii="Corbel" w:eastAsia="Times New Roman" w:hAnsi="Corbel" w:cs="Corbel"/>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7A8107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4"/>
  </w:num>
  <w:num w:numId="4">
    <w:abstractNumId w:val="2"/>
  </w:num>
  <w:num w:numId="5">
    <w:abstractNumId w:val="6"/>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B6"/>
    <w:rsid w:val="000357BB"/>
    <w:rsid w:val="000424E7"/>
    <w:rsid w:val="00094BCD"/>
    <w:rsid w:val="000A5909"/>
    <w:rsid w:val="000C1DD9"/>
    <w:rsid w:val="00107E5E"/>
    <w:rsid w:val="00144DF5"/>
    <w:rsid w:val="00194EA0"/>
    <w:rsid w:val="00194F8F"/>
    <w:rsid w:val="001B3F2B"/>
    <w:rsid w:val="001C54B1"/>
    <w:rsid w:val="00225D40"/>
    <w:rsid w:val="00262E0F"/>
    <w:rsid w:val="002675BC"/>
    <w:rsid w:val="00287F20"/>
    <w:rsid w:val="00290F48"/>
    <w:rsid w:val="002F258D"/>
    <w:rsid w:val="002F7774"/>
    <w:rsid w:val="00302FDD"/>
    <w:rsid w:val="0030589D"/>
    <w:rsid w:val="003A233B"/>
    <w:rsid w:val="003B3FA1"/>
    <w:rsid w:val="004016B7"/>
    <w:rsid w:val="004044AB"/>
    <w:rsid w:val="00414FC5"/>
    <w:rsid w:val="0042512B"/>
    <w:rsid w:val="00432464"/>
    <w:rsid w:val="00437396"/>
    <w:rsid w:val="004E4ED5"/>
    <w:rsid w:val="004F1FD3"/>
    <w:rsid w:val="00526790"/>
    <w:rsid w:val="0053591A"/>
    <w:rsid w:val="005A253B"/>
    <w:rsid w:val="005D4641"/>
    <w:rsid w:val="00637804"/>
    <w:rsid w:val="00650341"/>
    <w:rsid w:val="00674D54"/>
    <w:rsid w:val="006927F6"/>
    <w:rsid w:val="006F4841"/>
    <w:rsid w:val="006F74EE"/>
    <w:rsid w:val="0070653E"/>
    <w:rsid w:val="00711B8D"/>
    <w:rsid w:val="00722806"/>
    <w:rsid w:val="00726A94"/>
    <w:rsid w:val="0075310F"/>
    <w:rsid w:val="00777711"/>
    <w:rsid w:val="007C15CF"/>
    <w:rsid w:val="007F389C"/>
    <w:rsid w:val="0080778C"/>
    <w:rsid w:val="00831E87"/>
    <w:rsid w:val="00841E49"/>
    <w:rsid w:val="008573F9"/>
    <w:rsid w:val="008B50C8"/>
    <w:rsid w:val="008E416F"/>
    <w:rsid w:val="00927737"/>
    <w:rsid w:val="00957291"/>
    <w:rsid w:val="00965066"/>
    <w:rsid w:val="009C5556"/>
    <w:rsid w:val="009D413F"/>
    <w:rsid w:val="009E4515"/>
    <w:rsid w:val="00A31B41"/>
    <w:rsid w:val="00A42020"/>
    <w:rsid w:val="00A766A3"/>
    <w:rsid w:val="00AE18FA"/>
    <w:rsid w:val="00AF0AAF"/>
    <w:rsid w:val="00AF1C77"/>
    <w:rsid w:val="00B021E6"/>
    <w:rsid w:val="00B07E13"/>
    <w:rsid w:val="00B3496B"/>
    <w:rsid w:val="00BC1C86"/>
    <w:rsid w:val="00BD62A9"/>
    <w:rsid w:val="00C6484A"/>
    <w:rsid w:val="00C9748D"/>
    <w:rsid w:val="00CA6594"/>
    <w:rsid w:val="00CF73B6"/>
    <w:rsid w:val="00D02B4C"/>
    <w:rsid w:val="00D224F3"/>
    <w:rsid w:val="00D67FB7"/>
    <w:rsid w:val="00D76A62"/>
    <w:rsid w:val="00D8035C"/>
    <w:rsid w:val="00D978C1"/>
    <w:rsid w:val="00DA12C6"/>
    <w:rsid w:val="00DC17EF"/>
    <w:rsid w:val="00E14363"/>
    <w:rsid w:val="00E80DBB"/>
    <w:rsid w:val="00EA08B6"/>
    <w:rsid w:val="00EE1D1B"/>
    <w:rsid w:val="00EE434B"/>
    <w:rsid w:val="00EE5A67"/>
    <w:rsid w:val="00EF5A89"/>
    <w:rsid w:val="00F53C7A"/>
    <w:rsid w:val="00F85604"/>
    <w:rsid w:val="00F867CC"/>
    <w:rsid w:val="00F91336"/>
    <w:rsid w:val="00F92130"/>
    <w:rsid w:val="00FD1557"/>
    <w:rsid w:val="00FE0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583DB"/>
  <w15:chartTrackingRefBased/>
  <w15:docId w15:val="{B8D5A6CC-9C56-4D63-8B27-AA150CFC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98"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2F258D"/>
    <w:pPr>
      <w:spacing w:after="200" w:line="276" w:lineRule="auto"/>
    </w:pPr>
    <w:rPr>
      <w:rFonts w:ascii="Arial" w:hAnsi="Arial"/>
    </w:rPr>
  </w:style>
  <w:style w:type="paragraph" w:styleId="Heading1">
    <w:name w:val="heading 1"/>
    <w:aliases w:val="Heading 1 Cab"/>
    <w:basedOn w:val="Normal"/>
    <w:next w:val="Normal"/>
    <w:link w:val="Heading1Char"/>
    <w:uiPriority w:val="4"/>
    <w:qFormat/>
    <w:rsid w:val="00CF73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Cab"/>
    <w:next w:val="Normal"/>
    <w:link w:val="Heading2Char"/>
    <w:uiPriority w:val="4"/>
    <w:rsid w:val="00CF73B6"/>
    <w:pPr>
      <w:keepNext/>
      <w:keepLines/>
      <w:spacing w:before="200" w:after="0" w:line="240" w:lineRule="auto"/>
      <w:outlineLvl w:val="1"/>
    </w:pPr>
    <w:rPr>
      <w:rFonts w:ascii="Arial" w:eastAsiaTheme="majorEastAsia" w:hAnsi="Arial"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ab Char"/>
    <w:basedOn w:val="DefaultParagraphFont"/>
    <w:link w:val="Heading2"/>
    <w:uiPriority w:val="4"/>
    <w:rsid w:val="00CF73B6"/>
    <w:rPr>
      <w:rFonts w:ascii="Arial" w:eastAsiaTheme="majorEastAsia" w:hAnsi="Arial" w:cstheme="majorBidi"/>
      <w:b/>
      <w:bCs/>
      <w:sz w:val="24"/>
      <w:szCs w:val="32"/>
    </w:rPr>
  </w:style>
  <w:style w:type="paragraph" w:styleId="ListParagraph">
    <w:name w:val="List Paragraph"/>
    <w:aliases w:val="CAB - List Bullet,List Bullet Cab"/>
    <w:basedOn w:val="BodyText"/>
    <w:uiPriority w:val="34"/>
    <w:qFormat/>
    <w:rsid w:val="00CF73B6"/>
    <w:pPr>
      <w:tabs>
        <w:tab w:val="left" w:pos="851"/>
      </w:tabs>
      <w:spacing w:after="0" w:line="240" w:lineRule="auto"/>
      <w:ind w:left="851" w:hanging="284"/>
      <w:contextualSpacing/>
    </w:pPr>
  </w:style>
  <w:style w:type="paragraph" w:styleId="BodyText">
    <w:name w:val="Body Text"/>
    <w:basedOn w:val="Normal"/>
    <w:link w:val="BodyTextChar"/>
    <w:uiPriority w:val="99"/>
    <w:semiHidden/>
    <w:unhideWhenUsed/>
    <w:rsid w:val="00CF73B6"/>
    <w:pPr>
      <w:spacing w:after="120"/>
    </w:pPr>
  </w:style>
  <w:style w:type="character" w:customStyle="1" w:styleId="BodyTextChar">
    <w:name w:val="Body Text Char"/>
    <w:basedOn w:val="DefaultParagraphFont"/>
    <w:link w:val="BodyText"/>
    <w:rsid w:val="00CF73B6"/>
    <w:rPr>
      <w:rFonts w:ascii="Arial" w:hAnsi="Arial"/>
    </w:rPr>
  </w:style>
  <w:style w:type="paragraph" w:styleId="Subtitle">
    <w:name w:val="Subtitle"/>
    <w:basedOn w:val="Heading1"/>
    <w:next w:val="Normal"/>
    <w:link w:val="SubtitleChar"/>
    <w:uiPriority w:val="23"/>
    <w:qFormat/>
    <w:rsid w:val="00CF73B6"/>
    <w:pPr>
      <w:keepNext w:val="0"/>
      <w:keepLines w:val="0"/>
      <w:widowControl w:val="0"/>
      <w:spacing w:before="120" w:line="240" w:lineRule="auto"/>
      <w:contextualSpacing/>
    </w:pPr>
    <w:rPr>
      <w:rFonts w:ascii="Calibri" w:eastAsiaTheme="minorHAnsi" w:hAnsi="Calibri" w:cstheme="minorBidi"/>
      <w:b/>
      <w:bCs/>
      <w:color w:val="ACB9CA" w:themeColor="text2" w:themeTint="66"/>
      <w:spacing w:val="5"/>
      <w:kern w:val="28"/>
      <w:sz w:val="24"/>
      <w:szCs w:val="56"/>
    </w:rPr>
  </w:style>
  <w:style w:type="character" w:customStyle="1" w:styleId="SubtitleChar">
    <w:name w:val="Subtitle Char"/>
    <w:basedOn w:val="DefaultParagraphFont"/>
    <w:link w:val="Subtitle"/>
    <w:uiPriority w:val="23"/>
    <w:rsid w:val="00CF73B6"/>
    <w:rPr>
      <w:rFonts w:ascii="Calibri" w:hAnsi="Calibri"/>
      <w:b/>
      <w:bCs/>
      <w:color w:val="ACB9CA" w:themeColor="text2" w:themeTint="66"/>
      <w:spacing w:val="5"/>
      <w:kern w:val="28"/>
      <w:sz w:val="24"/>
      <w:szCs w:val="56"/>
    </w:rPr>
  </w:style>
  <w:style w:type="paragraph" w:customStyle="1" w:styleId="CoverTitleMain">
    <w:name w:val="Cover Title Main"/>
    <w:basedOn w:val="Normal"/>
    <w:next w:val="Normal"/>
    <w:uiPriority w:val="99"/>
    <w:rsid w:val="00CF73B6"/>
    <w:pPr>
      <w:keepNext/>
      <w:spacing w:after="0" w:line="240" w:lineRule="auto"/>
      <w:jc w:val="center"/>
    </w:pPr>
    <w:rPr>
      <w:rFonts w:ascii="Calibri" w:eastAsia="Times New Roman" w:hAnsi="Calibri" w:cs="Consolas"/>
      <w:caps/>
      <w:sz w:val="56"/>
      <w:szCs w:val="84"/>
      <w:lang w:eastAsia="en-AU"/>
    </w:rPr>
  </w:style>
  <w:style w:type="character" w:customStyle="1" w:styleId="Heading1Char">
    <w:name w:val="Heading 1 Char"/>
    <w:aliases w:val="Heading 1 Cab Char"/>
    <w:basedOn w:val="DefaultParagraphFont"/>
    <w:link w:val="Heading1"/>
    <w:uiPriority w:val="9"/>
    <w:rsid w:val="00CF73B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F7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3B6"/>
    <w:rPr>
      <w:rFonts w:ascii="Arial" w:hAnsi="Arial"/>
    </w:rPr>
  </w:style>
  <w:style w:type="paragraph" w:styleId="Footer">
    <w:name w:val="footer"/>
    <w:basedOn w:val="Normal"/>
    <w:link w:val="FooterChar"/>
    <w:uiPriority w:val="99"/>
    <w:unhideWhenUsed/>
    <w:rsid w:val="00CF7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3B6"/>
    <w:rPr>
      <w:rFonts w:ascii="Arial" w:hAnsi="Arial"/>
    </w:rPr>
  </w:style>
  <w:style w:type="paragraph" w:styleId="ListBullet">
    <w:name w:val="List Bullet"/>
    <w:basedOn w:val="Normal"/>
    <w:uiPriority w:val="99"/>
    <w:qFormat/>
    <w:rsid w:val="00CF73B6"/>
    <w:pPr>
      <w:numPr>
        <w:numId w:val="5"/>
      </w:numPr>
      <w:spacing w:before="120" w:after="120" w:line="240" w:lineRule="auto"/>
    </w:pPr>
    <w:rPr>
      <w:rFonts w:ascii="Calibri" w:hAnsi="Calibri" w:cs="Calibri"/>
    </w:rPr>
  </w:style>
  <w:style w:type="paragraph" w:styleId="ListBullet2">
    <w:name w:val="List Bullet 2"/>
    <w:basedOn w:val="Normal"/>
    <w:uiPriority w:val="8"/>
    <w:qFormat/>
    <w:rsid w:val="00CF73B6"/>
    <w:pPr>
      <w:numPr>
        <w:numId w:val="6"/>
      </w:numPr>
      <w:spacing w:before="120" w:after="120" w:line="240" w:lineRule="auto"/>
      <w:ind w:left="2912"/>
      <w:contextualSpacing/>
    </w:pPr>
    <w:rPr>
      <w:rFonts w:ascii="Calibri" w:hAnsi="Calibri" w:cs="Calibri"/>
    </w:rPr>
  </w:style>
  <w:style w:type="numbering" w:customStyle="1" w:styleId="List1">
    <w:name w:val="List1"/>
    <w:basedOn w:val="NoList"/>
    <w:uiPriority w:val="99"/>
    <w:rsid w:val="00CF73B6"/>
    <w:pPr>
      <w:numPr>
        <w:numId w:val="5"/>
      </w:numPr>
    </w:pPr>
  </w:style>
  <w:style w:type="paragraph" w:styleId="ListBullet3">
    <w:name w:val="List Bullet 3"/>
    <w:basedOn w:val="Normal"/>
    <w:uiPriority w:val="99"/>
    <w:semiHidden/>
    <w:rsid w:val="00CF73B6"/>
    <w:pPr>
      <w:numPr>
        <w:ilvl w:val="2"/>
        <w:numId w:val="5"/>
      </w:numPr>
      <w:spacing w:before="120" w:after="120" w:line="240" w:lineRule="auto"/>
      <w:contextualSpacing/>
    </w:pPr>
    <w:rPr>
      <w:rFonts w:ascii="Calibri" w:hAnsi="Calibri" w:cs="Calibri"/>
    </w:rPr>
  </w:style>
  <w:style w:type="paragraph" w:customStyle="1" w:styleId="Normalnumbered">
    <w:name w:val="Normal numbered"/>
    <w:basedOn w:val="Normal"/>
    <w:link w:val="NormalnumberedChar"/>
    <w:rsid w:val="00CF73B6"/>
    <w:pPr>
      <w:numPr>
        <w:numId w:val="7"/>
      </w:numPr>
      <w:spacing w:after="240" w:line="260" w:lineRule="exact"/>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CF73B6"/>
    <w:rPr>
      <w:rFonts w:ascii="Calibri" w:eastAsia="Times New Roman" w:hAnsi="Calibri" w:cs="Corbel"/>
      <w:sz w:val="23"/>
      <w:szCs w:val="23"/>
      <w:lang w:eastAsia="en-AU"/>
    </w:rPr>
  </w:style>
  <w:style w:type="paragraph" w:customStyle="1" w:styleId="SingleParagraph">
    <w:name w:val="Single Paragraph"/>
    <w:basedOn w:val="Normal"/>
    <w:rsid w:val="00CF73B6"/>
    <w:pPr>
      <w:spacing w:after="0" w:line="260" w:lineRule="exact"/>
      <w:jc w:val="both"/>
    </w:pPr>
    <w:rPr>
      <w:rFonts w:ascii="Corbel" w:eastAsia="Times New Roman" w:hAnsi="Corbel" w:cs="Corbel"/>
      <w:color w:val="000000"/>
      <w:sz w:val="23"/>
      <w:szCs w:val="23"/>
      <w:lang w:eastAsia="en-AU"/>
    </w:rPr>
  </w:style>
  <w:style w:type="character" w:customStyle="1" w:styleId="Bold">
    <w:name w:val="Bold"/>
    <w:rsid w:val="00CF73B6"/>
    <w:rPr>
      <w:rFonts w:cs="Times New Roman"/>
      <w:b/>
      <w:bCs/>
    </w:rPr>
  </w:style>
  <w:style w:type="paragraph" w:customStyle="1" w:styleId="Signed">
    <w:name w:val="Signed"/>
    <w:basedOn w:val="Normal"/>
    <w:rsid w:val="00CF73B6"/>
    <w:pPr>
      <w:spacing w:after="120" w:line="240" w:lineRule="auto"/>
      <w:jc w:val="both"/>
    </w:pPr>
    <w:rPr>
      <w:rFonts w:ascii="Book Antiqua" w:eastAsia="Times New Roman" w:hAnsi="Book Antiqua" w:cs="Book Antiqua"/>
      <w:i/>
      <w:iCs/>
      <w:color w:val="000000"/>
      <w:lang w:eastAsia="en-AU"/>
    </w:rPr>
  </w:style>
  <w:style w:type="paragraph" w:customStyle="1" w:styleId="Position">
    <w:name w:val="Position"/>
    <w:basedOn w:val="Normal"/>
    <w:rsid w:val="00CF73B6"/>
    <w:pPr>
      <w:spacing w:after="120" w:line="260" w:lineRule="exact"/>
      <w:jc w:val="both"/>
    </w:pPr>
    <w:rPr>
      <w:rFonts w:ascii="Corbel" w:eastAsia="Times New Roman" w:hAnsi="Corbel" w:cs="Corbel"/>
      <w:color w:val="000000"/>
      <w:sz w:val="20"/>
      <w:szCs w:val="20"/>
      <w:lang w:eastAsia="en-AU"/>
    </w:rPr>
  </w:style>
  <w:style w:type="character" w:customStyle="1" w:styleId="SignedBold">
    <w:name w:val="SignedBold"/>
    <w:rsid w:val="00CF73B6"/>
    <w:rPr>
      <w:rFonts w:cs="Times New Roman"/>
      <w:b/>
      <w:bCs/>
      <w:i/>
      <w:iCs/>
    </w:rPr>
  </w:style>
  <w:style w:type="paragraph" w:customStyle="1" w:styleId="LineForSignature">
    <w:name w:val="LineForSignature"/>
    <w:basedOn w:val="Normal"/>
    <w:rsid w:val="00CF73B6"/>
    <w:pPr>
      <w:tabs>
        <w:tab w:val="left" w:leader="underscore" w:pos="3686"/>
      </w:tabs>
      <w:spacing w:before="360" w:after="60" w:line="260" w:lineRule="exact"/>
      <w:jc w:val="both"/>
    </w:pPr>
    <w:rPr>
      <w:rFonts w:ascii="Book Antiqua" w:eastAsia="Times New Roman" w:hAnsi="Book Antiqua" w:cs="Book Antiqua"/>
      <w:color w:val="C0C0C0"/>
      <w:sz w:val="23"/>
      <w:szCs w:val="23"/>
      <w:lang w:val="en-GB" w:eastAsia="en-AU"/>
    </w:rPr>
  </w:style>
  <w:style w:type="character" w:styleId="CommentReference">
    <w:name w:val="annotation reference"/>
    <w:basedOn w:val="DefaultParagraphFont"/>
    <w:uiPriority w:val="99"/>
    <w:semiHidden/>
    <w:unhideWhenUsed/>
    <w:rsid w:val="00432464"/>
    <w:rPr>
      <w:sz w:val="16"/>
      <w:szCs w:val="16"/>
    </w:rPr>
  </w:style>
  <w:style w:type="paragraph" w:styleId="CommentText">
    <w:name w:val="annotation text"/>
    <w:basedOn w:val="Normal"/>
    <w:link w:val="CommentTextChar"/>
    <w:uiPriority w:val="99"/>
    <w:semiHidden/>
    <w:unhideWhenUsed/>
    <w:rsid w:val="00432464"/>
    <w:pPr>
      <w:spacing w:line="240" w:lineRule="auto"/>
    </w:pPr>
    <w:rPr>
      <w:sz w:val="20"/>
      <w:szCs w:val="20"/>
    </w:rPr>
  </w:style>
  <w:style w:type="character" w:customStyle="1" w:styleId="CommentTextChar">
    <w:name w:val="Comment Text Char"/>
    <w:basedOn w:val="DefaultParagraphFont"/>
    <w:link w:val="CommentText"/>
    <w:uiPriority w:val="99"/>
    <w:semiHidden/>
    <w:rsid w:val="004324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32464"/>
    <w:rPr>
      <w:b/>
      <w:bCs/>
    </w:rPr>
  </w:style>
  <w:style w:type="character" w:customStyle="1" w:styleId="CommentSubjectChar">
    <w:name w:val="Comment Subject Char"/>
    <w:basedOn w:val="CommentTextChar"/>
    <w:link w:val="CommentSubject"/>
    <w:uiPriority w:val="99"/>
    <w:semiHidden/>
    <w:rsid w:val="00432464"/>
    <w:rPr>
      <w:rFonts w:ascii="Arial" w:hAnsi="Arial"/>
      <w:b/>
      <w:bCs/>
      <w:sz w:val="20"/>
      <w:szCs w:val="20"/>
    </w:rPr>
  </w:style>
  <w:style w:type="paragraph" w:styleId="BalloonText">
    <w:name w:val="Balloon Text"/>
    <w:basedOn w:val="Normal"/>
    <w:link w:val="BalloonTextChar"/>
    <w:uiPriority w:val="99"/>
    <w:semiHidden/>
    <w:unhideWhenUsed/>
    <w:rsid w:val="00432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64"/>
    <w:rPr>
      <w:rFonts w:ascii="Segoe UI" w:hAnsi="Segoe UI" w:cs="Segoe UI"/>
      <w:sz w:val="18"/>
      <w:szCs w:val="18"/>
    </w:rPr>
  </w:style>
  <w:style w:type="table" w:styleId="TableGrid">
    <w:name w:val="Table Grid"/>
    <w:basedOn w:val="TableNormal"/>
    <w:uiPriority w:val="39"/>
    <w:rsid w:val="00287F20"/>
    <w:pPr>
      <w:spacing w:after="0" w:line="240" w:lineRule="auto"/>
    </w:pPr>
    <w:rPr>
      <w:sz w:val="20"/>
    </w:rPr>
    <w:tblPr>
      <w:tblBorders>
        <w:insideH w:val="single" w:sz="4" w:space="0" w:color="ED7D31" w:themeColor="accent2"/>
        <w:insideV w:val="single" w:sz="4" w:space="0" w:color="ED7D31" w:themeColor="accent2"/>
      </w:tblBorders>
    </w:tblPr>
    <w:tblStylePr w:type="firstRow">
      <w:tblPr/>
      <w:tcPr>
        <w:shd w:val="clear" w:color="auto" w:fill="FBE4D5" w:themeFill="accent2" w:themeFillTint="33"/>
      </w:tcPr>
    </w:tblStylePr>
  </w:style>
  <w:style w:type="paragraph" w:customStyle="1" w:styleId="CAB-NumberedParagraph">
    <w:name w:val="CAB - Numbered Paragraph"/>
    <w:basedOn w:val="Normal"/>
    <w:uiPriority w:val="98"/>
    <w:rsid w:val="00F867CC"/>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9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29559339-6fae-4c8d-a52e-39358f80fc2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29559339-6fae-4c8d-a52e-39358f80fc22">DOC20-355343</ShareHubID>
    <TaxCatchAll xmlns="29559339-6fae-4c8d-a52e-39358f80fc22">
      <Value>1</Value>
    </TaxCatchAll>
    <jd1c641577414dfdab1686c9d5d0dbd0 xmlns="29559339-6fae-4c8d-a52e-39358f80fc22">
      <Terms xmlns="http://schemas.microsoft.com/office/infopath/2007/PartnerControls"/>
    </jd1c641577414dfdab1686c9d5d0dbd0>
    <NonRecordJustification xmlns="685f9fda-bd71-4433-b331-92feb9553089">None</NonRecordJustification>
    <PMCNotes xmlns="29559339-6fae-4c8d-a52e-39358f80fc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AA15703245C265488904245A6DD0C967" ma:contentTypeVersion="4" ma:contentTypeDescription="ShareHub Document" ma:contentTypeScope="" ma:versionID="1aed077b9d4761c85d603567d4329709">
  <xsd:schema xmlns:xsd="http://www.w3.org/2001/XMLSchema" xmlns:xs="http://www.w3.org/2001/XMLSchema" xmlns:p="http://schemas.microsoft.com/office/2006/metadata/properties" xmlns:ns1="29559339-6fae-4c8d-a52e-39358f80fc22" xmlns:ns3="685f9fda-bd71-4433-b331-92feb9553089" targetNamespace="http://schemas.microsoft.com/office/2006/metadata/properties" ma:root="true" ma:fieldsID="1e12ac62edd50e0d60b0f94c491efceb" ns1:_="" ns3:_="">
    <xsd:import namespace="29559339-6fae-4c8d-a52e-39358f80fc22"/>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59339-6fae-4c8d-a52e-39358f80fc22"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2c9114a-3370-4650-a26e-a075b8d75003}" ma:internalName="TaxCatchAll" ma:showField="CatchAllData" ma:web="29559339-6fae-4c8d-a52e-39358f80fc2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2c9114a-3370-4650-a26e-a075b8d75003}" ma:internalName="TaxCatchAllLabel" ma:readOnly="true" ma:showField="CatchAllDataLabel" ma:web="29559339-6fae-4c8d-a52e-39358f80fc22">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5152-F9BC-458B-8B3E-D96B960E6A44}">
  <ds:schemaRefs>
    <ds:schemaRef ds:uri="http://schemas.microsoft.com/sharepoint/v3/contenttype/forms"/>
  </ds:schemaRefs>
</ds:datastoreItem>
</file>

<file path=customXml/itemProps2.xml><?xml version="1.0" encoding="utf-8"?>
<ds:datastoreItem xmlns:ds="http://schemas.openxmlformats.org/officeDocument/2006/customXml" ds:itemID="{5F025967-89EC-4328-B48C-6996E934619B}">
  <ds:schemaRefs>
    <ds:schemaRef ds:uri="http://schemas.microsoft.com/office/2006/metadata/properties"/>
    <ds:schemaRef ds:uri="http://schemas.microsoft.com/office/infopath/2007/PartnerControls"/>
    <ds:schemaRef ds:uri="29559339-6fae-4c8d-a52e-39358f80fc22"/>
    <ds:schemaRef ds:uri="685f9fda-bd71-4433-b331-92feb9553089"/>
  </ds:schemaRefs>
</ds:datastoreItem>
</file>

<file path=customXml/itemProps3.xml><?xml version="1.0" encoding="utf-8"?>
<ds:datastoreItem xmlns:ds="http://schemas.openxmlformats.org/officeDocument/2006/customXml" ds:itemID="{5D087D5A-FB9A-4FE2-8C76-80EE58D6F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59339-6fae-4c8d-a52e-39358f80fc22"/>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CAE16E-28E1-4193-91E7-44040C1D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Dixie</dc:creator>
  <cp:keywords/>
  <dc:description/>
  <cp:lastModifiedBy>Lim, Dixie</cp:lastModifiedBy>
  <cp:revision>2</cp:revision>
  <dcterms:created xsi:type="dcterms:W3CDTF">2020-12-16T05:32:00Z</dcterms:created>
  <dcterms:modified xsi:type="dcterms:W3CDTF">2020-12-16T05:32:00Z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0x0101002825A64A6E1845A99A9D8EE8A5686ECB00AA15703245C265488904245A6DD0C967</vt:lpwstr>
  </property>
  <property fmtid="{D5CDD505-2E9C-101B-9397-08002B2CF9AE}" pid="3" name="HPRMSecurityLevel">
    <vt:lpwstr>1;#OFFICIAL|11463c70-78df-4e3b-b0ff-f66cd3cb26ec</vt:lpwstr>
  </property>
  <property fmtid="{D5CDD505-2E9C-101B-9397-08002B2CF9AE}" pid="4" name="HPRMSecurityCaveat">
    <vt:lpwstr/>
  </property>
</Properties>
</file>