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93" w:rsidRPr="00A43A93" w:rsidRDefault="00A43A93" w:rsidP="00A43A93">
      <w:pPr>
        <w:pStyle w:val="Heading1"/>
        <w:pBdr>
          <w:bottom w:val="single" w:sz="4" w:space="1" w:color="auto"/>
        </w:pBdr>
        <w:rPr>
          <w:rFonts w:ascii="Corbel" w:hAnsi="Corbel" w:cs="Calibri"/>
          <w:b w:val="0"/>
          <w:sz w:val="24"/>
          <w:szCs w:val="24"/>
        </w:rPr>
      </w:pPr>
      <w:bookmarkStart w:id="0" w:name="_GoBack"/>
      <w:bookmarkEnd w:id="0"/>
      <w:r w:rsidRPr="00A43A93">
        <w:rPr>
          <w:rFonts w:ascii="Corbel" w:hAnsi="Corbel" w:cs="Calibri"/>
          <w:b w:val="0"/>
          <w:sz w:val="24"/>
          <w:szCs w:val="24"/>
        </w:rPr>
        <w:t xml:space="preserve">APPENDIX </w:t>
      </w:r>
      <w:r>
        <w:rPr>
          <w:rFonts w:ascii="Corbel" w:hAnsi="Corbel" w:cs="Calibri"/>
          <w:b w:val="0"/>
          <w:sz w:val="24"/>
          <w:szCs w:val="24"/>
          <w:lang w:val="en-US"/>
        </w:rPr>
        <w:t>F</w:t>
      </w:r>
      <w:r w:rsidRPr="00A43A93">
        <w:rPr>
          <w:rFonts w:ascii="Corbel" w:hAnsi="Corbel" w:cs="Calibri"/>
          <w:b w:val="0"/>
          <w:sz w:val="24"/>
          <w:szCs w:val="24"/>
        </w:rPr>
        <w:t xml:space="preserve"> – </w:t>
      </w:r>
      <w:r>
        <w:rPr>
          <w:rFonts w:ascii="Corbel" w:hAnsi="Corbel" w:cs="Calibri"/>
          <w:b w:val="0"/>
          <w:sz w:val="24"/>
          <w:szCs w:val="24"/>
        </w:rPr>
        <w:t>NDIS LAUNCH TRANSITION AGENCY WORKFORCE ARRANGEMENTS - BARWON LAUNCH SITE</w:t>
      </w:r>
    </w:p>
    <w:p w:rsidR="00945CF2" w:rsidRDefault="00945CF2" w:rsidP="00BE79B0">
      <w:pPr>
        <w:rPr>
          <w:b/>
        </w:rPr>
      </w:pPr>
    </w:p>
    <w:p w:rsidR="00945CF2" w:rsidRDefault="00945CF2" w:rsidP="00BE79B0">
      <w:pPr>
        <w:rPr>
          <w:b/>
        </w:rPr>
      </w:pPr>
    </w:p>
    <w:p w:rsidR="00945CF2" w:rsidRDefault="00945CF2" w:rsidP="00BE79B0">
      <w:pPr>
        <w:rPr>
          <w:b/>
        </w:rPr>
      </w:pPr>
    </w:p>
    <w:p w:rsidR="00945CF2" w:rsidRDefault="00945CF2" w:rsidP="00BE79B0">
      <w:pPr>
        <w:rPr>
          <w:b/>
        </w:rPr>
      </w:pPr>
    </w:p>
    <w:p w:rsidR="00945CF2" w:rsidRDefault="00945CF2" w:rsidP="00BE79B0">
      <w:pPr>
        <w:rPr>
          <w:b/>
        </w:rPr>
      </w:pPr>
    </w:p>
    <w:p w:rsidR="00945CF2" w:rsidRDefault="00945CF2" w:rsidP="00BE79B0">
      <w:pPr>
        <w:rPr>
          <w:b/>
        </w:rPr>
      </w:pPr>
    </w:p>
    <w:p w:rsidR="00945CF2" w:rsidRDefault="00945CF2" w:rsidP="00BE79B0">
      <w:pPr>
        <w:rPr>
          <w:b/>
        </w:rPr>
      </w:pPr>
    </w:p>
    <w:p w:rsidR="00945CF2" w:rsidRPr="007F4EB2" w:rsidRDefault="00945CF2" w:rsidP="007F4EB2">
      <w:pPr>
        <w:jc w:val="center"/>
        <w:rPr>
          <w:sz w:val="52"/>
          <w:szCs w:val="52"/>
        </w:rPr>
      </w:pPr>
      <w:r w:rsidRPr="007F4EB2">
        <w:rPr>
          <w:sz w:val="52"/>
          <w:szCs w:val="52"/>
        </w:rPr>
        <w:t>NDIS Launch Transition Agency Workforce Arrangements</w:t>
      </w:r>
    </w:p>
    <w:p w:rsidR="00945CF2" w:rsidRPr="007F4EB2" w:rsidRDefault="00945CF2" w:rsidP="007F4EB2">
      <w:pPr>
        <w:jc w:val="center"/>
        <w:rPr>
          <w:sz w:val="52"/>
          <w:szCs w:val="52"/>
        </w:rPr>
      </w:pPr>
    </w:p>
    <w:p w:rsidR="00945CF2" w:rsidRPr="007F4EB2" w:rsidRDefault="00945CF2" w:rsidP="007F4EB2">
      <w:pPr>
        <w:jc w:val="center"/>
        <w:rPr>
          <w:sz w:val="52"/>
          <w:szCs w:val="52"/>
        </w:rPr>
      </w:pPr>
      <w:r w:rsidRPr="007F4EB2">
        <w:rPr>
          <w:sz w:val="52"/>
          <w:szCs w:val="52"/>
        </w:rPr>
        <w:t>Barwon Launch site</w:t>
      </w:r>
    </w:p>
    <w:p w:rsidR="00945CF2" w:rsidRDefault="00945CF2" w:rsidP="00BE79B0"/>
    <w:p w:rsidR="00945CF2" w:rsidRPr="002A3EDA" w:rsidRDefault="00945CF2" w:rsidP="00E97EC2">
      <w:pPr>
        <w:spacing w:before="480" w:after="0"/>
        <w:contextualSpacing/>
        <w:jc w:val="center"/>
        <w:outlineLvl w:val="0"/>
        <w:rPr>
          <w:b/>
          <w:bCs/>
          <w:spacing w:val="5"/>
          <w:sz w:val="32"/>
          <w:szCs w:val="28"/>
        </w:rPr>
      </w:pPr>
    </w:p>
    <w:p w:rsidR="00945CF2" w:rsidRPr="002A3EDA" w:rsidRDefault="00945CF2" w:rsidP="00E97EC2"/>
    <w:p w:rsidR="00945CF2" w:rsidRPr="002A3EDA" w:rsidRDefault="00945CF2" w:rsidP="00E97EC2"/>
    <w:p w:rsidR="00945CF2" w:rsidRPr="002A3EDA" w:rsidRDefault="00945CF2" w:rsidP="00E97EC2"/>
    <w:p w:rsidR="00945CF2" w:rsidRDefault="00945CF2" w:rsidP="00BE79B0"/>
    <w:p w:rsidR="00945CF2" w:rsidRDefault="00945CF2">
      <w:pPr>
        <w:rPr>
          <w:b/>
        </w:rPr>
      </w:pPr>
      <w:r>
        <w:rPr>
          <w:b/>
        </w:rPr>
        <w:br w:type="page"/>
      </w:r>
      <w:r>
        <w:rPr>
          <w:b/>
        </w:rPr>
        <w:lastRenderedPageBreak/>
        <w:t xml:space="preserve">Table of Contents </w:t>
      </w:r>
    </w:p>
    <w:p w:rsidR="00945CF2" w:rsidRDefault="0015307B">
      <w:pPr>
        <w:pStyle w:val="TOC1"/>
        <w:tabs>
          <w:tab w:val="left" w:pos="440"/>
          <w:tab w:val="right" w:leader="dot" w:pos="9016"/>
        </w:tabs>
        <w:rPr>
          <w:rFonts w:ascii="Calibri" w:hAnsi="Calibri"/>
          <w:noProof/>
          <w:lang w:eastAsia="en-AU"/>
        </w:rPr>
      </w:pPr>
      <w:r>
        <w:rPr>
          <w:b/>
        </w:rPr>
        <w:fldChar w:fldCharType="begin"/>
      </w:r>
      <w:r w:rsidR="00945CF2">
        <w:rPr>
          <w:b/>
        </w:rPr>
        <w:instrText xml:space="preserve"> TOC \o "1-3" \h \z \u </w:instrText>
      </w:r>
      <w:r>
        <w:rPr>
          <w:b/>
        </w:rPr>
        <w:fldChar w:fldCharType="separate"/>
      </w:r>
      <w:hyperlink w:anchor="_Toc349579494" w:history="1">
        <w:r w:rsidR="00945CF2" w:rsidRPr="00DE67E0">
          <w:rPr>
            <w:rStyle w:val="Hyperlink"/>
            <w:noProof/>
          </w:rPr>
          <w:t>1</w:t>
        </w:r>
        <w:r w:rsidR="00945CF2">
          <w:rPr>
            <w:rFonts w:ascii="Calibri" w:hAnsi="Calibri"/>
            <w:noProof/>
            <w:lang w:eastAsia="en-AU"/>
          </w:rPr>
          <w:tab/>
        </w:r>
        <w:r w:rsidR="00945CF2" w:rsidRPr="00DE67E0">
          <w:rPr>
            <w:rStyle w:val="Hyperlink"/>
            <w:noProof/>
          </w:rPr>
          <w:t>Introduction</w:t>
        </w:r>
        <w:r w:rsidR="00945CF2">
          <w:rPr>
            <w:noProof/>
            <w:webHidden/>
          </w:rPr>
          <w:tab/>
        </w:r>
        <w:r>
          <w:rPr>
            <w:noProof/>
            <w:webHidden/>
          </w:rPr>
          <w:fldChar w:fldCharType="begin"/>
        </w:r>
        <w:r w:rsidR="00945CF2">
          <w:rPr>
            <w:noProof/>
            <w:webHidden/>
          </w:rPr>
          <w:instrText xml:space="preserve"> PAGEREF _Toc349579494 \h </w:instrText>
        </w:r>
        <w:r>
          <w:rPr>
            <w:noProof/>
            <w:webHidden/>
          </w:rPr>
        </w:r>
        <w:r>
          <w:rPr>
            <w:noProof/>
            <w:webHidden/>
          </w:rPr>
          <w:fldChar w:fldCharType="separate"/>
        </w:r>
        <w:r w:rsidR="00945CF2">
          <w:rPr>
            <w:noProof/>
            <w:webHidden/>
          </w:rPr>
          <w:t>3</w:t>
        </w:r>
        <w:r>
          <w:rPr>
            <w:noProof/>
            <w:webHidden/>
          </w:rPr>
          <w:fldChar w:fldCharType="end"/>
        </w:r>
      </w:hyperlink>
    </w:p>
    <w:p w:rsidR="00945CF2" w:rsidRDefault="00650918">
      <w:pPr>
        <w:pStyle w:val="TOC1"/>
        <w:tabs>
          <w:tab w:val="left" w:pos="440"/>
          <w:tab w:val="right" w:leader="dot" w:pos="9016"/>
        </w:tabs>
        <w:rPr>
          <w:rFonts w:ascii="Calibri" w:hAnsi="Calibri"/>
          <w:noProof/>
          <w:lang w:eastAsia="en-AU"/>
        </w:rPr>
      </w:pPr>
      <w:hyperlink w:anchor="_Toc349579495" w:history="1">
        <w:r w:rsidR="00945CF2" w:rsidRPr="00DE67E0">
          <w:rPr>
            <w:rStyle w:val="Hyperlink"/>
            <w:noProof/>
          </w:rPr>
          <w:t>2</w:t>
        </w:r>
        <w:r w:rsidR="00945CF2">
          <w:rPr>
            <w:rFonts w:ascii="Calibri" w:hAnsi="Calibri"/>
            <w:noProof/>
            <w:lang w:eastAsia="en-AU"/>
          </w:rPr>
          <w:tab/>
        </w:r>
        <w:r w:rsidR="00945CF2" w:rsidRPr="00DE67E0">
          <w:rPr>
            <w:rStyle w:val="Hyperlink"/>
            <w:noProof/>
          </w:rPr>
          <w:t>Background</w:t>
        </w:r>
        <w:r w:rsidR="00945CF2">
          <w:rPr>
            <w:noProof/>
            <w:webHidden/>
          </w:rPr>
          <w:tab/>
        </w:r>
        <w:r w:rsidR="0015307B">
          <w:rPr>
            <w:noProof/>
            <w:webHidden/>
          </w:rPr>
          <w:fldChar w:fldCharType="begin"/>
        </w:r>
        <w:r w:rsidR="00945CF2">
          <w:rPr>
            <w:noProof/>
            <w:webHidden/>
          </w:rPr>
          <w:instrText xml:space="preserve"> PAGEREF _Toc349579495 \h </w:instrText>
        </w:r>
        <w:r w:rsidR="0015307B">
          <w:rPr>
            <w:noProof/>
            <w:webHidden/>
          </w:rPr>
        </w:r>
        <w:r w:rsidR="0015307B">
          <w:rPr>
            <w:noProof/>
            <w:webHidden/>
          </w:rPr>
          <w:fldChar w:fldCharType="separate"/>
        </w:r>
        <w:r w:rsidR="00945CF2">
          <w:rPr>
            <w:noProof/>
            <w:webHidden/>
          </w:rPr>
          <w:t>3</w:t>
        </w:r>
        <w:r w:rsidR="0015307B">
          <w:rPr>
            <w:noProof/>
            <w:webHidden/>
          </w:rPr>
          <w:fldChar w:fldCharType="end"/>
        </w:r>
      </w:hyperlink>
    </w:p>
    <w:p w:rsidR="00945CF2" w:rsidRDefault="00650918">
      <w:pPr>
        <w:pStyle w:val="TOC1"/>
        <w:tabs>
          <w:tab w:val="left" w:pos="440"/>
          <w:tab w:val="right" w:leader="dot" w:pos="9016"/>
        </w:tabs>
        <w:rPr>
          <w:rFonts w:ascii="Calibri" w:hAnsi="Calibri"/>
          <w:noProof/>
          <w:lang w:eastAsia="en-AU"/>
        </w:rPr>
      </w:pPr>
      <w:hyperlink w:anchor="_Toc349579496" w:history="1">
        <w:r w:rsidR="00945CF2" w:rsidRPr="00DE67E0">
          <w:rPr>
            <w:rStyle w:val="Hyperlink"/>
            <w:noProof/>
          </w:rPr>
          <w:t>3</w:t>
        </w:r>
        <w:r w:rsidR="00945CF2">
          <w:rPr>
            <w:rFonts w:ascii="Calibri" w:hAnsi="Calibri"/>
            <w:noProof/>
            <w:lang w:eastAsia="en-AU"/>
          </w:rPr>
          <w:tab/>
        </w:r>
        <w:r w:rsidR="00945CF2" w:rsidRPr="00DE67E0">
          <w:rPr>
            <w:rStyle w:val="Hyperlink"/>
            <w:noProof/>
          </w:rPr>
          <w:t>Objectives of the Arrangements</w:t>
        </w:r>
        <w:r w:rsidR="00945CF2">
          <w:rPr>
            <w:noProof/>
            <w:webHidden/>
          </w:rPr>
          <w:tab/>
        </w:r>
        <w:r w:rsidR="0015307B">
          <w:rPr>
            <w:noProof/>
            <w:webHidden/>
          </w:rPr>
          <w:fldChar w:fldCharType="begin"/>
        </w:r>
        <w:r w:rsidR="00945CF2">
          <w:rPr>
            <w:noProof/>
            <w:webHidden/>
          </w:rPr>
          <w:instrText xml:space="preserve"> PAGEREF _Toc349579496 \h </w:instrText>
        </w:r>
        <w:r w:rsidR="0015307B">
          <w:rPr>
            <w:noProof/>
            <w:webHidden/>
          </w:rPr>
        </w:r>
        <w:r w:rsidR="0015307B">
          <w:rPr>
            <w:noProof/>
            <w:webHidden/>
          </w:rPr>
          <w:fldChar w:fldCharType="separate"/>
        </w:r>
        <w:r w:rsidR="00945CF2">
          <w:rPr>
            <w:noProof/>
            <w:webHidden/>
          </w:rPr>
          <w:t>3</w:t>
        </w:r>
        <w:r w:rsidR="0015307B">
          <w:rPr>
            <w:noProof/>
            <w:webHidden/>
          </w:rPr>
          <w:fldChar w:fldCharType="end"/>
        </w:r>
      </w:hyperlink>
    </w:p>
    <w:p w:rsidR="00945CF2" w:rsidRDefault="00650918">
      <w:pPr>
        <w:pStyle w:val="TOC1"/>
        <w:tabs>
          <w:tab w:val="left" w:pos="440"/>
          <w:tab w:val="right" w:leader="dot" w:pos="9016"/>
        </w:tabs>
        <w:rPr>
          <w:rFonts w:ascii="Calibri" w:hAnsi="Calibri"/>
          <w:noProof/>
          <w:lang w:eastAsia="en-AU"/>
        </w:rPr>
      </w:pPr>
      <w:hyperlink w:anchor="_Toc349579497" w:history="1">
        <w:r w:rsidR="00945CF2" w:rsidRPr="00DE67E0">
          <w:rPr>
            <w:rStyle w:val="Hyperlink"/>
            <w:noProof/>
          </w:rPr>
          <w:t>4</w:t>
        </w:r>
        <w:r w:rsidR="00945CF2">
          <w:rPr>
            <w:rFonts w:ascii="Calibri" w:hAnsi="Calibri"/>
            <w:noProof/>
            <w:lang w:eastAsia="en-AU"/>
          </w:rPr>
          <w:tab/>
        </w:r>
        <w:r w:rsidR="00945CF2" w:rsidRPr="00DE67E0">
          <w:rPr>
            <w:rStyle w:val="Hyperlink"/>
            <w:noProof/>
          </w:rPr>
          <w:t>Nature of Employment</w:t>
        </w:r>
        <w:r w:rsidR="00945CF2">
          <w:rPr>
            <w:noProof/>
            <w:webHidden/>
          </w:rPr>
          <w:tab/>
        </w:r>
        <w:r w:rsidR="0015307B">
          <w:rPr>
            <w:noProof/>
            <w:webHidden/>
          </w:rPr>
          <w:fldChar w:fldCharType="begin"/>
        </w:r>
        <w:r w:rsidR="00945CF2">
          <w:rPr>
            <w:noProof/>
            <w:webHidden/>
          </w:rPr>
          <w:instrText xml:space="preserve"> PAGEREF _Toc349579497 \h </w:instrText>
        </w:r>
        <w:r w:rsidR="0015307B">
          <w:rPr>
            <w:noProof/>
            <w:webHidden/>
          </w:rPr>
        </w:r>
        <w:r w:rsidR="0015307B">
          <w:rPr>
            <w:noProof/>
            <w:webHidden/>
          </w:rPr>
          <w:fldChar w:fldCharType="separate"/>
        </w:r>
        <w:r w:rsidR="00945CF2">
          <w:rPr>
            <w:noProof/>
            <w:webHidden/>
          </w:rPr>
          <w:t>4</w:t>
        </w:r>
        <w:r w:rsidR="0015307B">
          <w:rPr>
            <w:noProof/>
            <w:webHidden/>
          </w:rPr>
          <w:fldChar w:fldCharType="end"/>
        </w:r>
      </w:hyperlink>
    </w:p>
    <w:p w:rsidR="00945CF2" w:rsidRDefault="00650918">
      <w:pPr>
        <w:pStyle w:val="TOC2"/>
        <w:rPr>
          <w:rFonts w:ascii="Calibri" w:hAnsi="Calibri"/>
          <w:noProof/>
          <w:lang w:eastAsia="en-AU"/>
        </w:rPr>
      </w:pPr>
      <w:hyperlink w:anchor="_Toc349579498" w:history="1">
        <w:r w:rsidR="00945CF2" w:rsidRPr="00DE67E0">
          <w:rPr>
            <w:rStyle w:val="Hyperlink"/>
            <w:noProof/>
          </w:rPr>
          <w:t>4.1</w:t>
        </w:r>
        <w:r w:rsidR="00945CF2">
          <w:rPr>
            <w:rFonts w:ascii="Calibri" w:hAnsi="Calibri"/>
            <w:noProof/>
            <w:lang w:eastAsia="en-AU"/>
          </w:rPr>
          <w:tab/>
        </w:r>
        <w:r w:rsidR="00945CF2" w:rsidRPr="00DE67E0">
          <w:rPr>
            <w:rStyle w:val="Hyperlink"/>
            <w:noProof/>
          </w:rPr>
          <w:t>Non-ongoing appointments</w:t>
        </w:r>
        <w:r w:rsidR="00945CF2">
          <w:rPr>
            <w:noProof/>
            <w:webHidden/>
          </w:rPr>
          <w:tab/>
        </w:r>
        <w:r w:rsidR="0015307B">
          <w:rPr>
            <w:noProof/>
            <w:webHidden/>
          </w:rPr>
          <w:fldChar w:fldCharType="begin"/>
        </w:r>
        <w:r w:rsidR="00945CF2">
          <w:rPr>
            <w:noProof/>
            <w:webHidden/>
          </w:rPr>
          <w:instrText xml:space="preserve"> PAGEREF _Toc349579498 \h </w:instrText>
        </w:r>
        <w:r w:rsidR="0015307B">
          <w:rPr>
            <w:noProof/>
            <w:webHidden/>
          </w:rPr>
        </w:r>
        <w:r w:rsidR="0015307B">
          <w:rPr>
            <w:noProof/>
            <w:webHidden/>
          </w:rPr>
          <w:fldChar w:fldCharType="separate"/>
        </w:r>
        <w:r w:rsidR="00945CF2">
          <w:rPr>
            <w:noProof/>
            <w:webHidden/>
          </w:rPr>
          <w:t>4</w:t>
        </w:r>
        <w:r w:rsidR="0015307B">
          <w:rPr>
            <w:noProof/>
            <w:webHidden/>
          </w:rPr>
          <w:fldChar w:fldCharType="end"/>
        </w:r>
      </w:hyperlink>
    </w:p>
    <w:p w:rsidR="00945CF2" w:rsidRDefault="00650918">
      <w:pPr>
        <w:pStyle w:val="TOC2"/>
        <w:rPr>
          <w:rFonts w:ascii="Calibri" w:hAnsi="Calibri"/>
          <w:noProof/>
          <w:lang w:eastAsia="en-AU"/>
        </w:rPr>
      </w:pPr>
      <w:hyperlink w:anchor="_Toc349579499" w:history="1">
        <w:r w:rsidR="00945CF2" w:rsidRPr="00DE67E0">
          <w:rPr>
            <w:rStyle w:val="Hyperlink"/>
            <w:noProof/>
          </w:rPr>
          <w:t>4.2</w:t>
        </w:r>
        <w:r w:rsidR="00945CF2">
          <w:rPr>
            <w:rFonts w:ascii="Calibri" w:hAnsi="Calibri"/>
            <w:noProof/>
            <w:lang w:eastAsia="en-AU"/>
          </w:rPr>
          <w:tab/>
        </w:r>
        <w:r w:rsidR="00945CF2" w:rsidRPr="00DE67E0">
          <w:rPr>
            <w:rStyle w:val="Hyperlink"/>
            <w:noProof/>
          </w:rPr>
          <w:t>Ongoing Appointments</w:t>
        </w:r>
        <w:r w:rsidR="00945CF2">
          <w:rPr>
            <w:noProof/>
            <w:webHidden/>
          </w:rPr>
          <w:tab/>
        </w:r>
        <w:r w:rsidR="0015307B">
          <w:rPr>
            <w:noProof/>
            <w:webHidden/>
          </w:rPr>
          <w:fldChar w:fldCharType="begin"/>
        </w:r>
        <w:r w:rsidR="00945CF2">
          <w:rPr>
            <w:noProof/>
            <w:webHidden/>
          </w:rPr>
          <w:instrText xml:space="preserve"> PAGEREF _Toc349579499 \h </w:instrText>
        </w:r>
        <w:r w:rsidR="0015307B">
          <w:rPr>
            <w:noProof/>
            <w:webHidden/>
          </w:rPr>
        </w:r>
        <w:r w:rsidR="0015307B">
          <w:rPr>
            <w:noProof/>
            <w:webHidden/>
          </w:rPr>
          <w:fldChar w:fldCharType="separate"/>
        </w:r>
        <w:r w:rsidR="00945CF2">
          <w:rPr>
            <w:noProof/>
            <w:webHidden/>
          </w:rPr>
          <w:t>5</w:t>
        </w:r>
        <w:r w:rsidR="0015307B">
          <w:rPr>
            <w:noProof/>
            <w:webHidden/>
          </w:rPr>
          <w:fldChar w:fldCharType="end"/>
        </w:r>
      </w:hyperlink>
    </w:p>
    <w:p w:rsidR="00945CF2" w:rsidRDefault="00650918">
      <w:pPr>
        <w:pStyle w:val="TOC1"/>
        <w:tabs>
          <w:tab w:val="left" w:pos="440"/>
          <w:tab w:val="right" w:leader="dot" w:pos="9016"/>
        </w:tabs>
        <w:rPr>
          <w:rFonts w:ascii="Calibri" w:hAnsi="Calibri"/>
          <w:noProof/>
          <w:lang w:eastAsia="en-AU"/>
        </w:rPr>
      </w:pPr>
      <w:hyperlink w:anchor="_Toc349579500" w:history="1">
        <w:r w:rsidR="00945CF2" w:rsidRPr="00DE67E0">
          <w:rPr>
            <w:rStyle w:val="Hyperlink"/>
            <w:noProof/>
          </w:rPr>
          <w:t>5</w:t>
        </w:r>
        <w:r w:rsidR="00945CF2">
          <w:rPr>
            <w:rFonts w:ascii="Calibri" w:hAnsi="Calibri"/>
            <w:noProof/>
            <w:lang w:eastAsia="en-AU"/>
          </w:rPr>
          <w:tab/>
        </w:r>
        <w:r w:rsidR="00945CF2" w:rsidRPr="00DE67E0">
          <w:rPr>
            <w:rStyle w:val="Hyperlink"/>
            <w:noProof/>
          </w:rPr>
          <w:t>Terms of Employment</w:t>
        </w:r>
        <w:r w:rsidR="00945CF2">
          <w:rPr>
            <w:noProof/>
            <w:webHidden/>
          </w:rPr>
          <w:tab/>
        </w:r>
        <w:r w:rsidR="0015307B">
          <w:rPr>
            <w:noProof/>
            <w:webHidden/>
          </w:rPr>
          <w:fldChar w:fldCharType="begin"/>
        </w:r>
        <w:r w:rsidR="00945CF2">
          <w:rPr>
            <w:noProof/>
            <w:webHidden/>
          </w:rPr>
          <w:instrText xml:space="preserve"> PAGEREF _Toc349579500 \h </w:instrText>
        </w:r>
        <w:r w:rsidR="0015307B">
          <w:rPr>
            <w:noProof/>
            <w:webHidden/>
          </w:rPr>
        </w:r>
        <w:r w:rsidR="0015307B">
          <w:rPr>
            <w:noProof/>
            <w:webHidden/>
          </w:rPr>
          <w:fldChar w:fldCharType="separate"/>
        </w:r>
        <w:r w:rsidR="00945CF2">
          <w:rPr>
            <w:noProof/>
            <w:webHidden/>
          </w:rPr>
          <w:t>5</w:t>
        </w:r>
        <w:r w:rsidR="0015307B">
          <w:rPr>
            <w:noProof/>
            <w:webHidden/>
          </w:rPr>
          <w:fldChar w:fldCharType="end"/>
        </w:r>
      </w:hyperlink>
    </w:p>
    <w:p w:rsidR="00945CF2" w:rsidRDefault="00650918">
      <w:pPr>
        <w:pStyle w:val="TOC1"/>
        <w:tabs>
          <w:tab w:val="left" w:pos="440"/>
          <w:tab w:val="right" w:leader="dot" w:pos="9016"/>
        </w:tabs>
        <w:rPr>
          <w:rFonts w:ascii="Calibri" w:hAnsi="Calibri"/>
          <w:noProof/>
          <w:lang w:eastAsia="en-AU"/>
        </w:rPr>
      </w:pPr>
      <w:hyperlink w:anchor="_Toc349579501" w:history="1">
        <w:r w:rsidR="00945CF2" w:rsidRPr="00DE67E0">
          <w:rPr>
            <w:rStyle w:val="Hyperlink"/>
            <w:noProof/>
          </w:rPr>
          <w:t>6</w:t>
        </w:r>
        <w:r w:rsidR="00945CF2">
          <w:rPr>
            <w:rFonts w:ascii="Calibri" w:hAnsi="Calibri"/>
            <w:noProof/>
            <w:lang w:eastAsia="en-AU"/>
          </w:rPr>
          <w:tab/>
        </w:r>
        <w:r w:rsidR="00945CF2" w:rsidRPr="00DE67E0">
          <w:rPr>
            <w:rStyle w:val="Hyperlink"/>
            <w:noProof/>
          </w:rPr>
          <w:t>Training</w:t>
        </w:r>
        <w:r w:rsidR="00945CF2">
          <w:rPr>
            <w:noProof/>
            <w:webHidden/>
          </w:rPr>
          <w:tab/>
        </w:r>
        <w:r w:rsidR="0015307B">
          <w:rPr>
            <w:noProof/>
            <w:webHidden/>
          </w:rPr>
          <w:fldChar w:fldCharType="begin"/>
        </w:r>
        <w:r w:rsidR="00945CF2">
          <w:rPr>
            <w:noProof/>
            <w:webHidden/>
          </w:rPr>
          <w:instrText xml:space="preserve"> PAGEREF _Toc349579501 \h </w:instrText>
        </w:r>
        <w:r w:rsidR="0015307B">
          <w:rPr>
            <w:noProof/>
            <w:webHidden/>
          </w:rPr>
        </w:r>
        <w:r w:rsidR="0015307B">
          <w:rPr>
            <w:noProof/>
            <w:webHidden/>
          </w:rPr>
          <w:fldChar w:fldCharType="separate"/>
        </w:r>
        <w:r w:rsidR="00945CF2">
          <w:rPr>
            <w:noProof/>
            <w:webHidden/>
          </w:rPr>
          <w:t>6</w:t>
        </w:r>
        <w:r w:rsidR="0015307B">
          <w:rPr>
            <w:noProof/>
            <w:webHidden/>
          </w:rPr>
          <w:fldChar w:fldCharType="end"/>
        </w:r>
      </w:hyperlink>
    </w:p>
    <w:p w:rsidR="00945CF2" w:rsidRDefault="00650918">
      <w:pPr>
        <w:pStyle w:val="TOC1"/>
        <w:tabs>
          <w:tab w:val="left" w:pos="440"/>
          <w:tab w:val="right" w:leader="dot" w:pos="9016"/>
        </w:tabs>
        <w:rPr>
          <w:rFonts w:ascii="Calibri" w:hAnsi="Calibri"/>
          <w:noProof/>
          <w:lang w:eastAsia="en-AU"/>
        </w:rPr>
      </w:pPr>
      <w:hyperlink w:anchor="_Toc349579502" w:history="1">
        <w:r w:rsidR="00945CF2" w:rsidRPr="00DE67E0">
          <w:rPr>
            <w:rStyle w:val="Hyperlink"/>
            <w:noProof/>
          </w:rPr>
          <w:t>7</w:t>
        </w:r>
        <w:r w:rsidR="00945CF2">
          <w:rPr>
            <w:rFonts w:ascii="Calibri" w:hAnsi="Calibri"/>
            <w:noProof/>
            <w:lang w:eastAsia="en-AU"/>
          </w:rPr>
          <w:tab/>
        </w:r>
        <w:r w:rsidR="00945CF2" w:rsidRPr="00DE67E0">
          <w:rPr>
            <w:rStyle w:val="Hyperlink"/>
            <w:noProof/>
          </w:rPr>
          <w:t>Entitlements</w:t>
        </w:r>
        <w:r w:rsidR="00945CF2">
          <w:rPr>
            <w:noProof/>
            <w:webHidden/>
          </w:rPr>
          <w:tab/>
        </w:r>
        <w:r w:rsidR="0015307B">
          <w:rPr>
            <w:noProof/>
            <w:webHidden/>
          </w:rPr>
          <w:fldChar w:fldCharType="begin"/>
        </w:r>
        <w:r w:rsidR="00945CF2">
          <w:rPr>
            <w:noProof/>
            <w:webHidden/>
          </w:rPr>
          <w:instrText xml:space="preserve"> PAGEREF _Toc349579502 \h </w:instrText>
        </w:r>
        <w:r w:rsidR="0015307B">
          <w:rPr>
            <w:noProof/>
            <w:webHidden/>
          </w:rPr>
        </w:r>
        <w:r w:rsidR="0015307B">
          <w:rPr>
            <w:noProof/>
            <w:webHidden/>
          </w:rPr>
          <w:fldChar w:fldCharType="separate"/>
        </w:r>
        <w:r w:rsidR="00945CF2">
          <w:rPr>
            <w:noProof/>
            <w:webHidden/>
          </w:rPr>
          <w:t>6</w:t>
        </w:r>
        <w:r w:rsidR="0015307B">
          <w:rPr>
            <w:noProof/>
            <w:webHidden/>
          </w:rPr>
          <w:fldChar w:fldCharType="end"/>
        </w:r>
      </w:hyperlink>
    </w:p>
    <w:p w:rsidR="00945CF2" w:rsidRDefault="00650918">
      <w:pPr>
        <w:pStyle w:val="TOC2"/>
        <w:rPr>
          <w:rFonts w:ascii="Calibri" w:hAnsi="Calibri"/>
          <w:noProof/>
          <w:lang w:eastAsia="en-AU"/>
        </w:rPr>
      </w:pPr>
      <w:hyperlink w:anchor="_Toc349579503" w:history="1">
        <w:r w:rsidR="00945CF2" w:rsidRPr="00DE67E0">
          <w:rPr>
            <w:rStyle w:val="Hyperlink"/>
            <w:noProof/>
          </w:rPr>
          <w:t>7.1</w:t>
        </w:r>
        <w:r w:rsidR="00945CF2">
          <w:rPr>
            <w:rFonts w:ascii="Calibri" w:hAnsi="Calibri"/>
            <w:noProof/>
            <w:lang w:eastAsia="en-AU"/>
          </w:rPr>
          <w:tab/>
        </w:r>
        <w:r w:rsidR="00945CF2" w:rsidRPr="00DE67E0">
          <w:rPr>
            <w:rStyle w:val="Hyperlink"/>
            <w:noProof/>
          </w:rPr>
          <w:t>Victorian state government public servants</w:t>
        </w:r>
        <w:r w:rsidR="00945CF2">
          <w:rPr>
            <w:noProof/>
            <w:webHidden/>
          </w:rPr>
          <w:tab/>
        </w:r>
        <w:r w:rsidR="0015307B">
          <w:rPr>
            <w:noProof/>
            <w:webHidden/>
          </w:rPr>
          <w:fldChar w:fldCharType="begin"/>
        </w:r>
        <w:r w:rsidR="00945CF2">
          <w:rPr>
            <w:noProof/>
            <w:webHidden/>
          </w:rPr>
          <w:instrText xml:space="preserve"> PAGEREF _Toc349579503 \h </w:instrText>
        </w:r>
        <w:r w:rsidR="0015307B">
          <w:rPr>
            <w:noProof/>
            <w:webHidden/>
          </w:rPr>
        </w:r>
        <w:r w:rsidR="0015307B">
          <w:rPr>
            <w:noProof/>
            <w:webHidden/>
          </w:rPr>
          <w:fldChar w:fldCharType="separate"/>
        </w:r>
        <w:r w:rsidR="00945CF2">
          <w:rPr>
            <w:noProof/>
            <w:webHidden/>
          </w:rPr>
          <w:t>6</w:t>
        </w:r>
        <w:r w:rsidR="0015307B">
          <w:rPr>
            <w:noProof/>
            <w:webHidden/>
          </w:rPr>
          <w:fldChar w:fldCharType="end"/>
        </w:r>
      </w:hyperlink>
    </w:p>
    <w:p w:rsidR="00945CF2" w:rsidRDefault="00650918">
      <w:pPr>
        <w:pStyle w:val="TOC2"/>
        <w:rPr>
          <w:rFonts w:ascii="Calibri" w:hAnsi="Calibri"/>
          <w:noProof/>
          <w:lang w:eastAsia="en-AU"/>
        </w:rPr>
      </w:pPr>
      <w:hyperlink w:anchor="_Toc349579504" w:history="1">
        <w:r w:rsidR="00945CF2" w:rsidRPr="00DE67E0">
          <w:rPr>
            <w:rStyle w:val="Hyperlink"/>
            <w:noProof/>
          </w:rPr>
          <w:t>7.2</w:t>
        </w:r>
        <w:r w:rsidR="00945CF2">
          <w:rPr>
            <w:rFonts w:ascii="Calibri" w:hAnsi="Calibri"/>
            <w:noProof/>
            <w:lang w:eastAsia="en-AU"/>
          </w:rPr>
          <w:tab/>
        </w:r>
        <w:r w:rsidR="00945CF2" w:rsidRPr="00DE67E0">
          <w:rPr>
            <w:rStyle w:val="Hyperlink"/>
            <w:noProof/>
          </w:rPr>
          <w:t>Superannuation</w:t>
        </w:r>
        <w:r w:rsidR="00945CF2">
          <w:rPr>
            <w:noProof/>
            <w:webHidden/>
          </w:rPr>
          <w:tab/>
        </w:r>
        <w:r w:rsidR="0015307B">
          <w:rPr>
            <w:noProof/>
            <w:webHidden/>
          </w:rPr>
          <w:fldChar w:fldCharType="begin"/>
        </w:r>
        <w:r w:rsidR="00945CF2">
          <w:rPr>
            <w:noProof/>
            <w:webHidden/>
          </w:rPr>
          <w:instrText xml:space="preserve"> PAGEREF _Toc349579504 \h </w:instrText>
        </w:r>
        <w:r w:rsidR="0015307B">
          <w:rPr>
            <w:noProof/>
            <w:webHidden/>
          </w:rPr>
        </w:r>
        <w:r w:rsidR="0015307B">
          <w:rPr>
            <w:noProof/>
            <w:webHidden/>
          </w:rPr>
          <w:fldChar w:fldCharType="separate"/>
        </w:r>
        <w:r w:rsidR="00945CF2">
          <w:rPr>
            <w:noProof/>
            <w:webHidden/>
          </w:rPr>
          <w:t>6</w:t>
        </w:r>
        <w:r w:rsidR="0015307B">
          <w:rPr>
            <w:noProof/>
            <w:webHidden/>
          </w:rPr>
          <w:fldChar w:fldCharType="end"/>
        </w:r>
      </w:hyperlink>
    </w:p>
    <w:p w:rsidR="00945CF2" w:rsidRDefault="00650918">
      <w:pPr>
        <w:pStyle w:val="TOC2"/>
        <w:rPr>
          <w:rFonts w:ascii="Calibri" w:hAnsi="Calibri"/>
          <w:noProof/>
          <w:lang w:eastAsia="en-AU"/>
        </w:rPr>
      </w:pPr>
      <w:hyperlink w:anchor="_Toc349579505" w:history="1">
        <w:r w:rsidR="00945CF2" w:rsidRPr="00DE67E0">
          <w:rPr>
            <w:rStyle w:val="Hyperlink"/>
            <w:noProof/>
          </w:rPr>
          <w:t>7.3</w:t>
        </w:r>
        <w:r w:rsidR="00945CF2">
          <w:rPr>
            <w:rFonts w:ascii="Calibri" w:hAnsi="Calibri"/>
            <w:noProof/>
            <w:lang w:eastAsia="en-AU"/>
          </w:rPr>
          <w:tab/>
        </w:r>
        <w:r w:rsidR="00945CF2" w:rsidRPr="00DE67E0">
          <w:rPr>
            <w:rStyle w:val="Hyperlink"/>
            <w:noProof/>
          </w:rPr>
          <w:t>Travel and other incidentals</w:t>
        </w:r>
        <w:r w:rsidR="00945CF2">
          <w:rPr>
            <w:noProof/>
            <w:webHidden/>
          </w:rPr>
          <w:tab/>
        </w:r>
        <w:r w:rsidR="0015307B">
          <w:rPr>
            <w:noProof/>
            <w:webHidden/>
          </w:rPr>
          <w:fldChar w:fldCharType="begin"/>
        </w:r>
        <w:r w:rsidR="00945CF2">
          <w:rPr>
            <w:noProof/>
            <w:webHidden/>
          </w:rPr>
          <w:instrText xml:space="preserve"> PAGEREF _Toc349579505 \h </w:instrText>
        </w:r>
        <w:r w:rsidR="0015307B">
          <w:rPr>
            <w:noProof/>
            <w:webHidden/>
          </w:rPr>
        </w:r>
        <w:r w:rsidR="0015307B">
          <w:rPr>
            <w:noProof/>
            <w:webHidden/>
          </w:rPr>
          <w:fldChar w:fldCharType="separate"/>
        </w:r>
        <w:r w:rsidR="00945CF2">
          <w:rPr>
            <w:noProof/>
            <w:webHidden/>
          </w:rPr>
          <w:t>6</w:t>
        </w:r>
        <w:r w:rsidR="0015307B">
          <w:rPr>
            <w:noProof/>
            <w:webHidden/>
          </w:rPr>
          <w:fldChar w:fldCharType="end"/>
        </w:r>
      </w:hyperlink>
    </w:p>
    <w:p w:rsidR="00945CF2" w:rsidRDefault="00650918">
      <w:pPr>
        <w:pStyle w:val="TOC1"/>
        <w:tabs>
          <w:tab w:val="left" w:pos="440"/>
          <w:tab w:val="right" w:leader="dot" w:pos="9016"/>
        </w:tabs>
        <w:rPr>
          <w:rFonts w:ascii="Calibri" w:hAnsi="Calibri"/>
          <w:noProof/>
          <w:lang w:eastAsia="en-AU"/>
        </w:rPr>
      </w:pPr>
      <w:hyperlink w:anchor="_Toc349579506" w:history="1">
        <w:r w:rsidR="00945CF2" w:rsidRPr="00DE67E0">
          <w:rPr>
            <w:rStyle w:val="Hyperlink"/>
            <w:noProof/>
          </w:rPr>
          <w:t>8</w:t>
        </w:r>
        <w:r w:rsidR="00945CF2">
          <w:rPr>
            <w:rFonts w:ascii="Calibri" w:hAnsi="Calibri"/>
            <w:noProof/>
            <w:lang w:eastAsia="en-AU"/>
          </w:rPr>
          <w:tab/>
        </w:r>
        <w:r w:rsidR="00945CF2" w:rsidRPr="00DE67E0">
          <w:rPr>
            <w:rStyle w:val="Hyperlink"/>
            <w:noProof/>
          </w:rPr>
          <w:t>Communications</w:t>
        </w:r>
        <w:r w:rsidR="00945CF2">
          <w:rPr>
            <w:noProof/>
            <w:webHidden/>
          </w:rPr>
          <w:tab/>
        </w:r>
        <w:r w:rsidR="0015307B">
          <w:rPr>
            <w:noProof/>
            <w:webHidden/>
          </w:rPr>
          <w:fldChar w:fldCharType="begin"/>
        </w:r>
        <w:r w:rsidR="00945CF2">
          <w:rPr>
            <w:noProof/>
            <w:webHidden/>
          </w:rPr>
          <w:instrText xml:space="preserve"> PAGEREF _Toc349579506 \h </w:instrText>
        </w:r>
        <w:r w:rsidR="0015307B">
          <w:rPr>
            <w:noProof/>
            <w:webHidden/>
          </w:rPr>
        </w:r>
        <w:r w:rsidR="0015307B">
          <w:rPr>
            <w:noProof/>
            <w:webHidden/>
          </w:rPr>
          <w:fldChar w:fldCharType="separate"/>
        </w:r>
        <w:r w:rsidR="00945CF2">
          <w:rPr>
            <w:noProof/>
            <w:webHidden/>
          </w:rPr>
          <w:t>7</w:t>
        </w:r>
        <w:r w:rsidR="0015307B">
          <w:rPr>
            <w:noProof/>
            <w:webHidden/>
          </w:rPr>
          <w:fldChar w:fldCharType="end"/>
        </w:r>
      </w:hyperlink>
    </w:p>
    <w:p w:rsidR="00945CF2" w:rsidRDefault="0015307B">
      <w:pPr>
        <w:rPr>
          <w:b/>
        </w:rPr>
      </w:pPr>
      <w:r>
        <w:rPr>
          <w:b/>
        </w:rPr>
        <w:fldChar w:fldCharType="end"/>
      </w:r>
    </w:p>
    <w:p w:rsidR="00945CF2" w:rsidRDefault="00945CF2" w:rsidP="006C28BD">
      <w:pPr>
        <w:pStyle w:val="Heading1"/>
      </w:pPr>
      <w:r>
        <w:br w:type="page"/>
      </w:r>
      <w:bookmarkStart w:id="1" w:name="_Toc348452595"/>
      <w:bookmarkStart w:id="2" w:name="_Toc349579494"/>
      <w:r>
        <w:lastRenderedPageBreak/>
        <w:t>1</w:t>
      </w:r>
      <w:r>
        <w:tab/>
        <w:t>Introduction</w:t>
      </w:r>
      <w:bookmarkEnd w:id="1"/>
      <w:bookmarkEnd w:id="2"/>
    </w:p>
    <w:p w:rsidR="00945CF2" w:rsidRDefault="00945CF2" w:rsidP="00583A33">
      <w:pPr>
        <w:spacing w:after="0" w:line="240" w:lineRule="auto"/>
      </w:pPr>
      <w:r>
        <w:t xml:space="preserve">Paragraph 10 of the Bilateral Agreement signed between the Commonwealth and Victoria on 7 December 2012, commits the </w:t>
      </w:r>
      <w:r w:rsidRPr="00F43E53">
        <w:t>Parties to</w:t>
      </w:r>
      <w:r w:rsidRPr="004E7442">
        <w:t xml:space="preserve"> </w:t>
      </w:r>
      <w:r>
        <w:t>agree to a sepa</w:t>
      </w:r>
      <w:r w:rsidRPr="00F43E53">
        <w:t>rate appendix</w:t>
      </w:r>
      <w:r w:rsidRPr="00583A33">
        <w:t xml:space="preserve"> </w:t>
      </w:r>
      <w:r>
        <w:t xml:space="preserve">by </w:t>
      </w:r>
      <w:r w:rsidRPr="00F43E53">
        <w:t>mid-February 2013</w:t>
      </w:r>
      <w:r>
        <w:t xml:space="preserve"> detailing the </w:t>
      </w:r>
      <w:r w:rsidRPr="00F43E53">
        <w:t>arrangement</w:t>
      </w:r>
      <w:r>
        <w:t>s</w:t>
      </w:r>
      <w:r w:rsidRPr="00F43E53">
        <w:t xml:space="preserve"> that will support an effective approach to managing the workforce commitments and needs of Victoria and the Agency</w:t>
      </w:r>
      <w:r>
        <w:t xml:space="preserve"> in the Barwon launch site area</w:t>
      </w:r>
      <w:r w:rsidRPr="00F43E53">
        <w:t>, including arrangements for local area coordination</w:t>
      </w:r>
      <w:r>
        <w:t>.</w:t>
      </w:r>
    </w:p>
    <w:p w:rsidR="00945CF2" w:rsidRDefault="00945CF2" w:rsidP="00583A33">
      <w:pPr>
        <w:spacing w:after="0" w:line="240" w:lineRule="auto"/>
      </w:pPr>
    </w:p>
    <w:p w:rsidR="00945CF2" w:rsidRDefault="00945CF2" w:rsidP="00583A33">
      <w:pPr>
        <w:spacing w:after="0" w:line="240" w:lineRule="auto"/>
      </w:pPr>
      <w:r>
        <w:t>In discussion between the Parties, it has been agreed that the elements that this arrangement is to cover include:</w:t>
      </w:r>
    </w:p>
    <w:p w:rsidR="00945CF2" w:rsidRDefault="00945CF2" w:rsidP="00583A33">
      <w:pPr>
        <w:spacing w:after="0" w:line="240" w:lineRule="auto"/>
      </w:pPr>
    </w:p>
    <w:p w:rsidR="00945CF2" w:rsidRDefault="00945CF2" w:rsidP="00583A33">
      <w:pPr>
        <w:pStyle w:val="ListParagraph"/>
        <w:numPr>
          <w:ilvl w:val="0"/>
          <w:numId w:val="3"/>
        </w:numPr>
        <w:spacing w:after="0" w:line="240" w:lineRule="auto"/>
      </w:pPr>
      <w:r>
        <w:t xml:space="preserve">Nature of </w:t>
      </w:r>
      <w:r w:rsidRPr="00583A33">
        <w:t>employment with the Agency</w:t>
      </w:r>
    </w:p>
    <w:p w:rsidR="00945CF2" w:rsidRPr="00583A33" w:rsidRDefault="00945CF2" w:rsidP="00583A33">
      <w:pPr>
        <w:pStyle w:val="ListParagraph"/>
        <w:numPr>
          <w:ilvl w:val="0"/>
          <w:numId w:val="3"/>
        </w:numPr>
        <w:spacing w:after="0" w:line="240" w:lineRule="auto"/>
      </w:pPr>
      <w:r>
        <w:t xml:space="preserve">Terms of employment with the Agency </w:t>
      </w:r>
    </w:p>
    <w:p w:rsidR="00945CF2" w:rsidRDefault="00945CF2" w:rsidP="00583A33">
      <w:pPr>
        <w:pStyle w:val="ListParagraph"/>
        <w:numPr>
          <w:ilvl w:val="0"/>
          <w:numId w:val="3"/>
        </w:numPr>
        <w:spacing w:after="0" w:line="240" w:lineRule="auto"/>
      </w:pPr>
      <w:r>
        <w:t xml:space="preserve">Training </w:t>
      </w:r>
    </w:p>
    <w:p w:rsidR="00945CF2" w:rsidRDefault="00945CF2" w:rsidP="00583A33">
      <w:pPr>
        <w:pStyle w:val="ListParagraph"/>
        <w:numPr>
          <w:ilvl w:val="0"/>
          <w:numId w:val="3"/>
        </w:numPr>
        <w:spacing w:after="0" w:line="240" w:lineRule="auto"/>
      </w:pPr>
      <w:r>
        <w:t xml:space="preserve">Treatment of entitlements of state employees </w:t>
      </w:r>
    </w:p>
    <w:p w:rsidR="00945CF2" w:rsidRDefault="00945CF2" w:rsidP="00583A33">
      <w:pPr>
        <w:pStyle w:val="ListParagraph"/>
        <w:numPr>
          <w:ilvl w:val="0"/>
          <w:numId w:val="3"/>
        </w:numPr>
        <w:spacing w:after="0" w:line="240" w:lineRule="auto"/>
      </w:pPr>
      <w:r>
        <w:t xml:space="preserve">Communicating workforce activities </w:t>
      </w:r>
    </w:p>
    <w:p w:rsidR="00945CF2" w:rsidRPr="00DF3C8F" w:rsidRDefault="00945CF2" w:rsidP="00631946">
      <w:pPr>
        <w:pStyle w:val="Heading1"/>
      </w:pPr>
      <w:bookmarkStart w:id="3" w:name="_Toc348452596"/>
      <w:bookmarkStart w:id="4" w:name="_Toc349579495"/>
      <w:r>
        <w:t>2</w:t>
      </w:r>
      <w:r>
        <w:tab/>
      </w:r>
      <w:r w:rsidRPr="00DF3C8F">
        <w:t>Background</w:t>
      </w:r>
      <w:bookmarkEnd w:id="3"/>
      <w:bookmarkEnd w:id="4"/>
      <w:r w:rsidRPr="00DF3C8F">
        <w:t xml:space="preserve"> </w:t>
      </w:r>
    </w:p>
    <w:p w:rsidR="00945CF2" w:rsidRDefault="00945CF2" w:rsidP="00211BEC">
      <w:pPr>
        <w:spacing w:after="0" w:line="240" w:lineRule="auto"/>
      </w:pPr>
      <w:r>
        <w:t xml:space="preserve">The Bill to establish the NDIS was read into Parliament at the end of 2012. This Bill establishes the NDIS Launch Transition Agency (the Agency).  </w:t>
      </w:r>
    </w:p>
    <w:p w:rsidR="00945CF2" w:rsidRDefault="00945CF2" w:rsidP="00DF3C8F">
      <w:pPr>
        <w:spacing w:after="0" w:line="240" w:lineRule="auto"/>
      </w:pPr>
    </w:p>
    <w:p w:rsidR="00945CF2" w:rsidRDefault="00945CF2" w:rsidP="00211BEC">
      <w:pPr>
        <w:spacing w:after="0" w:line="240" w:lineRule="auto"/>
      </w:pPr>
      <w:r>
        <w:t xml:space="preserve">The Agency recognises and values the skills of the Victorian Government Department staff involved in disability support related programs in the Barwon area and that these skills will be a valuable contribution to a successful launch. The Agency acknowledges the significant local knowledge and experience across existing capabilities, in particular the well-established experience in the development and management of individualised support package arrangements that exists in the Barwon area.  Further, it is acknowledged that </w:t>
      </w:r>
      <w:smartTag w:uri="urn:schemas-microsoft-com:office:smarttags" w:element="State">
        <w:smartTag w:uri="urn:schemas-microsoft-com:office:smarttags" w:element="place">
          <w:r>
            <w:t>Victoria</w:t>
          </w:r>
        </w:smartTag>
      </w:smartTag>
      <w:r>
        <w:t xml:space="preserve"> will need to retain capability during transition at the same time as the Agency will need to build capability.  </w:t>
      </w:r>
      <w:smartTag w:uri="urn:schemas-microsoft-com:office:smarttags" w:element="State">
        <w:smartTag w:uri="urn:schemas-microsoft-com:office:smarttags" w:element="place">
          <w:r>
            <w:t>Victoria</w:t>
          </w:r>
        </w:smartTag>
      </w:smartTag>
      <w:r>
        <w:t xml:space="preserve"> and the Agency acknowledge that this situation requires an agreed approach to workforce.</w:t>
      </w:r>
    </w:p>
    <w:p w:rsidR="00945CF2" w:rsidRDefault="00945CF2" w:rsidP="007F4EB2">
      <w:pPr>
        <w:pStyle w:val="Heading1"/>
      </w:pPr>
      <w:bookmarkStart w:id="5" w:name="_Toc348452597"/>
      <w:bookmarkStart w:id="6" w:name="_Toc349579496"/>
      <w:r>
        <w:t>3</w:t>
      </w:r>
      <w:r>
        <w:tab/>
        <w:t>Objectives of the Arrangements</w:t>
      </w:r>
      <w:bookmarkEnd w:id="5"/>
      <w:bookmarkEnd w:id="6"/>
      <w:r>
        <w:t xml:space="preserve"> </w:t>
      </w:r>
    </w:p>
    <w:p w:rsidR="00945CF2" w:rsidRDefault="00945CF2" w:rsidP="006E2C25">
      <w:pPr>
        <w:spacing w:line="240" w:lineRule="auto"/>
      </w:pPr>
      <w:r>
        <w:t xml:space="preserve">Both Parties agree that the appointment of an appropriately skilled workforce to the NDIS Agency within the required timeframes is essential to the success of the launch of the NDIS in the Barwon Area.  </w:t>
      </w:r>
    </w:p>
    <w:p w:rsidR="00945CF2" w:rsidRDefault="00945CF2" w:rsidP="006E2C25">
      <w:pPr>
        <w:spacing w:line="240" w:lineRule="auto"/>
        <w:rPr>
          <w:rStyle w:val="BookTitle"/>
          <w:rFonts w:cs="Arial"/>
          <w:b/>
          <w:bCs/>
          <w:i w:val="0"/>
          <w:smallCaps w:val="0"/>
          <w:spacing w:val="0"/>
          <w:sz w:val="28"/>
        </w:rPr>
      </w:pPr>
      <w:r>
        <w:t xml:space="preserve">It is acknowledged that the </w:t>
      </w:r>
      <w:r w:rsidRPr="00C1487D">
        <w:rPr>
          <w:rStyle w:val="BookTitle"/>
          <w:rFonts w:cs="Arial"/>
          <w:i w:val="0"/>
          <w:smallCaps w:val="0"/>
          <w:spacing w:val="0"/>
        </w:rPr>
        <w:t xml:space="preserve">Agency will commence operations in an environment where some </w:t>
      </w:r>
      <w:r>
        <w:rPr>
          <w:rStyle w:val="BookTitle"/>
          <w:rFonts w:cs="Arial"/>
          <w:i w:val="0"/>
          <w:smallCaps w:val="0"/>
          <w:spacing w:val="0"/>
        </w:rPr>
        <w:t>capability – either in part or in whole – exists as state government employee functions or contracted functions</w:t>
      </w:r>
      <w:r w:rsidRPr="00C1487D">
        <w:rPr>
          <w:rStyle w:val="BookTitle"/>
          <w:rFonts w:cs="Arial"/>
          <w:i w:val="0"/>
          <w:smallCaps w:val="0"/>
          <w:spacing w:val="0"/>
        </w:rPr>
        <w:t>.</w:t>
      </w:r>
      <w:r>
        <w:rPr>
          <w:rStyle w:val="BookTitle"/>
          <w:rFonts w:cs="Arial"/>
          <w:i w:val="0"/>
          <w:smallCaps w:val="0"/>
          <w:spacing w:val="0"/>
          <w:sz w:val="28"/>
        </w:rPr>
        <w:t xml:space="preserve"> </w:t>
      </w:r>
    </w:p>
    <w:p w:rsidR="00945CF2" w:rsidRDefault="00945CF2" w:rsidP="006E2C25">
      <w:pPr>
        <w:spacing w:line="240" w:lineRule="auto"/>
      </w:pPr>
      <w:r>
        <w:t>The objective of these arrangements is to ensure:</w:t>
      </w:r>
    </w:p>
    <w:p w:rsidR="00945CF2" w:rsidRDefault="00945CF2" w:rsidP="006E2C25">
      <w:pPr>
        <w:pStyle w:val="ListParagraph"/>
        <w:numPr>
          <w:ilvl w:val="0"/>
          <w:numId w:val="4"/>
        </w:numPr>
        <w:spacing w:line="240" w:lineRule="auto"/>
      </w:pPr>
      <w:r>
        <w:t>The workforce requirements of the Agency are clearly articulated</w:t>
      </w:r>
    </w:p>
    <w:p w:rsidR="00945CF2" w:rsidRDefault="00945CF2" w:rsidP="006E2C25">
      <w:pPr>
        <w:pStyle w:val="ListParagraph"/>
        <w:numPr>
          <w:ilvl w:val="0"/>
          <w:numId w:val="4"/>
        </w:numPr>
        <w:spacing w:line="240" w:lineRule="auto"/>
      </w:pPr>
      <w:r>
        <w:t xml:space="preserve">The workforce requirements of the Agency are able to be fulfilled within the required timeframes </w:t>
      </w:r>
    </w:p>
    <w:p w:rsidR="00945CF2" w:rsidRDefault="00945CF2" w:rsidP="006E2C25">
      <w:pPr>
        <w:pStyle w:val="ListParagraph"/>
        <w:numPr>
          <w:ilvl w:val="0"/>
          <w:numId w:val="4"/>
        </w:numPr>
        <w:spacing w:line="240" w:lineRule="auto"/>
      </w:pPr>
      <w:r>
        <w:t xml:space="preserve">That the Victorian Government is able to manage the availability of Victorian state government employed staff to deliver Victoria’s existing disability related services to existing clients during the transition period </w:t>
      </w:r>
    </w:p>
    <w:p w:rsidR="00945CF2" w:rsidRDefault="00945CF2" w:rsidP="006E2C25">
      <w:pPr>
        <w:pStyle w:val="ListParagraph"/>
        <w:numPr>
          <w:ilvl w:val="0"/>
          <w:numId w:val="4"/>
        </w:numPr>
        <w:spacing w:line="240" w:lineRule="auto"/>
      </w:pPr>
      <w:r>
        <w:lastRenderedPageBreak/>
        <w:t>That the Victorian Government is able to provide clear advice to existing contracted organisations of changes to their contracted functions where they are performing functions that will be performed by the NDIS Agency</w:t>
      </w:r>
    </w:p>
    <w:p w:rsidR="00945CF2" w:rsidRDefault="00945CF2" w:rsidP="006E2C25">
      <w:pPr>
        <w:pStyle w:val="ListParagraph"/>
        <w:numPr>
          <w:ilvl w:val="0"/>
          <w:numId w:val="4"/>
        </w:numPr>
        <w:spacing w:line="240" w:lineRule="auto"/>
      </w:pPr>
      <w:r>
        <w:t>That Victorian Government employed staff, particularly those performing functions relevant to people with disability that are in some aspects similar to those to be performed by the Agency and where the Victorian Government will cease to perform these functions at some stage during the period of the launch in the Barwon area (materially affected staff) have clear information on the NDIS employment options and the overall recruitment approach of the Agency. These arrangements have been developed through consultation between the Agency and Victorian Government officers and are documented in the</w:t>
      </w:r>
      <w:r>
        <w:rPr>
          <w:i/>
        </w:rPr>
        <w:t xml:space="preserve"> </w:t>
      </w:r>
      <w:r w:rsidRPr="00EF6D60">
        <w:rPr>
          <w:i/>
        </w:rPr>
        <w:t xml:space="preserve">Barwon </w:t>
      </w:r>
      <w:r>
        <w:rPr>
          <w:i/>
        </w:rPr>
        <w:t xml:space="preserve">NLTA </w:t>
      </w:r>
      <w:r w:rsidRPr="00EF6D60">
        <w:rPr>
          <w:i/>
        </w:rPr>
        <w:t>Workforce Information Fact Sheet</w:t>
      </w:r>
      <w:r>
        <w:t xml:space="preserve">)  </w:t>
      </w:r>
    </w:p>
    <w:p w:rsidR="00945CF2" w:rsidRDefault="00945CF2" w:rsidP="00211BEC">
      <w:pPr>
        <w:pStyle w:val="ListParagraph"/>
        <w:numPr>
          <w:ilvl w:val="1"/>
          <w:numId w:val="4"/>
        </w:numPr>
        <w:spacing w:line="240" w:lineRule="auto"/>
      </w:pPr>
      <w:r>
        <w:t>Information on these arrangements will in particular be made available to relevant staff identified by the Victorian Government working on specific elements of the following programs:</w:t>
      </w:r>
    </w:p>
    <w:p w:rsidR="00945CF2" w:rsidRPr="00623348" w:rsidRDefault="00945CF2" w:rsidP="00211BEC">
      <w:pPr>
        <w:numPr>
          <w:ilvl w:val="2"/>
          <w:numId w:val="4"/>
        </w:numPr>
        <w:spacing w:after="0" w:line="240" w:lineRule="auto"/>
      </w:pPr>
      <w:r w:rsidRPr="00623348">
        <w:t xml:space="preserve">DHS: Intake and response </w:t>
      </w:r>
    </w:p>
    <w:p w:rsidR="00945CF2" w:rsidRPr="00623348" w:rsidRDefault="00945CF2" w:rsidP="00211BEC">
      <w:pPr>
        <w:numPr>
          <w:ilvl w:val="2"/>
          <w:numId w:val="4"/>
        </w:numPr>
        <w:spacing w:after="0" w:line="240" w:lineRule="auto"/>
      </w:pPr>
      <w:r w:rsidRPr="00623348">
        <w:t>DHS: Facilitation</w:t>
      </w:r>
    </w:p>
    <w:p w:rsidR="00945CF2" w:rsidRPr="00B26CB8" w:rsidRDefault="00945CF2" w:rsidP="00211BEC">
      <w:pPr>
        <w:numPr>
          <w:ilvl w:val="2"/>
          <w:numId w:val="4"/>
        </w:numPr>
        <w:spacing w:after="0" w:line="240" w:lineRule="auto"/>
      </w:pPr>
      <w:r w:rsidRPr="00B26CB8">
        <w:t>DHS: Disability Support Register coordination</w:t>
      </w:r>
    </w:p>
    <w:p w:rsidR="00945CF2" w:rsidRPr="00623348" w:rsidRDefault="00945CF2" w:rsidP="00211BEC">
      <w:pPr>
        <w:numPr>
          <w:ilvl w:val="2"/>
          <w:numId w:val="4"/>
        </w:numPr>
        <w:spacing w:after="0" w:line="240" w:lineRule="auto"/>
      </w:pPr>
      <w:r w:rsidRPr="00623348">
        <w:t>DHS: Service Planning team</w:t>
      </w:r>
    </w:p>
    <w:p w:rsidR="00945CF2" w:rsidRPr="00623348" w:rsidRDefault="00945CF2" w:rsidP="00211BEC">
      <w:pPr>
        <w:numPr>
          <w:ilvl w:val="2"/>
          <w:numId w:val="4"/>
        </w:numPr>
        <w:spacing w:after="0" w:line="240" w:lineRule="auto"/>
      </w:pPr>
      <w:r w:rsidRPr="00623348">
        <w:t>DHS: Individualised funding team</w:t>
      </w:r>
    </w:p>
    <w:p w:rsidR="00945CF2" w:rsidRPr="00623348" w:rsidRDefault="00945CF2" w:rsidP="00211BEC">
      <w:pPr>
        <w:numPr>
          <w:ilvl w:val="2"/>
          <w:numId w:val="4"/>
        </w:numPr>
        <w:spacing w:after="0" w:line="240" w:lineRule="auto"/>
      </w:pPr>
      <w:r w:rsidRPr="00623348">
        <w:t xml:space="preserve">DHS: ISP allocations </w:t>
      </w:r>
    </w:p>
    <w:p w:rsidR="00945CF2" w:rsidRPr="00623348" w:rsidRDefault="00945CF2" w:rsidP="00211BEC">
      <w:pPr>
        <w:numPr>
          <w:ilvl w:val="2"/>
          <w:numId w:val="4"/>
        </w:numPr>
        <w:spacing w:after="0" w:line="240" w:lineRule="auto"/>
      </w:pPr>
      <w:r w:rsidRPr="00623348">
        <w:t>DHS: Case management</w:t>
      </w:r>
    </w:p>
    <w:p w:rsidR="00945CF2" w:rsidRPr="00623348" w:rsidRDefault="00945CF2" w:rsidP="00211BEC">
      <w:pPr>
        <w:numPr>
          <w:ilvl w:val="2"/>
          <w:numId w:val="4"/>
        </w:numPr>
        <w:spacing w:after="0" w:line="240" w:lineRule="auto"/>
      </w:pPr>
      <w:r w:rsidRPr="00623348">
        <w:t>DHS: Futures for Young Adults (FFYA) planning</w:t>
      </w:r>
    </w:p>
    <w:p w:rsidR="00945CF2" w:rsidRPr="00623348" w:rsidRDefault="00945CF2" w:rsidP="00211BEC">
      <w:pPr>
        <w:numPr>
          <w:ilvl w:val="2"/>
          <w:numId w:val="4"/>
        </w:numPr>
        <w:spacing w:after="0" w:line="240" w:lineRule="auto"/>
      </w:pPr>
      <w:r w:rsidRPr="00623348">
        <w:t>DHS: Outreach support</w:t>
      </w:r>
    </w:p>
    <w:p w:rsidR="00945CF2" w:rsidRPr="00623348" w:rsidRDefault="00945CF2" w:rsidP="00211BEC">
      <w:pPr>
        <w:numPr>
          <w:ilvl w:val="2"/>
          <w:numId w:val="4"/>
        </w:numPr>
        <w:spacing w:after="0" w:line="240" w:lineRule="auto"/>
      </w:pPr>
      <w:r w:rsidRPr="00623348">
        <w:t>DEECD: ECIS Intake, Specialist Children’s Services</w:t>
      </w:r>
    </w:p>
    <w:p w:rsidR="00945CF2" w:rsidRDefault="00945CF2" w:rsidP="00383A40">
      <w:pPr>
        <w:ind w:left="540"/>
        <w:rPr>
          <w:rFonts w:ascii="Verdana" w:hAnsi="Verdana"/>
          <w:i/>
          <w:sz w:val="20"/>
          <w:szCs w:val="20"/>
        </w:rPr>
      </w:pPr>
      <w:r w:rsidRPr="00E279C9">
        <w:rPr>
          <w:rFonts w:ascii="Verdana" w:hAnsi="Verdana"/>
          <w:i/>
          <w:sz w:val="20"/>
          <w:szCs w:val="20"/>
        </w:rPr>
        <w:t>This includes staff in management and administrative support functions associated with these roles.</w:t>
      </w:r>
    </w:p>
    <w:p w:rsidR="00945CF2" w:rsidRDefault="00945CF2" w:rsidP="00C647B7">
      <w:pPr>
        <w:spacing w:after="0" w:line="240" w:lineRule="auto"/>
        <w:ind w:left="1800"/>
      </w:pPr>
    </w:p>
    <w:p w:rsidR="00945CF2" w:rsidRDefault="00945CF2" w:rsidP="00B124A0">
      <w:pPr>
        <w:pStyle w:val="Heading1"/>
        <w:numPr>
          <w:ilvl w:val="0"/>
          <w:numId w:val="7"/>
        </w:numPr>
      </w:pPr>
      <w:bookmarkStart w:id="7" w:name="_Toc348452598"/>
      <w:bookmarkStart w:id="8" w:name="_Toc349579497"/>
      <w:r>
        <w:t xml:space="preserve">Nature of </w:t>
      </w:r>
      <w:r w:rsidRPr="00BE79B0">
        <w:t>Employment</w:t>
      </w:r>
      <w:bookmarkEnd w:id="7"/>
      <w:bookmarkEnd w:id="8"/>
      <w:r w:rsidRPr="00BE79B0">
        <w:t xml:space="preserve"> </w:t>
      </w:r>
    </w:p>
    <w:p w:rsidR="00945CF2" w:rsidRPr="00DF3C8F" w:rsidRDefault="00945CF2" w:rsidP="00631946">
      <w:pPr>
        <w:pStyle w:val="Heading2"/>
      </w:pPr>
      <w:bookmarkStart w:id="9" w:name="_Toc348452599"/>
      <w:bookmarkStart w:id="10" w:name="_Toc349579498"/>
      <w:r>
        <w:t>4.1</w:t>
      </w:r>
      <w:r>
        <w:tab/>
      </w:r>
      <w:bookmarkEnd w:id="9"/>
      <w:r>
        <w:t>Non-ongoing appointments</w:t>
      </w:r>
      <w:bookmarkEnd w:id="10"/>
    </w:p>
    <w:p w:rsidR="00945CF2" w:rsidRDefault="00945CF2" w:rsidP="00DF3C8F">
      <w:pPr>
        <w:spacing w:after="0" w:line="240" w:lineRule="auto"/>
      </w:pPr>
      <w:r>
        <w:t>In December 2012 and January 2013 a limited number of positions with the Agency have been filled on a non-ongoing basis using the Expression of Interest process that has been on the NDIS website since September 2012.</w:t>
      </w:r>
    </w:p>
    <w:p w:rsidR="00945CF2" w:rsidRDefault="00945CF2" w:rsidP="00DF3C8F">
      <w:pPr>
        <w:spacing w:after="0" w:line="240" w:lineRule="auto"/>
      </w:pPr>
    </w:p>
    <w:p w:rsidR="00945CF2" w:rsidRDefault="00945CF2" w:rsidP="00404098">
      <w:pPr>
        <w:spacing w:after="0" w:line="240" w:lineRule="auto"/>
      </w:pPr>
      <w:r w:rsidRPr="00134336">
        <w:t xml:space="preserve">Non-ongoing roles </w:t>
      </w:r>
      <w:r>
        <w:t>to date have</w:t>
      </w:r>
      <w:r w:rsidRPr="00134336">
        <w:t xml:space="preserve"> be</w:t>
      </w:r>
      <w:r>
        <w:t>en</w:t>
      </w:r>
      <w:r w:rsidRPr="00134336">
        <w:t xml:space="preserve"> filled </w:t>
      </w:r>
      <w:r>
        <w:t>using the following options:</w:t>
      </w:r>
    </w:p>
    <w:p w:rsidR="00945CF2" w:rsidRDefault="00945CF2" w:rsidP="00404098">
      <w:pPr>
        <w:pStyle w:val="ListParagraph"/>
        <w:numPr>
          <w:ilvl w:val="0"/>
          <w:numId w:val="2"/>
        </w:numPr>
        <w:spacing w:after="0" w:line="240" w:lineRule="auto"/>
      </w:pPr>
      <w:r>
        <w:t>Temporary Reassignment. (This has been used for existing APS employees only)</w:t>
      </w:r>
    </w:p>
    <w:p w:rsidR="00945CF2" w:rsidRDefault="00945CF2" w:rsidP="00404098">
      <w:pPr>
        <w:pStyle w:val="ListParagraph"/>
        <w:numPr>
          <w:ilvl w:val="0"/>
          <w:numId w:val="2"/>
        </w:numPr>
        <w:spacing w:after="0" w:line="240" w:lineRule="auto"/>
      </w:pPr>
      <w:r>
        <w:t>Non-ongoing employment contracts.  (These have been used for State Government public servants or staff from other organisations who have decided to take leave without pay thereby becoming engaged by and paid for by FAHCSIA.  This requires individuals to make their own arrangements with their employer).</w:t>
      </w:r>
    </w:p>
    <w:p w:rsidR="00945CF2" w:rsidRDefault="00945CF2" w:rsidP="00404098">
      <w:pPr>
        <w:pStyle w:val="ListParagraph"/>
        <w:numPr>
          <w:ilvl w:val="0"/>
          <w:numId w:val="2"/>
        </w:numPr>
        <w:spacing w:after="0" w:line="240" w:lineRule="auto"/>
      </w:pPr>
      <w:r>
        <w:t>Secondments.  These arrangements have been used for State Government public servants or other non-APS organisations where an employee remains with their current employer and subject to the terms and conditions of that employer.  Under these arrangements:</w:t>
      </w:r>
    </w:p>
    <w:p w:rsidR="00945CF2" w:rsidRDefault="00945CF2" w:rsidP="00404098">
      <w:pPr>
        <w:pStyle w:val="ListParagraph"/>
        <w:numPr>
          <w:ilvl w:val="1"/>
          <w:numId w:val="2"/>
        </w:numPr>
        <w:spacing w:after="0" w:line="240" w:lineRule="auto"/>
      </w:pPr>
      <w:r>
        <w:t xml:space="preserve">A secondment agreement is signed by the current employer and the Agency </w:t>
      </w:r>
    </w:p>
    <w:p w:rsidR="00945CF2" w:rsidRDefault="00945CF2" w:rsidP="00404098">
      <w:pPr>
        <w:pStyle w:val="ListParagraph"/>
        <w:numPr>
          <w:ilvl w:val="1"/>
          <w:numId w:val="2"/>
        </w:numPr>
        <w:spacing w:after="0" w:line="240" w:lineRule="auto"/>
      </w:pPr>
      <w:r>
        <w:t xml:space="preserve">The current employer invoices the Agency in respect of </w:t>
      </w:r>
      <w:r w:rsidRPr="00404098">
        <w:t xml:space="preserve">salary and employer superannuation payments </w:t>
      </w:r>
      <w:r w:rsidRPr="00456C96">
        <w:t>made while the employee w</w:t>
      </w:r>
      <w:r>
        <w:t xml:space="preserve">orks for the Agency and costs will be reimbursed. </w:t>
      </w:r>
    </w:p>
    <w:p w:rsidR="00945CF2" w:rsidRDefault="00945CF2" w:rsidP="00404098">
      <w:pPr>
        <w:pStyle w:val="ListParagraph"/>
        <w:numPr>
          <w:ilvl w:val="1"/>
          <w:numId w:val="2"/>
        </w:numPr>
        <w:spacing w:after="0" w:line="240" w:lineRule="auto"/>
      </w:pPr>
      <w:r>
        <w:lastRenderedPageBreak/>
        <w:t>Leave entitlements are accrued in accordance with the existing employer terms and conditions and funded by the current employer</w:t>
      </w:r>
    </w:p>
    <w:p w:rsidR="00945CF2" w:rsidRDefault="00945CF2" w:rsidP="00DF3C8F">
      <w:pPr>
        <w:spacing w:after="0" w:line="240" w:lineRule="auto"/>
      </w:pPr>
    </w:p>
    <w:p w:rsidR="00945CF2" w:rsidRDefault="00945CF2" w:rsidP="00DF3C8F">
      <w:pPr>
        <w:spacing w:after="0" w:line="240" w:lineRule="auto"/>
      </w:pPr>
      <w:r>
        <w:t xml:space="preserve">These positions have been for “business critical” requirements to enable the Agency to commence implementation work.  </w:t>
      </w:r>
    </w:p>
    <w:p w:rsidR="00945CF2" w:rsidRDefault="00945CF2" w:rsidP="00DF3C8F">
      <w:pPr>
        <w:spacing w:after="0" w:line="240" w:lineRule="auto"/>
      </w:pPr>
    </w:p>
    <w:p w:rsidR="00945CF2" w:rsidRDefault="00945CF2" w:rsidP="0018461A">
      <w:pPr>
        <w:pStyle w:val="Heading2"/>
      </w:pPr>
      <w:bookmarkStart w:id="11" w:name="_Toc349579499"/>
      <w:r>
        <w:t>4.2</w:t>
      </w:r>
      <w:r>
        <w:tab/>
        <w:t>Ongoing Appointments</w:t>
      </w:r>
      <w:bookmarkEnd w:id="11"/>
      <w:r>
        <w:t xml:space="preserve"> </w:t>
      </w:r>
    </w:p>
    <w:p w:rsidR="00945CF2" w:rsidRDefault="00945CF2" w:rsidP="00211BEC">
      <w:pPr>
        <w:spacing w:after="0" w:line="240" w:lineRule="auto"/>
        <w:ind w:left="720"/>
      </w:pPr>
    </w:p>
    <w:p w:rsidR="00945CF2" w:rsidRDefault="008F4E7E" w:rsidP="00121C83">
      <w:pPr>
        <w:spacing w:after="0" w:line="240" w:lineRule="auto"/>
        <w:rPr>
          <w:i/>
        </w:rPr>
      </w:pPr>
      <w:r>
        <w:t xml:space="preserve">Ongoing positions were advertised from late </w:t>
      </w:r>
      <w:r w:rsidR="00945CF2">
        <w:t xml:space="preserve">February 2013,– </w:t>
      </w:r>
      <w:r w:rsidR="00945CF2" w:rsidRPr="00631946">
        <w:rPr>
          <w:i/>
        </w:rPr>
        <w:t>see Staffing needs - numbers and timing of appointment</w:t>
      </w:r>
      <w:r w:rsidR="00945CF2">
        <w:rPr>
          <w:i/>
        </w:rPr>
        <w:t xml:space="preserve">. </w:t>
      </w:r>
    </w:p>
    <w:p w:rsidR="00945CF2" w:rsidRDefault="00945CF2" w:rsidP="00FA560F">
      <w:pPr>
        <w:spacing w:after="0" w:line="240" w:lineRule="auto"/>
      </w:pPr>
    </w:p>
    <w:p w:rsidR="00945CF2" w:rsidRDefault="00945CF2" w:rsidP="006C28BD">
      <w:pPr>
        <w:spacing w:after="0" w:line="240" w:lineRule="auto"/>
      </w:pPr>
      <w:r>
        <w:t xml:space="preserve">These positions </w:t>
      </w:r>
      <w:r w:rsidR="008F4E7E">
        <w:t xml:space="preserve">were </w:t>
      </w:r>
      <w:r>
        <w:t xml:space="preserve">advertised via </w:t>
      </w:r>
      <w:hyperlink r:id="rId8" w:history="1">
        <w:r w:rsidRPr="000B5BDC">
          <w:rPr>
            <w:rStyle w:val="Hyperlink"/>
          </w:rPr>
          <w:t>www.apsjobs.gov.au</w:t>
        </w:r>
      </w:hyperlink>
      <w:r>
        <w:t xml:space="preserve"> and defined as “expected vacancies.”  Offers of employment to those selected will commence in early April and any resulting merit list may be used for up to 12 months.</w:t>
      </w:r>
    </w:p>
    <w:p w:rsidR="00945CF2" w:rsidRDefault="008F4E7E">
      <w:pPr>
        <w:numPr>
          <w:ilvl w:val="0"/>
          <w:numId w:val="6"/>
        </w:numPr>
      </w:pPr>
      <w:r>
        <w:t xml:space="preserve">Given the passage of the legislation on Thursday 28 March 2013, </w:t>
      </w:r>
      <w:r w:rsidR="00945CF2">
        <w:t xml:space="preserve">staff </w:t>
      </w:r>
      <w:r>
        <w:t xml:space="preserve">selected </w:t>
      </w:r>
      <w:r w:rsidR="00945CF2">
        <w:t xml:space="preserve">will be appointed as ongoing staff to the Agency. </w:t>
      </w:r>
    </w:p>
    <w:p w:rsidR="00945CF2" w:rsidRDefault="00945CF2" w:rsidP="00211BEC">
      <w:pPr>
        <w:numPr>
          <w:ilvl w:val="1"/>
          <w:numId w:val="6"/>
        </w:numPr>
      </w:pPr>
      <w:r>
        <w:t xml:space="preserve">Those staff on a secondment arrangement will remain on the current terms of that secondment  and those on specified term contracts will remain on this contract until superseded by any recruitment and selection process that the individual may be successful in.  </w:t>
      </w:r>
    </w:p>
    <w:p w:rsidR="00945CF2" w:rsidRDefault="00945CF2" w:rsidP="00404098">
      <w:pPr>
        <w:spacing w:after="0" w:line="240" w:lineRule="auto"/>
      </w:pPr>
      <w:r>
        <w:t xml:space="preserve">Individuals who submitted an EOI relevant to the positions being advertised will be advised of the formal recruitment process and will be required to submit an application if they are seeking a permanent appointment. Victorian Government Departments with materially affected staff will facilitate this approach and ensure that staff on maternity leave or other forms of leave are aware of the advertised positions. </w:t>
      </w:r>
    </w:p>
    <w:p w:rsidR="00945CF2" w:rsidRDefault="00945CF2" w:rsidP="00631946">
      <w:pPr>
        <w:pStyle w:val="Heading1"/>
      </w:pPr>
      <w:bookmarkStart w:id="12" w:name="_Toc348452601"/>
      <w:bookmarkStart w:id="13" w:name="_Toc349579500"/>
      <w:r>
        <w:t>5</w:t>
      </w:r>
      <w:r>
        <w:tab/>
        <w:t>Terms of Employment</w:t>
      </w:r>
      <w:bookmarkEnd w:id="12"/>
      <w:bookmarkEnd w:id="13"/>
      <w:r>
        <w:t xml:space="preserve"> </w:t>
      </w:r>
    </w:p>
    <w:p w:rsidR="00945CF2" w:rsidRDefault="00945CF2" w:rsidP="004F0B00">
      <w:pPr>
        <w:spacing w:after="0" w:line="240" w:lineRule="auto"/>
      </w:pPr>
      <w:r>
        <w:t>Staff on secondment would continue to receive their current employer entitlements.  Other staff on transfer or employed from outside of government will be covered by the current FaHCSIA provisions.</w:t>
      </w:r>
    </w:p>
    <w:p w:rsidR="00945CF2" w:rsidRDefault="00945CF2" w:rsidP="004F0B00">
      <w:pPr>
        <w:spacing w:after="0" w:line="240" w:lineRule="auto"/>
      </w:pPr>
    </w:p>
    <w:p w:rsidR="00945CF2" w:rsidRDefault="00945CF2" w:rsidP="004F0B00">
      <w:pPr>
        <w:spacing w:after="0" w:line="240" w:lineRule="auto"/>
      </w:pPr>
      <w:r>
        <w:t xml:space="preserve">Upon commencement of the Agency as a separate entity, the FaHCSIA Enterprise Agreement will apply via the enabling legislation or a s24(1) determination under the </w:t>
      </w:r>
      <w:r w:rsidRPr="004F0B00">
        <w:rPr>
          <w:i/>
        </w:rPr>
        <w:t>Public Service Act 1999</w:t>
      </w:r>
      <w:r>
        <w:t xml:space="preserve">.  </w:t>
      </w:r>
    </w:p>
    <w:p w:rsidR="00945CF2" w:rsidRDefault="00945CF2" w:rsidP="00CA0F76">
      <w:pPr>
        <w:spacing w:after="0" w:line="240" w:lineRule="auto"/>
      </w:pPr>
    </w:p>
    <w:p w:rsidR="00945CF2" w:rsidRDefault="00945CF2" w:rsidP="00404098">
      <w:pPr>
        <w:spacing w:line="240" w:lineRule="auto"/>
        <w:rPr>
          <w:rFonts w:cs="Arial"/>
          <w:sz w:val="24"/>
          <w:szCs w:val="24"/>
        </w:rPr>
      </w:pPr>
      <w:r>
        <w:t xml:space="preserve">Employees will then be consulted on the Agency employment framework during the latter half of 2013 in accordance with the Australian Public Service Bargaining Framework as it is important that this not be </w:t>
      </w:r>
      <w:r>
        <w:rPr>
          <w:rFonts w:cs="Arial"/>
          <w:sz w:val="24"/>
          <w:szCs w:val="24"/>
        </w:rPr>
        <w:t>commenced until there is a representative number of staff on board to ensure fair and equitable contribution by all staff.  This framework allows for staff to be represented by a union.</w:t>
      </w:r>
    </w:p>
    <w:p w:rsidR="00945CF2" w:rsidRDefault="00945CF2" w:rsidP="003B1ABA">
      <w:pPr>
        <w:pStyle w:val="Heading1"/>
      </w:pPr>
      <w:bookmarkStart w:id="14" w:name="_Toc348452604"/>
      <w:bookmarkStart w:id="15" w:name="_Toc349579501"/>
      <w:r>
        <w:t>6</w:t>
      </w:r>
      <w:r>
        <w:tab/>
        <w:t>Training</w:t>
      </w:r>
      <w:bookmarkEnd w:id="14"/>
      <w:bookmarkEnd w:id="15"/>
    </w:p>
    <w:p w:rsidR="00945CF2" w:rsidRPr="00E82C93" w:rsidRDefault="00945CF2" w:rsidP="00631946">
      <w:pPr>
        <w:spacing w:after="0" w:line="240" w:lineRule="auto"/>
      </w:pPr>
      <w:r w:rsidRPr="00E82C93">
        <w:t>All staff recruited to the Agency will be offered training in core APS obligations and</w:t>
      </w:r>
      <w:r>
        <w:t xml:space="preserve"> </w:t>
      </w:r>
      <w:r w:rsidRPr="00E82C93">
        <w:t xml:space="preserve">Agency business processes.  This may require the officer to be away from their place of residence for </w:t>
      </w:r>
      <w:r>
        <w:t xml:space="preserve">short </w:t>
      </w:r>
      <w:r w:rsidRPr="00E82C93">
        <w:t>period</w:t>
      </w:r>
      <w:r>
        <w:t>s</w:t>
      </w:r>
      <w:r w:rsidRPr="00E82C93">
        <w:t xml:space="preserve"> of time. </w:t>
      </w:r>
    </w:p>
    <w:p w:rsidR="00945CF2" w:rsidRDefault="00945CF2" w:rsidP="00631946">
      <w:pPr>
        <w:pStyle w:val="Heading1"/>
      </w:pPr>
      <w:bookmarkStart w:id="16" w:name="_Toc348452605"/>
      <w:bookmarkStart w:id="17" w:name="_Toc349579502"/>
      <w:r>
        <w:lastRenderedPageBreak/>
        <w:t>7</w:t>
      </w:r>
      <w:r>
        <w:tab/>
        <w:t>Entitlements</w:t>
      </w:r>
      <w:bookmarkEnd w:id="16"/>
      <w:bookmarkEnd w:id="17"/>
      <w:r>
        <w:t xml:space="preserve"> </w:t>
      </w:r>
    </w:p>
    <w:p w:rsidR="00945CF2" w:rsidRDefault="00945CF2" w:rsidP="00631946">
      <w:pPr>
        <w:pStyle w:val="Heading2"/>
      </w:pPr>
      <w:bookmarkStart w:id="18" w:name="_Toc348452606"/>
      <w:bookmarkStart w:id="19" w:name="_Toc349579503"/>
      <w:r>
        <w:t>7.1</w:t>
      </w:r>
      <w:r>
        <w:tab/>
        <w:t xml:space="preserve">Victorian state government </w:t>
      </w:r>
      <w:bookmarkEnd w:id="18"/>
      <w:r>
        <w:t>public servants</w:t>
      </w:r>
      <w:bookmarkEnd w:id="19"/>
      <w:r>
        <w:t xml:space="preserve"> </w:t>
      </w:r>
    </w:p>
    <w:p w:rsidR="00945CF2" w:rsidRDefault="00945CF2" w:rsidP="007A4C64">
      <w:pPr>
        <w:spacing w:after="0" w:line="240" w:lineRule="auto"/>
      </w:pPr>
      <w:r>
        <w:t>Arrangements to allow the recognition of certain entitlements will be implemented</w:t>
      </w:r>
      <w:r w:rsidRPr="009D6A51">
        <w:t xml:space="preserve"> including Annual Leave and Long Service Leave</w:t>
      </w:r>
      <w:r>
        <w:t>.  This will be subject to funding associated with recognised entitlements (annual and long service leave) being transferred with the employee in line with current APS policy.</w:t>
      </w:r>
    </w:p>
    <w:p w:rsidR="00945CF2" w:rsidRDefault="00945CF2" w:rsidP="007A4C64">
      <w:pPr>
        <w:spacing w:after="0" w:line="240" w:lineRule="auto"/>
      </w:pPr>
    </w:p>
    <w:p w:rsidR="00945CF2" w:rsidRDefault="00945CF2" w:rsidP="007A4C64">
      <w:pPr>
        <w:spacing w:after="0" w:line="240" w:lineRule="auto"/>
      </w:pPr>
      <w:r>
        <w:t>As a general guide, under the existing FaHCSIA EA:</w:t>
      </w:r>
    </w:p>
    <w:p w:rsidR="00945CF2" w:rsidRDefault="00945CF2" w:rsidP="00B124A0">
      <w:pPr>
        <w:pStyle w:val="ListParagraph"/>
        <w:numPr>
          <w:ilvl w:val="0"/>
          <w:numId w:val="5"/>
        </w:numPr>
        <w:spacing w:after="0" w:line="240" w:lineRule="auto"/>
      </w:pPr>
      <w:r>
        <w:t>long service leave from state government employees is generally recognised as an existing entitlement</w:t>
      </w:r>
    </w:p>
    <w:p w:rsidR="00945CF2" w:rsidRDefault="00945CF2" w:rsidP="00B124A0">
      <w:pPr>
        <w:pStyle w:val="ListParagraph"/>
        <w:spacing w:after="0" w:line="240" w:lineRule="auto"/>
        <w:ind w:left="0"/>
      </w:pPr>
    </w:p>
    <w:p w:rsidR="00945CF2" w:rsidRDefault="00945CF2" w:rsidP="00B124A0">
      <w:pPr>
        <w:pStyle w:val="ListParagraph"/>
        <w:spacing w:after="0" w:line="240" w:lineRule="auto"/>
        <w:ind w:left="0"/>
      </w:pPr>
      <w:r>
        <w:t xml:space="preserve">It is acknowledged that the treatment of the majority of entitlements has been clarified and further queries will be discussed should this be required. </w:t>
      </w:r>
    </w:p>
    <w:p w:rsidR="00945CF2" w:rsidRDefault="00945CF2" w:rsidP="007A4C64">
      <w:pPr>
        <w:spacing w:after="0" w:line="240" w:lineRule="auto"/>
      </w:pPr>
    </w:p>
    <w:p w:rsidR="00945CF2" w:rsidRDefault="00945CF2" w:rsidP="009D6A51">
      <w:pPr>
        <w:pStyle w:val="ListParagraph"/>
        <w:spacing w:after="0" w:line="240" w:lineRule="auto"/>
        <w:ind w:left="0"/>
      </w:pPr>
      <w:r w:rsidRPr="00D44DF4">
        <w:t xml:space="preserve">Where staff have accrued an entitlement by reason of having sufficient service to access a full or pro-rata </w:t>
      </w:r>
      <w:r>
        <w:t xml:space="preserve">long service leave </w:t>
      </w:r>
      <w:r w:rsidRPr="00D44DF4">
        <w:t>entitlement</w:t>
      </w:r>
      <w:r w:rsidRPr="009D6A51">
        <w:t xml:space="preserve"> </w:t>
      </w:r>
      <w:r w:rsidRPr="00D44DF4">
        <w:t>this will require a transfer of funding from Victoria to the Commonwealth.</w:t>
      </w:r>
    </w:p>
    <w:p w:rsidR="00724FAF" w:rsidRDefault="00724FAF" w:rsidP="009D6A51">
      <w:pPr>
        <w:pStyle w:val="ListParagraph"/>
        <w:spacing w:after="0" w:line="240" w:lineRule="auto"/>
        <w:ind w:left="0"/>
      </w:pPr>
    </w:p>
    <w:p w:rsidR="00945CF2" w:rsidRDefault="00945CF2" w:rsidP="007A4C64">
      <w:pPr>
        <w:pStyle w:val="Heading2"/>
      </w:pPr>
      <w:bookmarkStart w:id="20" w:name="_Toc348452607"/>
      <w:bookmarkStart w:id="21" w:name="_Toc349579504"/>
      <w:r>
        <w:t>7.2</w:t>
      </w:r>
      <w:r>
        <w:tab/>
        <w:t>Superannuation</w:t>
      </w:r>
      <w:bookmarkEnd w:id="20"/>
      <w:bookmarkEnd w:id="21"/>
    </w:p>
    <w:p w:rsidR="00945CF2" w:rsidRDefault="00945CF2" w:rsidP="008C3E92">
      <w:pPr>
        <w:pStyle w:val="Default"/>
        <w:rPr>
          <w:sz w:val="23"/>
          <w:szCs w:val="23"/>
        </w:rPr>
      </w:pPr>
      <w:r>
        <w:rPr>
          <w:sz w:val="23"/>
          <w:szCs w:val="23"/>
        </w:rPr>
        <w:t xml:space="preserve">In accordance with the FACHSIA EA, the Agency will make compulsory employer contributions as required by the applicable legislation and fund requirements. </w:t>
      </w:r>
    </w:p>
    <w:p w:rsidR="00945CF2" w:rsidRDefault="00945CF2" w:rsidP="008C3E92">
      <w:pPr>
        <w:pStyle w:val="Default"/>
        <w:rPr>
          <w:sz w:val="23"/>
          <w:szCs w:val="23"/>
        </w:rPr>
      </w:pPr>
    </w:p>
    <w:p w:rsidR="00945CF2" w:rsidRDefault="00945CF2" w:rsidP="008C3E92">
      <w:pPr>
        <w:pStyle w:val="Default"/>
        <w:rPr>
          <w:sz w:val="23"/>
          <w:szCs w:val="23"/>
        </w:rPr>
      </w:pPr>
      <w:r>
        <w:rPr>
          <w:sz w:val="23"/>
          <w:szCs w:val="23"/>
        </w:rPr>
        <w:t xml:space="preserve">FaHCSIA’s current default superannuation fund is the Public Sector Superannuation Accumulation Plan (PSSap). FAHCSIA will provide employer superannuation to members of the PSSap of no less than 15.4% of an employee’s fortnightly contribution salary. </w:t>
      </w:r>
    </w:p>
    <w:p w:rsidR="00945CF2" w:rsidRDefault="00945CF2" w:rsidP="008C3E92">
      <w:pPr>
        <w:pStyle w:val="Default"/>
        <w:rPr>
          <w:sz w:val="23"/>
          <w:szCs w:val="23"/>
        </w:rPr>
      </w:pPr>
    </w:p>
    <w:p w:rsidR="00945CF2" w:rsidRDefault="00945CF2" w:rsidP="008C3E92">
      <w:pPr>
        <w:pStyle w:val="Default"/>
        <w:rPr>
          <w:sz w:val="23"/>
          <w:szCs w:val="23"/>
        </w:rPr>
      </w:pPr>
      <w:r>
        <w:rPr>
          <w:sz w:val="23"/>
          <w:szCs w:val="23"/>
        </w:rPr>
        <w:t xml:space="preserve">Where an employee exercises superannuation choice, employer superannuation contributions will be no less than 15.4% of an employee’s fortnightly contribution salary. This will not be reduced by any other contributions made through salary sacrifice arrangements. This clause does not apply where a superannuation fund cannot accept employer superannuation contributions (e.g. unable to accept contributions for people aged over 75). </w:t>
      </w:r>
    </w:p>
    <w:p w:rsidR="00945CF2" w:rsidRDefault="00945CF2" w:rsidP="008C3E92">
      <w:pPr>
        <w:pStyle w:val="Default"/>
        <w:rPr>
          <w:sz w:val="23"/>
          <w:szCs w:val="23"/>
        </w:rPr>
      </w:pPr>
    </w:p>
    <w:p w:rsidR="00945CF2" w:rsidRDefault="00945CF2" w:rsidP="00E82C93">
      <w:pPr>
        <w:pStyle w:val="Heading2"/>
      </w:pPr>
      <w:bookmarkStart w:id="22" w:name="_Toc348452608"/>
      <w:bookmarkStart w:id="23" w:name="_Toc349579505"/>
      <w:r>
        <w:t>7.3</w:t>
      </w:r>
      <w:r>
        <w:tab/>
        <w:t>Travel and other incidentals</w:t>
      </w:r>
      <w:bookmarkEnd w:id="22"/>
      <w:bookmarkEnd w:id="23"/>
      <w:r>
        <w:t xml:space="preserve"> </w:t>
      </w:r>
    </w:p>
    <w:p w:rsidR="00D44DF4" w:rsidRDefault="00945CF2" w:rsidP="008C3E92">
      <w:pPr>
        <w:pStyle w:val="Default"/>
        <w:rPr>
          <w:sz w:val="23"/>
          <w:szCs w:val="23"/>
        </w:rPr>
      </w:pPr>
      <w:r>
        <w:rPr>
          <w:sz w:val="23"/>
          <w:szCs w:val="23"/>
        </w:rPr>
        <w:t xml:space="preserve">The FAHCSIA EA outlines travel policy that will apply in the initial period of employment with the Agency. </w:t>
      </w:r>
    </w:p>
    <w:p w:rsidR="00945CF2" w:rsidRDefault="00D44DF4" w:rsidP="008C3E92">
      <w:pPr>
        <w:pStyle w:val="Default"/>
        <w:rPr>
          <w:sz w:val="23"/>
          <w:szCs w:val="23"/>
        </w:rPr>
      </w:pPr>
      <w:r>
        <w:rPr>
          <w:sz w:val="23"/>
          <w:szCs w:val="23"/>
        </w:rPr>
        <w:br w:type="page"/>
      </w:r>
    </w:p>
    <w:p w:rsidR="00945CF2" w:rsidRDefault="00945CF2" w:rsidP="007A4C64">
      <w:pPr>
        <w:pStyle w:val="Heading1"/>
      </w:pPr>
      <w:bookmarkStart w:id="24" w:name="_Toc348452609"/>
      <w:bookmarkStart w:id="25" w:name="_Toc349579506"/>
      <w:r>
        <w:t>8</w:t>
      </w:r>
      <w:r>
        <w:tab/>
        <w:t>Communications</w:t>
      </w:r>
      <w:bookmarkEnd w:id="24"/>
      <w:bookmarkEnd w:id="25"/>
      <w:r>
        <w:t xml:space="preserve"> </w:t>
      </w:r>
    </w:p>
    <w:p w:rsidR="00945CF2" w:rsidRDefault="00945CF2" w:rsidP="007A4C64">
      <w:pPr>
        <w:spacing w:after="0" w:line="240" w:lineRule="auto"/>
      </w:pPr>
    </w:p>
    <w:p w:rsidR="00945CF2" w:rsidRDefault="00945CF2" w:rsidP="007A4C64">
      <w:pPr>
        <w:spacing w:after="0" w:line="240" w:lineRule="auto"/>
      </w:pPr>
      <w:r>
        <w:t>While it is acknowledged there is no requirement from the state to be actively involved in local recruitment, the Agency Launch Site Manger will keep the local state managers advised about recruitment activities. This will occur at the weekly implementation working group meetings.</w:t>
      </w:r>
    </w:p>
    <w:p w:rsidR="00945CF2" w:rsidRDefault="00945CF2" w:rsidP="007A4C64">
      <w:pPr>
        <w:spacing w:after="0" w:line="240" w:lineRule="auto"/>
      </w:pPr>
    </w:p>
    <w:p w:rsidR="00945CF2" w:rsidRDefault="00945CF2" w:rsidP="007A4C64">
      <w:pPr>
        <w:spacing w:after="0" w:line="240" w:lineRule="auto"/>
      </w:pPr>
      <w:r>
        <w:t>At the request of DHS, the Agency will provide information to local state employees about employment opportunities and processes.</w:t>
      </w:r>
    </w:p>
    <w:p w:rsidR="00945CF2" w:rsidRDefault="00945CF2" w:rsidP="007A4C64">
      <w:pPr>
        <w:spacing w:after="0" w:line="240" w:lineRule="auto"/>
      </w:pPr>
    </w:p>
    <w:sectPr w:rsidR="00945CF2" w:rsidSect="006E3C07">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F2" w:rsidRDefault="00945CF2" w:rsidP="00BE79B0">
      <w:pPr>
        <w:spacing w:after="0" w:line="240" w:lineRule="auto"/>
      </w:pPr>
      <w:r>
        <w:separator/>
      </w:r>
    </w:p>
    <w:p w:rsidR="00945CF2" w:rsidRDefault="00945CF2"/>
  </w:endnote>
  <w:endnote w:type="continuationSeparator" w:id="0">
    <w:p w:rsidR="00945CF2" w:rsidRDefault="00945CF2" w:rsidP="00BE79B0">
      <w:pPr>
        <w:spacing w:after="0" w:line="240" w:lineRule="auto"/>
      </w:pPr>
      <w:r>
        <w:continuationSeparator/>
      </w:r>
    </w:p>
    <w:p w:rsidR="00945CF2" w:rsidRDefault="00945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7E" w:rsidRDefault="008F4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50125"/>
      <w:docPartObj>
        <w:docPartGallery w:val="Page Numbers (Bottom of Page)"/>
        <w:docPartUnique/>
      </w:docPartObj>
    </w:sdtPr>
    <w:sdtEndPr>
      <w:rPr>
        <w:color w:val="808080" w:themeColor="background1" w:themeShade="80"/>
        <w:spacing w:val="60"/>
      </w:rPr>
    </w:sdtEndPr>
    <w:sdtContent>
      <w:p w:rsidR="00724FAF" w:rsidRDefault="0015307B">
        <w:pPr>
          <w:pStyle w:val="Footer"/>
          <w:pBdr>
            <w:top w:val="single" w:sz="4" w:space="1" w:color="D9D9D9" w:themeColor="background1" w:themeShade="D9"/>
          </w:pBdr>
          <w:jc w:val="right"/>
        </w:pPr>
        <w:r>
          <w:fldChar w:fldCharType="begin"/>
        </w:r>
        <w:r w:rsidR="00724FAF">
          <w:instrText xml:space="preserve"> PAGE   \* MERGEFORMAT </w:instrText>
        </w:r>
        <w:r>
          <w:fldChar w:fldCharType="separate"/>
        </w:r>
        <w:r w:rsidR="00650918">
          <w:rPr>
            <w:noProof/>
          </w:rPr>
          <w:t>1</w:t>
        </w:r>
        <w:r>
          <w:rPr>
            <w:noProof/>
          </w:rPr>
          <w:fldChar w:fldCharType="end"/>
        </w:r>
        <w:r w:rsidR="00724FAF">
          <w:t xml:space="preserve"> | </w:t>
        </w:r>
        <w:r w:rsidR="00724FAF">
          <w:rPr>
            <w:color w:val="808080" w:themeColor="background1" w:themeShade="80"/>
            <w:spacing w:val="60"/>
          </w:rPr>
          <w:t>Page</w:t>
        </w:r>
      </w:p>
    </w:sdtContent>
  </w:sdt>
  <w:p w:rsidR="00945CF2" w:rsidRDefault="008F4E7E">
    <w:r>
      <w:t>5 April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7E" w:rsidRDefault="008F4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F2" w:rsidRDefault="00945CF2" w:rsidP="00BE79B0">
      <w:pPr>
        <w:spacing w:after="0" w:line="240" w:lineRule="auto"/>
      </w:pPr>
      <w:r>
        <w:separator/>
      </w:r>
    </w:p>
    <w:p w:rsidR="00945CF2" w:rsidRDefault="00945CF2"/>
  </w:footnote>
  <w:footnote w:type="continuationSeparator" w:id="0">
    <w:p w:rsidR="00945CF2" w:rsidRDefault="00945CF2" w:rsidP="00BE79B0">
      <w:pPr>
        <w:spacing w:after="0" w:line="240" w:lineRule="auto"/>
      </w:pPr>
      <w:r>
        <w:continuationSeparator/>
      </w:r>
    </w:p>
    <w:p w:rsidR="00945CF2" w:rsidRDefault="00945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7E" w:rsidRDefault="008F4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93" w:rsidRPr="00A43A93" w:rsidRDefault="00A43A93" w:rsidP="00A43A93">
    <w:pPr>
      <w:pStyle w:val="Header"/>
      <w:jc w:val="right"/>
      <w:rPr>
        <w:rFonts w:asciiTheme="minorHAnsi" w:hAnsiTheme="minorHAnsi" w:cstheme="minorHAnsi"/>
        <w:b/>
        <w:lang w:val="en-US"/>
      </w:rPr>
    </w:pPr>
    <w:r w:rsidRPr="00A43A93">
      <w:rPr>
        <w:rFonts w:asciiTheme="minorHAnsi" w:hAnsiTheme="minorHAnsi" w:cstheme="minorHAnsi"/>
        <w:b/>
        <w:lang w:val="en-US"/>
      </w:rPr>
      <w:t>Schedule B</w:t>
    </w:r>
  </w:p>
  <w:p w:rsidR="00945CF2" w:rsidRPr="00A43A93" w:rsidRDefault="00945CF2">
    <w:pPr>
      <w:pStyle w:val="Header"/>
      <w:rPr>
        <w:rFonts w:asciiTheme="minorHAnsi" w:hAnsiTheme="minorHAnsi" w:cstheme="minorHAnsi"/>
      </w:rPr>
    </w:pPr>
  </w:p>
  <w:p w:rsidR="00945CF2" w:rsidRDefault="00945C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7E" w:rsidRDefault="008F4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225136"/>
    <w:lvl w:ilvl="0">
      <w:start w:val="1"/>
      <w:numFmt w:val="decimal"/>
      <w:lvlText w:val="%1."/>
      <w:lvlJc w:val="left"/>
      <w:pPr>
        <w:tabs>
          <w:tab w:val="num" w:pos="360"/>
        </w:tabs>
        <w:ind w:left="360" w:hanging="360"/>
      </w:pPr>
    </w:lvl>
  </w:abstractNum>
  <w:abstractNum w:abstractNumId="1">
    <w:nsid w:val="FFFFFFFE"/>
    <w:multiLevelType w:val="singleLevel"/>
    <w:tmpl w:val="82240892"/>
    <w:lvl w:ilvl="0">
      <w:numFmt w:val="bullet"/>
      <w:lvlText w:val="*"/>
      <w:lvlJc w:val="left"/>
    </w:lvl>
  </w:abstractNum>
  <w:abstractNum w:abstractNumId="2">
    <w:nsid w:val="0B933425"/>
    <w:multiLevelType w:val="hybridMultilevel"/>
    <w:tmpl w:val="06E4B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075C45"/>
    <w:multiLevelType w:val="hybridMultilevel"/>
    <w:tmpl w:val="0076F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2A04DC"/>
    <w:multiLevelType w:val="hybridMultilevel"/>
    <w:tmpl w:val="1BC6DC14"/>
    <w:lvl w:ilvl="0" w:tplc="8040AE30">
      <w:start w:val="4"/>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nsid w:val="2AC90FD1"/>
    <w:multiLevelType w:val="hybridMultilevel"/>
    <w:tmpl w:val="EAEC0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FE1B88"/>
    <w:multiLevelType w:val="hybridMultilevel"/>
    <w:tmpl w:val="1486B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013792"/>
    <w:multiLevelType w:val="hybridMultilevel"/>
    <w:tmpl w:val="42F87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4"/>
  </w:num>
  <w:num w:numId="8">
    <w:abstractNumId w:val="1"/>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7A"/>
    <w:rsid w:val="000247D1"/>
    <w:rsid w:val="00030C36"/>
    <w:rsid w:val="00031555"/>
    <w:rsid w:val="000327A8"/>
    <w:rsid w:val="000369AE"/>
    <w:rsid w:val="000408D0"/>
    <w:rsid w:val="00041F7D"/>
    <w:rsid w:val="00047B4C"/>
    <w:rsid w:val="0006147A"/>
    <w:rsid w:val="00063286"/>
    <w:rsid w:val="000660DB"/>
    <w:rsid w:val="00075972"/>
    <w:rsid w:val="00076F3D"/>
    <w:rsid w:val="000877DE"/>
    <w:rsid w:val="0009078D"/>
    <w:rsid w:val="00096BF5"/>
    <w:rsid w:val="000A11CB"/>
    <w:rsid w:val="000B5BDC"/>
    <w:rsid w:val="000D2A29"/>
    <w:rsid w:val="001009AD"/>
    <w:rsid w:val="001063AB"/>
    <w:rsid w:val="00107D60"/>
    <w:rsid w:val="001120F2"/>
    <w:rsid w:val="0011574F"/>
    <w:rsid w:val="00121C83"/>
    <w:rsid w:val="00134336"/>
    <w:rsid w:val="0015307B"/>
    <w:rsid w:val="001609AD"/>
    <w:rsid w:val="001635C4"/>
    <w:rsid w:val="0016391A"/>
    <w:rsid w:val="00163FD4"/>
    <w:rsid w:val="00174503"/>
    <w:rsid w:val="00174792"/>
    <w:rsid w:val="00174D39"/>
    <w:rsid w:val="0018461A"/>
    <w:rsid w:val="00186083"/>
    <w:rsid w:val="00186ACA"/>
    <w:rsid w:val="001962AE"/>
    <w:rsid w:val="001B1953"/>
    <w:rsid w:val="001B6584"/>
    <w:rsid w:val="001D3F8F"/>
    <w:rsid w:val="001E630D"/>
    <w:rsid w:val="001E6D76"/>
    <w:rsid w:val="001E7B83"/>
    <w:rsid w:val="002008BA"/>
    <w:rsid w:val="00211BEC"/>
    <w:rsid w:val="002169A2"/>
    <w:rsid w:val="00216DBB"/>
    <w:rsid w:val="00225040"/>
    <w:rsid w:val="00247E82"/>
    <w:rsid w:val="002516E0"/>
    <w:rsid w:val="00262227"/>
    <w:rsid w:val="0028713F"/>
    <w:rsid w:val="0029597A"/>
    <w:rsid w:val="002A3EDA"/>
    <w:rsid w:val="002A7558"/>
    <w:rsid w:val="002C295D"/>
    <w:rsid w:val="002D24B1"/>
    <w:rsid w:val="002D3442"/>
    <w:rsid w:val="002D4C25"/>
    <w:rsid w:val="002E58F0"/>
    <w:rsid w:val="002F0CCF"/>
    <w:rsid w:val="002F75F4"/>
    <w:rsid w:val="0030196D"/>
    <w:rsid w:val="00305139"/>
    <w:rsid w:val="003057ED"/>
    <w:rsid w:val="003073B4"/>
    <w:rsid w:val="00312427"/>
    <w:rsid w:val="0032290F"/>
    <w:rsid w:val="00327E66"/>
    <w:rsid w:val="00331926"/>
    <w:rsid w:val="00355F36"/>
    <w:rsid w:val="00356C45"/>
    <w:rsid w:val="0036447F"/>
    <w:rsid w:val="00383A40"/>
    <w:rsid w:val="00384139"/>
    <w:rsid w:val="00386D5C"/>
    <w:rsid w:val="003A156D"/>
    <w:rsid w:val="003A1BC7"/>
    <w:rsid w:val="003A5770"/>
    <w:rsid w:val="003B1ABA"/>
    <w:rsid w:val="003B1E31"/>
    <w:rsid w:val="003B2BB8"/>
    <w:rsid w:val="003D34FF"/>
    <w:rsid w:val="003D52A8"/>
    <w:rsid w:val="003E16A9"/>
    <w:rsid w:val="003E288C"/>
    <w:rsid w:val="003E69CB"/>
    <w:rsid w:val="003E74C3"/>
    <w:rsid w:val="003F26F0"/>
    <w:rsid w:val="003F61EC"/>
    <w:rsid w:val="00401E36"/>
    <w:rsid w:val="00404098"/>
    <w:rsid w:val="00417F52"/>
    <w:rsid w:val="004279A4"/>
    <w:rsid w:val="00442886"/>
    <w:rsid w:val="00456C96"/>
    <w:rsid w:val="00463776"/>
    <w:rsid w:val="00473CA3"/>
    <w:rsid w:val="004767E0"/>
    <w:rsid w:val="004800CE"/>
    <w:rsid w:val="00480F1C"/>
    <w:rsid w:val="00486DF3"/>
    <w:rsid w:val="00492D08"/>
    <w:rsid w:val="004A08A6"/>
    <w:rsid w:val="004A7E9B"/>
    <w:rsid w:val="004B54CA"/>
    <w:rsid w:val="004C1B8C"/>
    <w:rsid w:val="004C65C2"/>
    <w:rsid w:val="004C78C1"/>
    <w:rsid w:val="004E5CBF"/>
    <w:rsid w:val="004E7442"/>
    <w:rsid w:val="004F0B00"/>
    <w:rsid w:val="00505D22"/>
    <w:rsid w:val="00531FF3"/>
    <w:rsid w:val="00563D13"/>
    <w:rsid w:val="00566FE4"/>
    <w:rsid w:val="00583A33"/>
    <w:rsid w:val="00592363"/>
    <w:rsid w:val="005938A9"/>
    <w:rsid w:val="005977C6"/>
    <w:rsid w:val="005A1B5A"/>
    <w:rsid w:val="005A4632"/>
    <w:rsid w:val="005C2926"/>
    <w:rsid w:val="005C3AA9"/>
    <w:rsid w:val="005C777B"/>
    <w:rsid w:val="005E07B0"/>
    <w:rsid w:val="005E2A00"/>
    <w:rsid w:val="005F4F76"/>
    <w:rsid w:val="00601A60"/>
    <w:rsid w:val="00601EBB"/>
    <w:rsid w:val="00616BE8"/>
    <w:rsid w:val="00623348"/>
    <w:rsid w:val="00631946"/>
    <w:rsid w:val="006353FF"/>
    <w:rsid w:val="006428D5"/>
    <w:rsid w:val="006452FC"/>
    <w:rsid w:val="006505FE"/>
    <w:rsid w:val="00650918"/>
    <w:rsid w:val="006753C3"/>
    <w:rsid w:val="00676A5A"/>
    <w:rsid w:val="00684406"/>
    <w:rsid w:val="006A4CE7"/>
    <w:rsid w:val="006B4D3D"/>
    <w:rsid w:val="006C28BD"/>
    <w:rsid w:val="006C3EE4"/>
    <w:rsid w:val="006C571F"/>
    <w:rsid w:val="006D314B"/>
    <w:rsid w:val="006E2C25"/>
    <w:rsid w:val="006E3C07"/>
    <w:rsid w:val="00700C2E"/>
    <w:rsid w:val="00706AB3"/>
    <w:rsid w:val="00711281"/>
    <w:rsid w:val="00724FAF"/>
    <w:rsid w:val="0073084C"/>
    <w:rsid w:val="00734D3D"/>
    <w:rsid w:val="0073765C"/>
    <w:rsid w:val="00756F70"/>
    <w:rsid w:val="00763D90"/>
    <w:rsid w:val="00763F32"/>
    <w:rsid w:val="00783499"/>
    <w:rsid w:val="007834BF"/>
    <w:rsid w:val="00785261"/>
    <w:rsid w:val="0079350B"/>
    <w:rsid w:val="007A3CDB"/>
    <w:rsid w:val="007A4C64"/>
    <w:rsid w:val="007B0256"/>
    <w:rsid w:val="007B2E58"/>
    <w:rsid w:val="007B5624"/>
    <w:rsid w:val="007C4962"/>
    <w:rsid w:val="007D6E84"/>
    <w:rsid w:val="007E7248"/>
    <w:rsid w:val="007F15A9"/>
    <w:rsid w:val="007F4EB2"/>
    <w:rsid w:val="0080789C"/>
    <w:rsid w:val="00861E49"/>
    <w:rsid w:val="00863121"/>
    <w:rsid w:val="00871E36"/>
    <w:rsid w:val="0087633C"/>
    <w:rsid w:val="00892FE8"/>
    <w:rsid w:val="008A7B47"/>
    <w:rsid w:val="008C3837"/>
    <w:rsid w:val="008C3E92"/>
    <w:rsid w:val="008D3755"/>
    <w:rsid w:val="008E0578"/>
    <w:rsid w:val="008E5E79"/>
    <w:rsid w:val="008F4E7E"/>
    <w:rsid w:val="00901835"/>
    <w:rsid w:val="00913BB0"/>
    <w:rsid w:val="00917E0F"/>
    <w:rsid w:val="009225F0"/>
    <w:rsid w:val="00931691"/>
    <w:rsid w:val="00934603"/>
    <w:rsid w:val="00945CF2"/>
    <w:rsid w:val="00945F59"/>
    <w:rsid w:val="00974E7A"/>
    <w:rsid w:val="009816FF"/>
    <w:rsid w:val="0099127D"/>
    <w:rsid w:val="009929B8"/>
    <w:rsid w:val="009A3CCE"/>
    <w:rsid w:val="009A7E0B"/>
    <w:rsid w:val="009B168F"/>
    <w:rsid w:val="009D2D74"/>
    <w:rsid w:val="009D2FDE"/>
    <w:rsid w:val="009D3FA6"/>
    <w:rsid w:val="009D6A51"/>
    <w:rsid w:val="009D7F4C"/>
    <w:rsid w:val="009E1C9A"/>
    <w:rsid w:val="00A02715"/>
    <w:rsid w:val="00A12A79"/>
    <w:rsid w:val="00A14BDD"/>
    <w:rsid w:val="00A16F15"/>
    <w:rsid w:val="00A23BB4"/>
    <w:rsid w:val="00A25351"/>
    <w:rsid w:val="00A349A2"/>
    <w:rsid w:val="00A43A93"/>
    <w:rsid w:val="00A93BCA"/>
    <w:rsid w:val="00AC6DC7"/>
    <w:rsid w:val="00B0029F"/>
    <w:rsid w:val="00B124A0"/>
    <w:rsid w:val="00B26CB8"/>
    <w:rsid w:val="00B42F3A"/>
    <w:rsid w:val="00B440CA"/>
    <w:rsid w:val="00B4421C"/>
    <w:rsid w:val="00B54F9F"/>
    <w:rsid w:val="00B57114"/>
    <w:rsid w:val="00B63B27"/>
    <w:rsid w:val="00B67076"/>
    <w:rsid w:val="00B7612A"/>
    <w:rsid w:val="00B7730F"/>
    <w:rsid w:val="00B803A1"/>
    <w:rsid w:val="00B9105B"/>
    <w:rsid w:val="00BA116E"/>
    <w:rsid w:val="00BA2DB9"/>
    <w:rsid w:val="00BA4A00"/>
    <w:rsid w:val="00BD0A58"/>
    <w:rsid w:val="00BE7148"/>
    <w:rsid w:val="00BE79B0"/>
    <w:rsid w:val="00C05479"/>
    <w:rsid w:val="00C06B0C"/>
    <w:rsid w:val="00C11B10"/>
    <w:rsid w:val="00C1487D"/>
    <w:rsid w:val="00C20851"/>
    <w:rsid w:val="00C33905"/>
    <w:rsid w:val="00C455B6"/>
    <w:rsid w:val="00C47932"/>
    <w:rsid w:val="00C54F91"/>
    <w:rsid w:val="00C60193"/>
    <w:rsid w:val="00C642B0"/>
    <w:rsid w:val="00C647B7"/>
    <w:rsid w:val="00C75E20"/>
    <w:rsid w:val="00C839EF"/>
    <w:rsid w:val="00C86142"/>
    <w:rsid w:val="00C87BC7"/>
    <w:rsid w:val="00C91E0C"/>
    <w:rsid w:val="00C9232B"/>
    <w:rsid w:val="00C938B6"/>
    <w:rsid w:val="00C96F19"/>
    <w:rsid w:val="00CA0F76"/>
    <w:rsid w:val="00CA4F94"/>
    <w:rsid w:val="00CA5F33"/>
    <w:rsid w:val="00CB0A45"/>
    <w:rsid w:val="00CC74FF"/>
    <w:rsid w:val="00CD5F6E"/>
    <w:rsid w:val="00CD7F47"/>
    <w:rsid w:val="00CE3D3E"/>
    <w:rsid w:val="00CE50B7"/>
    <w:rsid w:val="00CF3AF9"/>
    <w:rsid w:val="00CF6510"/>
    <w:rsid w:val="00D06480"/>
    <w:rsid w:val="00D11782"/>
    <w:rsid w:val="00D11EF6"/>
    <w:rsid w:val="00D15791"/>
    <w:rsid w:val="00D2062B"/>
    <w:rsid w:val="00D27528"/>
    <w:rsid w:val="00D3398F"/>
    <w:rsid w:val="00D44DF4"/>
    <w:rsid w:val="00D65BCE"/>
    <w:rsid w:val="00D7171F"/>
    <w:rsid w:val="00D81BD0"/>
    <w:rsid w:val="00D97169"/>
    <w:rsid w:val="00DA5226"/>
    <w:rsid w:val="00DB01CE"/>
    <w:rsid w:val="00DB57C4"/>
    <w:rsid w:val="00DE45F2"/>
    <w:rsid w:val="00DE67E0"/>
    <w:rsid w:val="00DF1FF3"/>
    <w:rsid w:val="00DF2934"/>
    <w:rsid w:val="00DF3C8F"/>
    <w:rsid w:val="00DF6C21"/>
    <w:rsid w:val="00E020F3"/>
    <w:rsid w:val="00E279C9"/>
    <w:rsid w:val="00E40A45"/>
    <w:rsid w:val="00E42CA9"/>
    <w:rsid w:val="00E468F1"/>
    <w:rsid w:val="00E528EA"/>
    <w:rsid w:val="00E53A34"/>
    <w:rsid w:val="00E705F0"/>
    <w:rsid w:val="00E827C5"/>
    <w:rsid w:val="00E82C93"/>
    <w:rsid w:val="00E87923"/>
    <w:rsid w:val="00E97EC2"/>
    <w:rsid w:val="00EA2DBA"/>
    <w:rsid w:val="00EA63F5"/>
    <w:rsid w:val="00EB023E"/>
    <w:rsid w:val="00EB038E"/>
    <w:rsid w:val="00EB35DA"/>
    <w:rsid w:val="00EB3A17"/>
    <w:rsid w:val="00EB3FC6"/>
    <w:rsid w:val="00EC679B"/>
    <w:rsid w:val="00EC6D9F"/>
    <w:rsid w:val="00ED2402"/>
    <w:rsid w:val="00EF6470"/>
    <w:rsid w:val="00EF6D60"/>
    <w:rsid w:val="00F070A7"/>
    <w:rsid w:val="00F15681"/>
    <w:rsid w:val="00F43E53"/>
    <w:rsid w:val="00F46871"/>
    <w:rsid w:val="00F52E50"/>
    <w:rsid w:val="00F57C5E"/>
    <w:rsid w:val="00F625A9"/>
    <w:rsid w:val="00F7298E"/>
    <w:rsid w:val="00F913CF"/>
    <w:rsid w:val="00F935FE"/>
    <w:rsid w:val="00FA39D7"/>
    <w:rsid w:val="00FA42D0"/>
    <w:rsid w:val="00FA560F"/>
    <w:rsid w:val="00FB0B20"/>
    <w:rsid w:val="00FB6FB4"/>
    <w:rsid w:val="00FC57F4"/>
    <w:rsid w:val="00FD484E"/>
    <w:rsid w:val="00FE127F"/>
    <w:rsid w:val="00FF0052"/>
    <w:rsid w:val="00FF0A5E"/>
    <w:rsid w:val="00FF5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rFonts w:cs="Times New Roman"/>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rFonts w:cs="Times New Roman"/>
      <w:smallCaps/>
    </w:rPr>
  </w:style>
  <w:style w:type="character" w:styleId="IntenseReference">
    <w:name w:val="Intense Reference"/>
    <w:basedOn w:val="DefaultParagraphFont"/>
    <w:uiPriority w:val="99"/>
    <w:qFormat/>
    <w:rsid w:val="004B54CA"/>
    <w:rPr>
      <w:rFonts w:cs="Times New Roman"/>
      <w:smallCaps/>
      <w:spacing w:val="5"/>
      <w:u w:val="single"/>
    </w:rPr>
  </w:style>
  <w:style w:type="character" w:styleId="BookTitle">
    <w:name w:val="Book Title"/>
    <w:basedOn w:val="DefaultParagraphFont"/>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Header">
    <w:name w:val="header"/>
    <w:basedOn w:val="Normal"/>
    <w:link w:val="HeaderChar"/>
    <w:uiPriority w:val="99"/>
    <w:rsid w:val="00BE79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79B0"/>
    <w:rPr>
      <w:rFonts w:ascii="Arial" w:hAnsi="Arial" w:cs="Times New Roman"/>
    </w:rPr>
  </w:style>
  <w:style w:type="paragraph" w:styleId="Footer">
    <w:name w:val="footer"/>
    <w:basedOn w:val="Normal"/>
    <w:link w:val="FooterChar"/>
    <w:uiPriority w:val="99"/>
    <w:rsid w:val="00BE79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79B0"/>
    <w:rPr>
      <w:rFonts w:ascii="Arial" w:hAnsi="Arial" w:cs="Times New Roman"/>
    </w:rPr>
  </w:style>
  <w:style w:type="paragraph" w:styleId="BalloonText">
    <w:name w:val="Balloon Text"/>
    <w:basedOn w:val="Normal"/>
    <w:link w:val="BalloonTextChar"/>
    <w:uiPriority w:val="99"/>
    <w:semiHidden/>
    <w:rsid w:val="00BE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9B0"/>
    <w:rPr>
      <w:rFonts w:ascii="Tahoma" w:hAnsi="Tahoma" w:cs="Tahoma"/>
      <w:sz w:val="16"/>
      <w:szCs w:val="16"/>
    </w:rPr>
  </w:style>
  <w:style w:type="paragraph" w:styleId="TOC1">
    <w:name w:val="toc 1"/>
    <w:basedOn w:val="Normal"/>
    <w:next w:val="Normal"/>
    <w:autoRedefine/>
    <w:uiPriority w:val="99"/>
    <w:rsid w:val="007F4EB2"/>
    <w:pPr>
      <w:spacing w:after="100"/>
    </w:pPr>
  </w:style>
  <w:style w:type="paragraph" w:styleId="TOC2">
    <w:name w:val="toc 2"/>
    <w:basedOn w:val="Normal"/>
    <w:next w:val="Normal"/>
    <w:autoRedefine/>
    <w:uiPriority w:val="99"/>
    <w:rsid w:val="002E58F0"/>
    <w:pPr>
      <w:tabs>
        <w:tab w:val="left" w:pos="880"/>
        <w:tab w:val="right" w:leader="dot" w:pos="9016"/>
      </w:tabs>
      <w:spacing w:after="100" w:line="240" w:lineRule="auto"/>
      <w:ind w:left="220"/>
    </w:pPr>
  </w:style>
  <w:style w:type="character" w:styleId="Hyperlink">
    <w:name w:val="Hyperlink"/>
    <w:basedOn w:val="DefaultParagraphFont"/>
    <w:uiPriority w:val="99"/>
    <w:rsid w:val="007F4EB2"/>
    <w:rPr>
      <w:rFonts w:cs="Times New Roman"/>
      <w:color w:val="0000FF"/>
      <w:u w:val="single"/>
    </w:rPr>
  </w:style>
  <w:style w:type="paragraph" w:styleId="ListNumber">
    <w:name w:val="List Number"/>
    <w:basedOn w:val="Normal"/>
    <w:uiPriority w:val="99"/>
    <w:semiHidden/>
    <w:rsid w:val="00CE50B7"/>
    <w:pPr>
      <w:tabs>
        <w:tab w:val="num" w:pos="360"/>
      </w:tabs>
      <w:spacing w:after="0" w:line="360" w:lineRule="auto"/>
      <w:ind w:left="360" w:hanging="360"/>
    </w:pPr>
    <w:rPr>
      <w:rFonts w:eastAsia="Times New Roman"/>
      <w:sz w:val="28"/>
      <w:szCs w:val="20"/>
    </w:rPr>
  </w:style>
  <w:style w:type="paragraph" w:customStyle="1" w:styleId="Backgroundtext">
    <w:name w:val="Background text"/>
    <w:basedOn w:val="Normal"/>
    <w:uiPriority w:val="99"/>
    <w:rsid w:val="002D24B1"/>
    <w:pPr>
      <w:spacing w:after="120" w:line="360" w:lineRule="auto"/>
    </w:pPr>
    <w:rPr>
      <w:rFonts w:ascii="Arial (W1)" w:eastAsia="Times New Roman" w:hAnsi="Arial (W1)"/>
      <w:sz w:val="24"/>
      <w:szCs w:val="20"/>
    </w:rPr>
  </w:style>
  <w:style w:type="table" w:styleId="TableGrid">
    <w:name w:val="Table Grid"/>
    <w:basedOn w:val="TableNormal"/>
    <w:uiPriority w:val="99"/>
    <w:rsid w:val="006E2C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C3E92"/>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480F1C"/>
    <w:rPr>
      <w:rFonts w:cs="Times New Roman"/>
      <w:sz w:val="16"/>
      <w:szCs w:val="16"/>
    </w:rPr>
  </w:style>
  <w:style w:type="paragraph" w:styleId="CommentText">
    <w:name w:val="annotation text"/>
    <w:basedOn w:val="Normal"/>
    <w:link w:val="CommentTextChar"/>
    <w:uiPriority w:val="99"/>
    <w:semiHidden/>
    <w:rsid w:val="00480F1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0F1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80F1C"/>
    <w:rPr>
      <w:b/>
      <w:bCs/>
    </w:rPr>
  </w:style>
  <w:style w:type="character" w:customStyle="1" w:styleId="CommentSubjectChar">
    <w:name w:val="Comment Subject Char"/>
    <w:basedOn w:val="CommentTextChar"/>
    <w:link w:val="CommentSubject"/>
    <w:uiPriority w:val="99"/>
    <w:semiHidden/>
    <w:locked/>
    <w:rsid w:val="00480F1C"/>
    <w:rPr>
      <w:rFonts w:ascii="Arial" w:hAnsi="Arial" w:cs="Times New Roman"/>
      <w:b/>
      <w:bCs/>
      <w:sz w:val="20"/>
      <w:szCs w:val="20"/>
    </w:rPr>
  </w:style>
  <w:style w:type="paragraph" w:customStyle="1" w:styleId="DefaultText">
    <w:name w:val="Default Text"/>
    <w:basedOn w:val="Normal"/>
    <w:uiPriority w:val="99"/>
    <w:rsid w:val="00CD5F6E"/>
    <w:pPr>
      <w:spacing w:after="0" w:line="240" w:lineRule="auto"/>
    </w:pPr>
    <w:rPr>
      <w:rFonts w:ascii="Times New Roman" w:eastAsia="Times New Roman" w:hAnsi="Times New Roman"/>
      <w:sz w:val="24"/>
      <w:szCs w:val="20"/>
    </w:rPr>
  </w:style>
  <w:style w:type="paragraph" w:styleId="TOC3">
    <w:name w:val="toc 3"/>
    <w:basedOn w:val="Normal"/>
    <w:next w:val="Normal"/>
    <w:autoRedefine/>
    <w:uiPriority w:val="99"/>
    <w:rsid w:val="003073B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rFonts w:cs="Times New Roman"/>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rFonts w:cs="Times New Roman"/>
      <w:smallCaps/>
    </w:rPr>
  </w:style>
  <w:style w:type="character" w:styleId="IntenseReference">
    <w:name w:val="Intense Reference"/>
    <w:basedOn w:val="DefaultParagraphFont"/>
    <w:uiPriority w:val="99"/>
    <w:qFormat/>
    <w:rsid w:val="004B54CA"/>
    <w:rPr>
      <w:rFonts w:cs="Times New Roman"/>
      <w:smallCaps/>
      <w:spacing w:val="5"/>
      <w:u w:val="single"/>
    </w:rPr>
  </w:style>
  <w:style w:type="character" w:styleId="BookTitle">
    <w:name w:val="Book Title"/>
    <w:basedOn w:val="DefaultParagraphFont"/>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Header">
    <w:name w:val="header"/>
    <w:basedOn w:val="Normal"/>
    <w:link w:val="HeaderChar"/>
    <w:uiPriority w:val="99"/>
    <w:rsid w:val="00BE79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79B0"/>
    <w:rPr>
      <w:rFonts w:ascii="Arial" w:hAnsi="Arial" w:cs="Times New Roman"/>
    </w:rPr>
  </w:style>
  <w:style w:type="paragraph" w:styleId="Footer">
    <w:name w:val="footer"/>
    <w:basedOn w:val="Normal"/>
    <w:link w:val="FooterChar"/>
    <w:uiPriority w:val="99"/>
    <w:rsid w:val="00BE79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79B0"/>
    <w:rPr>
      <w:rFonts w:ascii="Arial" w:hAnsi="Arial" w:cs="Times New Roman"/>
    </w:rPr>
  </w:style>
  <w:style w:type="paragraph" w:styleId="BalloonText">
    <w:name w:val="Balloon Text"/>
    <w:basedOn w:val="Normal"/>
    <w:link w:val="BalloonTextChar"/>
    <w:uiPriority w:val="99"/>
    <w:semiHidden/>
    <w:rsid w:val="00BE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9B0"/>
    <w:rPr>
      <w:rFonts w:ascii="Tahoma" w:hAnsi="Tahoma" w:cs="Tahoma"/>
      <w:sz w:val="16"/>
      <w:szCs w:val="16"/>
    </w:rPr>
  </w:style>
  <w:style w:type="paragraph" w:styleId="TOC1">
    <w:name w:val="toc 1"/>
    <w:basedOn w:val="Normal"/>
    <w:next w:val="Normal"/>
    <w:autoRedefine/>
    <w:uiPriority w:val="99"/>
    <w:rsid w:val="007F4EB2"/>
    <w:pPr>
      <w:spacing w:after="100"/>
    </w:pPr>
  </w:style>
  <w:style w:type="paragraph" w:styleId="TOC2">
    <w:name w:val="toc 2"/>
    <w:basedOn w:val="Normal"/>
    <w:next w:val="Normal"/>
    <w:autoRedefine/>
    <w:uiPriority w:val="99"/>
    <w:rsid w:val="002E58F0"/>
    <w:pPr>
      <w:tabs>
        <w:tab w:val="left" w:pos="880"/>
        <w:tab w:val="right" w:leader="dot" w:pos="9016"/>
      </w:tabs>
      <w:spacing w:after="100" w:line="240" w:lineRule="auto"/>
      <w:ind w:left="220"/>
    </w:pPr>
  </w:style>
  <w:style w:type="character" w:styleId="Hyperlink">
    <w:name w:val="Hyperlink"/>
    <w:basedOn w:val="DefaultParagraphFont"/>
    <w:uiPriority w:val="99"/>
    <w:rsid w:val="007F4EB2"/>
    <w:rPr>
      <w:rFonts w:cs="Times New Roman"/>
      <w:color w:val="0000FF"/>
      <w:u w:val="single"/>
    </w:rPr>
  </w:style>
  <w:style w:type="paragraph" w:styleId="ListNumber">
    <w:name w:val="List Number"/>
    <w:basedOn w:val="Normal"/>
    <w:uiPriority w:val="99"/>
    <w:semiHidden/>
    <w:rsid w:val="00CE50B7"/>
    <w:pPr>
      <w:tabs>
        <w:tab w:val="num" w:pos="360"/>
      </w:tabs>
      <w:spacing w:after="0" w:line="360" w:lineRule="auto"/>
      <w:ind w:left="360" w:hanging="360"/>
    </w:pPr>
    <w:rPr>
      <w:rFonts w:eastAsia="Times New Roman"/>
      <w:sz w:val="28"/>
      <w:szCs w:val="20"/>
    </w:rPr>
  </w:style>
  <w:style w:type="paragraph" w:customStyle="1" w:styleId="Backgroundtext">
    <w:name w:val="Background text"/>
    <w:basedOn w:val="Normal"/>
    <w:uiPriority w:val="99"/>
    <w:rsid w:val="002D24B1"/>
    <w:pPr>
      <w:spacing w:after="120" w:line="360" w:lineRule="auto"/>
    </w:pPr>
    <w:rPr>
      <w:rFonts w:ascii="Arial (W1)" w:eastAsia="Times New Roman" w:hAnsi="Arial (W1)"/>
      <w:sz w:val="24"/>
      <w:szCs w:val="20"/>
    </w:rPr>
  </w:style>
  <w:style w:type="table" w:styleId="TableGrid">
    <w:name w:val="Table Grid"/>
    <w:basedOn w:val="TableNormal"/>
    <w:uiPriority w:val="99"/>
    <w:rsid w:val="006E2C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C3E92"/>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480F1C"/>
    <w:rPr>
      <w:rFonts w:cs="Times New Roman"/>
      <w:sz w:val="16"/>
      <w:szCs w:val="16"/>
    </w:rPr>
  </w:style>
  <w:style w:type="paragraph" w:styleId="CommentText">
    <w:name w:val="annotation text"/>
    <w:basedOn w:val="Normal"/>
    <w:link w:val="CommentTextChar"/>
    <w:uiPriority w:val="99"/>
    <w:semiHidden/>
    <w:rsid w:val="00480F1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0F1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80F1C"/>
    <w:rPr>
      <w:b/>
      <w:bCs/>
    </w:rPr>
  </w:style>
  <w:style w:type="character" w:customStyle="1" w:styleId="CommentSubjectChar">
    <w:name w:val="Comment Subject Char"/>
    <w:basedOn w:val="CommentTextChar"/>
    <w:link w:val="CommentSubject"/>
    <w:uiPriority w:val="99"/>
    <w:semiHidden/>
    <w:locked/>
    <w:rsid w:val="00480F1C"/>
    <w:rPr>
      <w:rFonts w:ascii="Arial" w:hAnsi="Arial" w:cs="Times New Roman"/>
      <w:b/>
      <w:bCs/>
      <w:sz w:val="20"/>
      <w:szCs w:val="20"/>
    </w:rPr>
  </w:style>
  <w:style w:type="paragraph" w:customStyle="1" w:styleId="DefaultText">
    <w:name w:val="Default Text"/>
    <w:basedOn w:val="Normal"/>
    <w:uiPriority w:val="99"/>
    <w:rsid w:val="00CD5F6E"/>
    <w:pPr>
      <w:spacing w:after="0" w:line="240" w:lineRule="auto"/>
    </w:pPr>
    <w:rPr>
      <w:rFonts w:ascii="Times New Roman" w:eastAsia="Times New Roman" w:hAnsi="Times New Roman"/>
      <w:sz w:val="24"/>
      <w:szCs w:val="20"/>
    </w:rPr>
  </w:style>
  <w:style w:type="paragraph" w:styleId="TOC3">
    <w:name w:val="toc 3"/>
    <w:basedOn w:val="Normal"/>
    <w:next w:val="Normal"/>
    <w:autoRedefine/>
    <w:uiPriority w:val="99"/>
    <w:rsid w:val="003073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2328">
      <w:marLeft w:val="0"/>
      <w:marRight w:val="0"/>
      <w:marTop w:val="0"/>
      <w:marBottom w:val="0"/>
      <w:divBdr>
        <w:top w:val="none" w:sz="0" w:space="0" w:color="auto"/>
        <w:left w:val="none" w:sz="0" w:space="0" w:color="auto"/>
        <w:bottom w:val="none" w:sz="0" w:space="0" w:color="auto"/>
        <w:right w:val="none" w:sz="0" w:space="0" w:color="auto"/>
      </w:divBdr>
    </w:div>
    <w:div w:id="1978992329">
      <w:marLeft w:val="0"/>
      <w:marRight w:val="0"/>
      <w:marTop w:val="0"/>
      <w:marBottom w:val="0"/>
      <w:divBdr>
        <w:top w:val="none" w:sz="0" w:space="0" w:color="auto"/>
        <w:left w:val="none" w:sz="0" w:space="0" w:color="auto"/>
        <w:bottom w:val="none" w:sz="0" w:space="0" w:color="auto"/>
        <w:right w:val="none" w:sz="0" w:space="0" w:color="auto"/>
      </w:divBdr>
    </w:div>
    <w:div w:id="1978992330">
      <w:marLeft w:val="0"/>
      <w:marRight w:val="0"/>
      <w:marTop w:val="0"/>
      <w:marBottom w:val="0"/>
      <w:divBdr>
        <w:top w:val="none" w:sz="0" w:space="0" w:color="auto"/>
        <w:left w:val="none" w:sz="0" w:space="0" w:color="auto"/>
        <w:bottom w:val="none" w:sz="0" w:space="0" w:color="auto"/>
        <w:right w:val="none" w:sz="0" w:space="0" w:color="auto"/>
      </w:divBdr>
    </w:div>
    <w:div w:id="1978992331">
      <w:marLeft w:val="0"/>
      <w:marRight w:val="0"/>
      <w:marTop w:val="0"/>
      <w:marBottom w:val="0"/>
      <w:divBdr>
        <w:top w:val="none" w:sz="0" w:space="0" w:color="auto"/>
        <w:left w:val="none" w:sz="0" w:space="0" w:color="auto"/>
        <w:bottom w:val="none" w:sz="0" w:space="0" w:color="auto"/>
        <w:right w:val="none" w:sz="0" w:space="0" w:color="auto"/>
      </w:divBdr>
    </w:div>
    <w:div w:id="1978992332">
      <w:marLeft w:val="0"/>
      <w:marRight w:val="0"/>
      <w:marTop w:val="0"/>
      <w:marBottom w:val="0"/>
      <w:divBdr>
        <w:top w:val="none" w:sz="0" w:space="0" w:color="auto"/>
        <w:left w:val="none" w:sz="0" w:space="0" w:color="auto"/>
        <w:bottom w:val="none" w:sz="0" w:space="0" w:color="auto"/>
        <w:right w:val="none" w:sz="0" w:space="0" w:color="auto"/>
      </w:divBdr>
    </w:div>
    <w:div w:id="1978992333">
      <w:marLeft w:val="0"/>
      <w:marRight w:val="0"/>
      <w:marTop w:val="0"/>
      <w:marBottom w:val="0"/>
      <w:divBdr>
        <w:top w:val="none" w:sz="0" w:space="0" w:color="auto"/>
        <w:left w:val="none" w:sz="0" w:space="0" w:color="auto"/>
        <w:bottom w:val="none" w:sz="0" w:space="0" w:color="auto"/>
        <w:right w:val="none" w:sz="0" w:space="0" w:color="auto"/>
      </w:divBdr>
    </w:div>
    <w:div w:id="1978992334">
      <w:marLeft w:val="0"/>
      <w:marRight w:val="0"/>
      <w:marTop w:val="0"/>
      <w:marBottom w:val="0"/>
      <w:divBdr>
        <w:top w:val="none" w:sz="0" w:space="0" w:color="auto"/>
        <w:left w:val="none" w:sz="0" w:space="0" w:color="auto"/>
        <w:bottom w:val="none" w:sz="0" w:space="0" w:color="auto"/>
        <w:right w:val="none" w:sz="0" w:space="0" w:color="auto"/>
      </w:divBdr>
    </w:div>
    <w:div w:id="1978992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sjobs.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44519F14</Template>
  <TotalTime>0</TotalTime>
  <Pages>7</Pages>
  <Words>1696</Words>
  <Characters>9670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NDIS Launch Transition Agency Workforce Arrangements</vt:lpstr>
    </vt:vector>
  </TitlesOfParts>
  <Company>FaHCSIA</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Launch Transition Agency Workforce Arrangements</dc:title>
  <dc:creator>Tait, Donna</dc:creator>
  <cp:lastModifiedBy>Toth, Tania</cp:lastModifiedBy>
  <cp:revision>2</cp:revision>
  <cp:lastPrinted>2013-02-13T02:43:00Z</cp:lastPrinted>
  <dcterms:created xsi:type="dcterms:W3CDTF">2016-12-05T23:48:00Z</dcterms:created>
  <dcterms:modified xsi:type="dcterms:W3CDTF">2016-12-05T23:48:00Z</dcterms:modified>
</cp:coreProperties>
</file>