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BE" w:rsidRPr="00F77C3E" w:rsidRDefault="005B65BE" w:rsidP="00F77C3E">
      <w:pPr>
        <w:pStyle w:val="Heading1"/>
        <w:pBdr>
          <w:bottom w:val="single" w:sz="4" w:space="1" w:color="auto"/>
        </w:pBdr>
        <w:rPr>
          <w:rFonts w:ascii="Corbel" w:hAnsi="Corbel" w:cs="Calibri"/>
          <w:color w:val="auto"/>
          <w:sz w:val="24"/>
          <w:szCs w:val="24"/>
        </w:rPr>
      </w:pPr>
      <w:bookmarkStart w:id="0" w:name="_GoBack"/>
      <w:bookmarkEnd w:id="0"/>
      <w:r>
        <w:rPr>
          <w:rFonts w:ascii="Corbel" w:hAnsi="Corbel" w:cs="Calibri"/>
          <w:color w:val="auto"/>
          <w:sz w:val="24"/>
          <w:szCs w:val="24"/>
        </w:rPr>
        <w:t>APPENDIX E</w:t>
      </w:r>
      <w:r w:rsidRPr="00F77C3E">
        <w:rPr>
          <w:rFonts w:ascii="Corbel" w:hAnsi="Corbel" w:cs="Calibri"/>
          <w:color w:val="auto"/>
          <w:sz w:val="24"/>
          <w:szCs w:val="24"/>
        </w:rPr>
        <w:t xml:space="preserve"> – </w:t>
      </w:r>
      <w:r>
        <w:rPr>
          <w:rFonts w:ascii="Corbel" w:hAnsi="Corbel" w:cs="Calibri"/>
          <w:color w:val="auto"/>
          <w:sz w:val="24"/>
          <w:szCs w:val="24"/>
        </w:rPr>
        <w:t>Victoria Balance of cash and in-kind contributions</w:t>
      </w:r>
    </w:p>
    <w:p w:rsidR="005B65BE" w:rsidRDefault="005B65BE" w:rsidP="00381A1C">
      <w:pPr>
        <w:numPr>
          <w:ilvl w:val="0"/>
          <w:numId w:val="9"/>
        </w:numPr>
        <w:rPr>
          <w:rFonts w:ascii="Corbel" w:hAnsi="Corbel"/>
          <w:sz w:val="24"/>
          <w:szCs w:val="24"/>
        </w:rPr>
      </w:pPr>
      <w:r w:rsidRPr="00F77C3E">
        <w:rPr>
          <w:rFonts w:ascii="Corbel" w:hAnsi="Corbel"/>
          <w:sz w:val="24"/>
          <w:szCs w:val="24"/>
        </w:rPr>
        <w:t xml:space="preserve">This appendix sets out </w:t>
      </w:r>
      <w:r>
        <w:rPr>
          <w:rFonts w:ascii="Corbel" w:hAnsi="Corbel"/>
          <w:sz w:val="24"/>
          <w:szCs w:val="24"/>
        </w:rPr>
        <w:t xml:space="preserve">and updates </w:t>
      </w:r>
      <w:r w:rsidRPr="00F77C3E">
        <w:rPr>
          <w:rFonts w:ascii="Corbel" w:hAnsi="Corbel"/>
          <w:sz w:val="24"/>
          <w:szCs w:val="24"/>
        </w:rPr>
        <w:t xml:space="preserve">the </w:t>
      </w:r>
      <w:r>
        <w:rPr>
          <w:rFonts w:ascii="Corbel" w:hAnsi="Corbel"/>
          <w:sz w:val="24"/>
          <w:szCs w:val="24"/>
        </w:rPr>
        <w:t>balance of cash and in-kind contributions and the existing programs that are expected to be drawn on in providing direct services or be transitioned into cash contributions</w:t>
      </w:r>
      <w:r w:rsidRPr="00F77C3E">
        <w:rPr>
          <w:rFonts w:ascii="Corbel" w:hAnsi="Corbel"/>
          <w:sz w:val="24"/>
          <w:szCs w:val="24"/>
        </w:rPr>
        <w:t>, as agreed in</w:t>
      </w:r>
      <w:r>
        <w:rPr>
          <w:rFonts w:ascii="Corbel" w:hAnsi="Corbel"/>
          <w:sz w:val="24"/>
          <w:szCs w:val="24"/>
        </w:rPr>
        <w:t xml:space="preserve"> paragraph 42 of the IGA</w:t>
      </w:r>
      <w:r w:rsidRPr="00F77C3E">
        <w:rPr>
          <w:rFonts w:ascii="Corbel" w:hAnsi="Corbel"/>
          <w:sz w:val="24"/>
          <w:szCs w:val="24"/>
        </w:rPr>
        <w:t>.</w:t>
      </w:r>
    </w:p>
    <w:p w:rsidR="005B65BE" w:rsidRPr="00363528" w:rsidRDefault="005B65BE" w:rsidP="00A77BF6">
      <w:pPr>
        <w:ind w:firstLine="360"/>
        <w:rPr>
          <w:rFonts w:ascii="Corbel" w:hAnsi="Corbel"/>
          <w:b/>
          <w:sz w:val="24"/>
          <w:szCs w:val="24"/>
        </w:rPr>
      </w:pPr>
      <w:r>
        <w:rPr>
          <w:rFonts w:ascii="Corbel" w:hAnsi="Corbel"/>
          <w:b/>
          <w:sz w:val="24"/>
          <w:szCs w:val="24"/>
        </w:rPr>
        <w:t>Commonwealth cash and in-kind contributions</w:t>
      </w:r>
    </w:p>
    <w:p w:rsidR="005B65BE" w:rsidRPr="00C905EA" w:rsidRDefault="005B65BE" w:rsidP="00E81125">
      <w:pPr>
        <w:numPr>
          <w:ilvl w:val="0"/>
          <w:numId w:val="9"/>
        </w:numPr>
        <w:rPr>
          <w:rFonts w:ascii="Corbel" w:hAnsi="Corbel"/>
          <w:sz w:val="24"/>
          <w:szCs w:val="24"/>
        </w:rPr>
      </w:pPr>
      <w:r>
        <w:rPr>
          <w:rFonts w:ascii="Corbel" w:hAnsi="Corbel"/>
          <w:sz w:val="24"/>
          <w:szCs w:val="24"/>
        </w:rPr>
        <w:t xml:space="preserve">The approach to the transition of </w:t>
      </w:r>
      <w:r w:rsidRPr="00C905EA">
        <w:rPr>
          <w:rFonts w:ascii="Corbel" w:hAnsi="Corbel"/>
          <w:sz w:val="24"/>
          <w:szCs w:val="24"/>
        </w:rPr>
        <w:t xml:space="preserve">existing </w:t>
      </w:r>
      <w:r>
        <w:rPr>
          <w:rFonts w:ascii="Corbel" w:hAnsi="Corbel"/>
          <w:sz w:val="24"/>
          <w:szCs w:val="24"/>
        </w:rPr>
        <w:t>Commonwealth</w:t>
      </w:r>
      <w:r w:rsidRPr="00C905EA">
        <w:rPr>
          <w:rFonts w:ascii="Corbel" w:hAnsi="Corbel"/>
          <w:sz w:val="24"/>
          <w:szCs w:val="24"/>
        </w:rPr>
        <w:t xml:space="preserve"> disability program</w:t>
      </w:r>
      <w:r>
        <w:rPr>
          <w:rFonts w:ascii="Corbel" w:hAnsi="Corbel"/>
          <w:sz w:val="24"/>
          <w:szCs w:val="24"/>
        </w:rPr>
        <w:t>s</w:t>
      </w:r>
      <w:r w:rsidRPr="00C905EA">
        <w:rPr>
          <w:rFonts w:ascii="Corbel" w:hAnsi="Corbel"/>
          <w:sz w:val="24"/>
          <w:szCs w:val="24"/>
        </w:rPr>
        <w:t xml:space="preserve"> is outlined below:</w:t>
      </w:r>
    </w:p>
    <w:p w:rsidR="005B65BE" w:rsidRPr="00C905EA" w:rsidRDefault="005B65BE" w:rsidP="00E81125">
      <w:pPr>
        <w:numPr>
          <w:ilvl w:val="1"/>
          <w:numId w:val="15"/>
        </w:numPr>
        <w:rPr>
          <w:rFonts w:ascii="Corbel" w:hAnsi="Corbel"/>
          <w:sz w:val="24"/>
          <w:szCs w:val="24"/>
        </w:rPr>
      </w:pPr>
      <w:r>
        <w:rPr>
          <w:rFonts w:ascii="Corbel" w:hAnsi="Corbel"/>
          <w:sz w:val="24"/>
          <w:szCs w:val="24"/>
        </w:rPr>
        <w:t>t</w:t>
      </w:r>
      <w:r w:rsidRPr="00C905EA">
        <w:rPr>
          <w:rFonts w:ascii="Corbel" w:hAnsi="Corbel"/>
          <w:sz w:val="24"/>
          <w:szCs w:val="24"/>
        </w:rPr>
        <w:t>ransition of existing</w:t>
      </w:r>
      <w:r>
        <w:rPr>
          <w:rFonts w:ascii="Corbel" w:hAnsi="Corbel"/>
          <w:sz w:val="24"/>
          <w:szCs w:val="24"/>
        </w:rPr>
        <w:t xml:space="preserve"> Commonwealth </w:t>
      </w:r>
      <w:r w:rsidRPr="00C905EA">
        <w:rPr>
          <w:rFonts w:ascii="Corbel" w:hAnsi="Corbel"/>
          <w:sz w:val="24"/>
          <w:szCs w:val="24"/>
        </w:rPr>
        <w:t>programs into cash contribution</w:t>
      </w:r>
      <w:r>
        <w:rPr>
          <w:rFonts w:ascii="Corbel" w:hAnsi="Corbel"/>
          <w:sz w:val="24"/>
          <w:szCs w:val="24"/>
        </w:rPr>
        <w:t xml:space="preserve"> in launch sites</w:t>
      </w:r>
      <w:r w:rsidRPr="00C905EA">
        <w:rPr>
          <w:rFonts w:ascii="Corbel" w:hAnsi="Corbel"/>
          <w:sz w:val="24"/>
          <w:szCs w:val="24"/>
        </w:rPr>
        <w:t xml:space="preserve"> </w:t>
      </w:r>
      <w:r>
        <w:rPr>
          <w:rFonts w:ascii="Corbel" w:hAnsi="Corbel"/>
          <w:sz w:val="24"/>
          <w:szCs w:val="24"/>
        </w:rPr>
        <w:t>will occur either in part or in full at launch commencement</w:t>
      </w:r>
      <w:r w:rsidR="00D37776">
        <w:rPr>
          <w:rFonts w:ascii="Corbel" w:hAnsi="Corbel"/>
          <w:sz w:val="24"/>
          <w:szCs w:val="24"/>
        </w:rPr>
        <w:t>;</w:t>
      </w:r>
      <w:r>
        <w:rPr>
          <w:rFonts w:ascii="Corbel" w:hAnsi="Corbel"/>
          <w:sz w:val="24"/>
          <w:szCs w:val="24"/>
        </w:rPr>
        <w:t xml:space="preserve"> or as participants enter the NDIS; or as contracts expire over the launch period; and</w:t>
      </w:r>
    </w:p>
    <w:p w:rsidR="005B65BE" w:rsidRPr="00C905EA" w:rsidRDefault="005B65BE" w:rsidP="00E81125">
      <w:pPr>
        <w:numPr>
          <w:ilvl w:val="1"/>
          <w:numId w:val="15"/>
        </w:numPr>
        <w:rPr>
          <w:rFonts w:ascii="Corbel" w:hAnsi="Corbel"/>
          <w:sz w:val="24"/>
          <w:szCs w:val="24"/>
        </w:rPr>
      </w:pPr>
      <w:r>
        <w:rPr>
          <w:rFonts w:ascii="Corbel" w:hAnsi="Corbel"/>
          <w:sz w:val="24"/>
          <w:szCs w:val="24"/>
        </w:rPr>
        <w:t xml:space="preserve">some programs will continue in-kind in launch sites for the duration of the launch period, due to the national focus of those programs. </w:t>
      </w:r>
    </w:p>
    <w:p w:rsidR="005B65BE" w:rsidRDefault="005B65BE" w:rsidP="00E81125">
      <w:pPr>
        <w:numPr>
          <w:ilvl w:val="0"/>
          <w:numId w:val="9"/>
        </w:numPr>
        <w:rPr>
          <w:rFonts w:ascii="Corbel" w:hAnsi="Corbel"/>
          <w:sz w:val="24"/>
          <w:szCs w:val="24"/>
        </w:rPr>
      </w:pPr>
      <w:r w:rsidRPr="00C905EA">
        <w:rPr>
          <w:rFonts w:ascii="Corbel" w:hAnsi="Corbel"/>
          <w:sz w:val="24"/>
          <w:szCs w:val="24"/>
        </w:rPr>
        <w:t>All existing disability service arrangements listed below will be transitioned from in-kind contribution to cash contributions to the Agency</w:t>
      </w:r>
      <w:r>
        <w:rPr>
          <w:rFonts w:ascii="Corbel" w:hAnsi="Corbel"/>
          <w:sz w:val="24"/>
          <w:szCs w:val="24"/>
        </w:rPr>
        <w:t xml:space="preserve"> in launch sites</w:t>
      </w:r>
      <w:r w:rsidRPr="00C905EA">
        <w:rPr>
          <w:rFonts w:ascii="Corbel" w:hAnsi="Corbel"/>
          <w:sz w:val="24"/>
          <w:szCs w:val="24"/>
        </w:rPr>
        <w:t xml:space="preserve"> in accordance </w:t>
      </w:r>
      <w:r>
        <w:rPr>
          <w:rFonts w:ascii="Corbel" w:hAnsi="Corbel"/>
          <w:sz w:val="24"/>
          <w:szCs w:val="24"/>
        </w:rPr>
        <w:t xml:space="preserve">with the approaches outlined in 2a.  </w:t>
      </w:r>
    </w:p>
    <w:p w:rsidR="005B65BE" w:rsidRDefault="005B65BE" w:rsidP="00E81125">
      <w:pPr>
        <w:numPr>
          <w:ilvl w:val="0"/>
          <w:numId w:val="9"/>
        </w:numPr>
        <w:rPr>
          <w:rFonts w:ascii="Corbel" w:hAnsi="Corbel"/>
          <w:sz w:val="24"/>
          <w:szCs w:val="24"/>
        </w:rPr>
      </w:pPr>
      <w:r>
        <w:rPr>
          <w:rFonts w:ascii="Corbel" w:hAnsi="Corbel"/>
          <w:sz w:val="24"/>
          <w:szCs w:val="24"/>
        </w:rPr>
        <w:t>Based on these approaches, the following Commonwealth disability services/programs, as set out in Table 1, are expected to transition (either in part or in full) into cash contributions in launch sites only at commencement or as participants enter the NDIS.</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E81125">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E81125">
        <w:trPr>
          <w:cantSplit/>
        </w:trPr>
        <w:tc>
          <w:tcPr>
            <w:tcW w:w="2807" w:type="dxa"/>
            <w:tcBorders>
              <w:top w:val="single" w:sz="6" w:space="0" w:color="auto"/>
              <w:bottom w:val="single" w:sz="6" w:space="0" w:color="auto"/>
            </w:tcBorders>
          </w:tcPr>
          <w:p w:rsidR="005B65BE" w:rsidRPr="00060748" w:rsidRDefault="005B65BE" w:rsidP="00E3666C">
            <w:pPr>
              <w:keepNext/>
              <w:rPr>
                <w:rFonts w:ascii="Corbel" w:hAnsi="Corbel"/>
                <w:sz w:val="24"/>
                <w:szCs w:val="24"/>
              </w:rPr>
            </w:pPr>
            <w:r>
              <w:rPr>
                <w:rFonts w:ascii="Corbel" w:hAnsi="Corbel"/>
                <w:sz w:val="24"/>
                <w:szCs w:val="24"/>
              </w:rPr>
              <w:t>Continence Aids Program</w:t>
            </w:r>
          </w:p>
        </w:tc>
        <w:tc>
          <w:tcPr>
            <w:tcW w:w="2201"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$0.4</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Pr="00060748" w:rsidRDefault="005B65BE" w:rsidP="00E3666C">
            <w:pPr>
              <w:keepNext/>
              <w:rPr>
                <w:rFonts w:ascii="Corbel" w:hAnsi="Corbel"/>
                <w:sz w:val="24"/>
                <w:szCs w:val="24"/>
              </w:rPr>
            </w:pPr>
            <w:r>
              <w:rPr>
                <w:rFonts w:ascii="Corbel" w:hAnsi="Corbel"/>
                <w:sz w:val="24"/>
                <w:szCs w:val="24"/>
              </w:rPr>
              <w:t>Disability Employment Services Work Based Personal Assistance</w:t>
            </w:r>
          </w:p>
        </w:tc>
        <w:tc>
          <w:tcPr>
            <w:tcW w:w="2201" w:type="dxa"/>
            <w:tcBorders>
              <w:top w:val="single" w:sz="6" w:space="0" w:color="auto"/>
              <w:bottom w:val="single" w:sz="6" w:space="0" w:color="auto"/>
            </w:tcBorders>
          </w:tcPr>
          <w:p w:rsidR="005B65BE" w:rsidRDefault="005B65BE" w:rsidP="00300748">
            <w:pPr>
              <w:keepNext/>
              <w:rPr>
                <w:rFonts w:ascii="Corbel" w:hAnsi="Corbel"/>
                <w:sz w:val="24"/>
                <w:szCs w:val="24"/>
              </w:rPr>
            </w:pPr>
            <w:r>
              <w:rPr>
                <w:rFonts w:ascii="Corbel" w:hAnsi="Corbel"/>
                <w:sz w:val="24"/>
                <w:szCs w:val="24"/>
              </w:rPr>
              <w:t>..</w:t>
            </w:r>
            <w:r w:rsidRPr="001F0CA1">
              <w:rPr>
                <w:rFonts w:ascii="Corbel" w:hAnsi="Corbel"/>
                <w:sz w:val="24"/>
                <w:szCs w:val="24"/>
              </w:rPr>
              <w:t xml:space="preserve"> </w:t>
            </w:r>
          </w:p>
        </w:tc>
        <w:tc>
          <w:tcPr>
            <w:tcW w:w="2201" w:type="dxa"/>
            <w:tcBorders>
              <w:top w:val="single" w:sz="6" w:space="0" w:color="auto"/>
              <w:bottom w:val="single" w:sz="6" w:space="0" w:color="auto"/>
            </w:tcBorders>
          </w:tcPr>
          <w:p w:rsidR="005B65BE" w:rsidRDefault="005B65BE" w:rsidP="00300748">
            <w:pPr>
              <w:keepNext/>
              <w:rPr>
                <w:rFonts w:ascii="Corbel" w:hAnsi="Corbel"/>
                <w:sz w:val="24"/>
                <w:szCs w:val="24"/>
              </w:rPr>
            </w:pPr>
            <w:r>
              <w:rPr>
                <w:rFonts w:ascii="Corbel" w:hAnsi="Corbel"/>
                <w:sz w:val="24"/>
                <w:szCs w:val="24"/>
              </w:rPr>
              <w:t>..</w:t>
            </w:r>
            <w:r w:rsidRPr="001F0CA1">
              <w:rPr>
                <w:rFonts w:ascii="Corbel" w:hAnsi="Corbel"/>
                <w:sz w:val="24"/>
                <w:szCs w:val="24"/>
              </w:rPr>
              <w:t xml:space="preserve"> </w:t>
            </w:r>
          </w:p>
        </w:tc>
        <w:tc>
          <w:tcPr>
            <w:tcW w:w="2202" w:type="dxa"/>
            <w:tcBorders>
              <w:top w:val="single" w:sz="6" w:space="0" w:color="auto"/>
              <w:bottom w:val="single" w:sz="6" w:space="0" w:color="auto"/>
            </w:tcBorders>
          </w:tcPr>
          <w:p w:rsidR="005B65BE" w:rsidRDefault="005B65BE" w:rsidP="00300748">
            <w:pPr>
              <w:keepNext/>
              <w:rPr>
                <w:rFonts w:ascii="Corbel" w:hAnsi="Corbel"/>
                <w:sz w:val="24"/>
                <w:szCs w:val="24"/>
              </w:rPr>
            </w:pPr>
            <w:r>
              <w:rPr>
                <w:rFonts w:ascii="Corbel" w:hAnsi="Corbel"/>
                <w:sz w:val="24"/>
                <w:szCs w:val="24"/>
              </w:rPr>
              <w:t>..</w:t>
            </w:r>
            <w:r w:rsidRPr="001F0CA1">
              <w:rPr>
                <w:rFonts w:ascii="Corbel" w:hAnsi="Corbel"/>
                <w:sz w:val="24"/>
                <w:szCs w:val="24"/>
              </w:rPr>
              <w:t xml:space="preserve"> </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Helping Children With Autism</w:t>
            </w:r>
          </w:p>
        </w:tc>
        <w:tc>
          <w:tcPr>
            <w:tcW w:w="2201"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$0.5</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$0.5</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Better Start for Children with Disability</w:t>
            </w:r>
          </w:p>
        </w:tc>
        <w:tc>
          <w:tcPr>
            <w:tcW w:w="2201"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Mobility Allowance</w:t>
            </w:r>
          </w:p>
        </w:tc>
        <w:tc>
          <w:tcPr>
            <w:tcW w:w="2201" w:type="dxa"/>
            <w:tcBorders>
              <w:top w:val="single" w:sz="6" w:space="0" w:color="auto"/>
              <w:bottom w:val="single" w:sz="6" w:space="0" w:color="auto"/>
            </w:tcBorders>
          </w:tcPr>
          <w:p w:rsidR="005B65BE" w:rsidRDefault="005B65BE" w:rsidP="00010708">
            <w:pPr>
              <w:rPr>
                <w:rFonts w:ascii="Corbel" w:hAnsi="Corbel"/>
                <w:sz w:val="24"/>
                <w:szCs w:val="24"/>
              </w:rPr>
            </w:pPr>
            <w:r>
              <w:rPr>
                <w:rFonts w:ascii="Corbel" w:hAnsi="Corbel"/>
                <w:sz w:val="24"/>
                <w:szCs w:val="24"/>
              </w:rPr>
              <w:t>$0.</w:t>
            </w:r>
            <w:r w:rsidR="00010708">
              <w:rPr>
                <w:rFonts w:ascii="Corbel" w:hAnsi="Corbel"/>
                <w:sz w:val="24"/>
                <w:szCs w:val="24"/>
              </w:rPr>
              <w:t>9</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010708">
            <w:pPr>
              <w:rPr>
                <w:rFonts w:ascii="Corbel" w:hAnsi="Corbel"/>
                <w:sz w:val="24"/>
                <w:szCs w:val="24"/>
              </w:rPr>
            </w:pPr>
            <w:r>
              <w:rPr>
                <w:rFonts w:ascii="Corbel" w:hAnsi="Corbel"/>
                <w:sz w:val="24"/>
                <w:szCs w:val="24"/>
              </w:rPr>
              <w:t>$1.</w:t>
            </w:r>
            <w:r w:rsidR="00010708">
              <w:rPr>
                <w:rFonts w:ascii="Corbel" w:hAnsi="Corbel"/>
                <w:sz w:val="24"/>
                <w:szCs w:val="24"/>
              </w:rPr>
              <w:t>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010708">
            <w:pPr>
              <w:rPr>
                <w:rFonts w:ascii="Corbel" w:hAnsi="Corbel"/>
                <w:sz w:val="24"/>
                <w:szCs w:val="24"/>
              </w:rPr>
            </w:pPr>
            <w:r>
              <w:rPr>
                <w:rFonts w:ascii="Corbel" w:hAnsi="Corbel"/>
                <w:sz w:val="24"/>
                <w:szCs w:val="24"/>
              </w:rPr>
              <w:t>$</w:t>
            </w:r>
            <w:r w:rsidR="00010708">
              <w:rPr>
                <w:rFonts w:ascii="Corbel" w:hAnsi="Corbel"/>
                <w:sz w:val="24"/>
                <w:szCs w:val="24"/>
              </w:rPr>
              <w:t>2.2</w:t>
            </w:r>
            <w:r w:rsidRPr="001F0CA1">
              <w:rPr>
                <w:rFonts w:ascii="Corbel" w:hAnsi="Corbel"/>
                <w:sz w:val="24"/>
                <w:szCs w:val="24"/>
              </w:rPr>
              <w:t xml:space="preserve"> million</w:t>
            </w:r>
          </w:p>
        </w:tc>
      </w:tr>
    </w:tbl>
    <w:p w:rsidR="005B65BE" w:rsidRPr="00404213" w:rsidRDefault="005B65BE" w:rsidP="00300748">
      <w:pPr>
        <w:rPr>
          <w:rFonts w:ascii="Corbel" w:hAnsi="Corbel"/>
          <w:sz w:val="20"/>
          <w:szCs w:val="24"/>
        </w:rPr>
      </w:pPr>
      <w:r w:rsidRPr="0078010C">
        <w:rPr>
          <w:rFonts w:ascii="Corbel" w:hAnsi="Corbel"/>
          <w:sz w:val="20"/>
          <w:szCs w:val="24"/>
        </w:rPr>
        <w:t>‘.. ‘ represents an amount of less than $50,000.</w:t>
      </w:r>
    </w:p>
    <w:p w:rsidR="005B65BE" w:rsidRDefault="005B65BE" w:rsidP="00287B2E">
      <w:pPr>
        <w:rPr>
          <w:rFonts w:ascii="Corbel" w:hAnsi="Corbel"/>
          <w:sz w:val="24"/>
          <w:szCs w:val="24"/>
        </w:rPr>
      </w:pPr>
    </w:p>
    <w:p w:rsidR="005B65BE" w:rsidRDefault="005B65BE" w:rsidP="00287B2E">
      <w:pPr>
        <w:numPr>
          <w:ilvl w:val="0"/>
          <w:numId w:val="9"/>
        </w:numPr>
        <w:rPr>
          <w:rFonts w:ascii="Corbel" w:hAnsi="Corbel"/>
          <w:sz w:val="24"/>
          <w:szCs w:val="24"/>
        </w:rPr>
      </w:pPr>
      <w:r>
        <w:rPr>
          <w:rFonts w:ascii="Corbel" w:hAnsi="Corbel"/>
          <w:sz w:val="24"/>
          <w:szCs w:val="24"/>
        </w:rPr>
        <w:t>Based on the above approaches, the following Commonwealth  disability services/programs, as set out in Table 2, are expected to transition (either in part or in full)  into cash contributions as contracts expire:</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E81125">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E81125">
        <w:trPr>
          <w:cantSplit/>
        </w:trPr>
        <w:tc>
          <w:tcPr>
            <w:tcW w:w="2807" w:type="dxa"/>
            <w:tcBorders>
              <w:top w:val="single" w:sz="6" w:space="0" w:color="auto"/>
              <w:bottom w:val="single" w:sz="6" w:space="0" w:color="auto"/>
            </w:tcBorders>
          </w:tcPr>
          <w:p w:rsidR="005B65BE" w:rsidRPr="00060748" w:rsidRDefault="005B65BE" w:rsidP="00E3666C">
            <w:pPr>
              <w:keepNext/>
              <w:rPr>
                <w:rFonts w:ascii="Corbel" w:hAnsi="Corbel"/>
                <w:sz w:val="24"/>
                <w:szCs w:val="24"/>
              </w:rPr>
            </w:pPr>
            <w:r>
              <w:rPr>
                <w:rFonts w:ascii="Corbel" w:hAnsi="Corbel"/>
                <w:sz w:val="24"/>
                <w:szCs w:val="24"/>
              </w:rPr>
              <w:t>Disability Employment Assistance: Australian Disability Enterprises</w:t>
            </w:r>
          </w:p>
        </w:tc>
        <w:tc>
          <w:tcPr>
            <w:tcW w:w="2201" w:type="dxa"/>
            <w:tcBorders>
              <w:top w:val="single" w:sz="6" w:space="0" w:color="auto"/>
              <w:bottom w:val="single" w:sz="6" w:space="0" w:color="auto"/>
            </w:tcBorders>
          </w:tcPr>
          <w:p w:rsidR="005B65BE" w:rsidRDefault="005B65BE" w:rsidP="006A3334">
            <w:pPr>
              <w:keepNext/>
              <w:rPr>
                <w:rFonts w:ascii="Corbel" w:hAnsi="Corbel"/>
                <w:sz w:val="24"/>
                <w:szCs w:val="24"/>
              </w:rPr>
            </w:pPr>
            <w:r>
              <w:rPr>
                <w:rFonts w:ascii="Corbel" w:hAnsi="Corbel"/>
                <w:sz w:val="24"/>
                <w:szCs w:val="24"/>
              </w:rPr>
              <w:t>$1.4</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A3334">
            <w:pPr>
              <w:keepNext/>
              <w:rPr>
                <w:rFonts w:ascii="Corbel" w:hAnsi="Corbel"/>
                <w:sz w:val="24"/>
                <w:szCs w:val="24"/>
              </w:rPr>
            </w:pPr>
            <w:r>
              <w:rPr>
                <w:rFonts w:ascii="Corbel" w:hAnsi="Corbel"/>
                <w:sz w:val="24"/>
                <w:szCs w:val="24"/>
              </w:rPr>
              <w:t>$3.1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A3334">
            <w:pPr>
              <w:keepNext/>
              <w:rPr>
                <w:rFonts w:ascii="Corbel" w:hAnsi="Corbel"/>
                <w:sz w:val="24"/>
                <w:szCs w:val="24"/>
              </w:rPr>
            </w:pPr>
            <w:r>
              <w:rPr>
                <w:rFonts w:ascii="Corbel" w:hAnsi="Corbel"/>
                <w:sz w:val="24"/>
                <w:szCs w:val="24"/>
              </w:rPr>
              <w:t>$3.6</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Targeted Community Care: Personal Helpers and Mentors</w:t>
            </w:r>
          </w:p>
        </w:tc>
        <w:tc>
          <w:tcPr>
            <w:tcW w:w="2201" w:type="dxa"/>
            <w:tcBorders>
              <w:top w:val="single" w:sz="6" w:space="0" w:color="auto"/>
              <w:bottom w:val="single" w:sz="6" w:space="0" w:color="auto"/>
            </w:tcBorders>
          </w:tcPr>
          <w:p w:rsidR="005B65BE" w:rsidRDefault="005B65BE" w:rsidP="00300748">
            <w:pPr>
              <w:keepNext/>
              <w:rPr>
                <w:rFonts w:ascii="Corbel" w:hAnsi="Corbel"/>
                <w:sz w:val="24"/>
                <w:szCs w:val="24"/>
              </w:rPr>
            </w:pPr>
            <w:r>
              <w:rPr>
                <w:rFonts w:ascii="Corbel" w:hAnsi="Corbel"/>
                <w:sz w:val="24"/>
                <w:szCs w:val="24"/>
              </w:rPr>
              <w:t>$1.1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300748">
            <w:pPr>
              <w:keepNext/>
              <w:rPr>
                <w:rFonts w:ascii="Corbel" w:hAnsi="Corbel"/>
                <w:sz w:val="24"/>
                <w:szCs w:val="24"/>
              </w:rPr>
            </w:pPr>
            <w:r>
              <w:rPr>
                <w:rFonts w:ascii="Corbel" w:hAnsi="Corbel"/>
                <w:sz w:val="24"/>
                <w:szCs w:val="24"/>
              </w:rPr>
              <w:t>$2.4</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300748">
            <w:pPr>
              <w:keepNext/>
              <w:rPr>
                <w:rFonts w:ascii="Corbel" w:hAnsi="Corbel"/>
                <w:sz w:val="24"/>
                <w:szCs w:val="24"/>
              </w:rPr>
            </w:pPr>
            <w:r>
              <w:rPr>
                <w:rFonts w:ascii="Corbel" w:hAnsi="Corbel"/>
                <w:sz w:val="24"/>
                <w:szCs w:val="24"/>
              </w:rPr>
              <w:t>$2.7</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Targeted Community Care: Mental Health Respite Carer Support</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$0.4</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$0.8</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$0.9</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Outside School Hours Care for Teenagers with Disability</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Del="00782EDE" w:rsidRDefault="005B65BE" w:rsidP="00782EDE">
            <w:pPr>
              <w:rPr>
                <w:rFonts w:ascii="Corbel" w:hAnsi="Corbel"/>
                <w:sz w:val="24"/>
                <w:szCs w:val="24"/>
              </w:rPr>
            </w:pPr>
            <w:r>
              <w:rPr>
                <w:rFonts w:ascii="Corbel" w:hAnsi="Corbel"/>
                <w:sz w:val="24"/>
                <w:szCs w:val="24"/>
              </w:rPr>
              <w:t>Respite Support for Carers of Young People with Severe or Profound Disability &amp; Young Carers Respite and Information Services</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$0.1</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$0.2</w:t>
            </w:r>
            <w:r w:rsidRPr="001F0CA1">
              <w:rPr>
                <w:rFonts w:ascii="Corbel" w:hAnsi="Corbel"/>
                <w:sz w:val="24"/>
                <w:szCs w:val="24"/>
              </w:rPr>
              <w:t xml:space="preserve"> million</w:t>
            </w:r>
          </w:p>
        </w:tc>
      </w:tr>
    </w:tbl>
    <w:p w:rsidR="005B65BE" w:rsidRDefault="005B65BE" w:rsidP="00287B2E">
      <w:pPr>
        <w:ind w:left="720"/>
        <w:rPr>
          <w:rFonts w:ascii="Corbel" w:hAnsi="Corbel"/>
          <w:sz w:val="24"/>
          <w:szCs w:val="24"/>
        </w:rPr>
      </w:pPr>
    </w:p>
    <w:p w:rsidR="005B65BE" w:rsidRDefault="005B65BE" w:rsidP="00287B2E">
      <w:pPr>
        <w:numPr>
          <w:ilvl w:val="0"/>
          <w:numId w:val="9"/>
        </w:numPr>
        <w:rPr>
          <w:rFonts w:ascii="Corbel" w:hAnsi="Corbel"/>
          <w:sz w:val="24"/>
          <w:szCs w:val="24"/>
        </w:rPr>
      </w:pPr>
      <w:r>
        <w:rPr>
          <w:rFonts w:ascii="Corbel" w:hAnsi="Corbel"/>
          <w:sz w:val="24"/>
          <w:szCs w:val="24"/>
        </w:rPr>
        <w:t>The following Commonwealth disability services/programs, as set out in Table 3, will remain as in-kind subject to transition strategies, developed by the Commonwealth in consultation with the Agency.</w:t>
      </w:r>
    </w:p>
    <w:p w:rsidR="005B65BE" w:rsidRPr="00E3666C" w:rsidRDefault="005B65BE" w:rsidP="00E3666C">
      <w:pPr>
        <w:keepNext/>
        <w:ind w:left="360"/>
        <w:rPr>
          <w:rFonts w:ascii="Corbel" w:hAnsi="Corbel"/>
          <w:b/>
          <w:sz w:val="24"/>
          <w:szCs w:val="24"/>
        </w:rPr>
      </w:pPr>
      <w:r w:rsidRPr="00E3666C">
        <w:rPr>
          <w:rFonts w:ascii="Corbel" w:hAnsi="Corbel"/>
          <w:b/>
          <w:sz w:val="24"/>
          <w:szCs w:val="24"/>
        </w:rPr>
        <w:lastRenderedPageBreak/>
        <w:t>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E81125">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E81125">
        <w:trPr>
          <w:cantSplit/>
        </w:trPr>
        <w:tc>
          <w:tcPr>
            <w:tcW w:w="2807" w:type="dxa"/>
            <w:tcBorders>
              <w:top w:val="single" w:sz="6" w:space="0" w:color="auto"/>
              <w:bottom w:val="single" w:sz="6" w:space="0" w:color="auto"/>
            </w:tcBorders>
          </w:tcPr>
          <w:p w:rsidR="005B65BE" w:rsidRPr="00060748" w:rsidRDefault="005B65BE" w:rsidP="00E3666C">
            <w:pPr>
              <w:keepNext/>
              <w:rPr>
                <w:rFonts w:ascii="Corbel" w:hAnsi="Corbel"/>
                <w:sz w:val="24"/>
                <w:szCs w:val="24"/>
              </w:rPr>
            </w:pPr>
            <w:r>
              <w:rPr>
                <w:rFonts w:ascii="Corbel" w:hAnsi="Corbel"/>
                <w:sz w:val="24"/>
                <w:szCs w:val="24"/>
              </w:rPr>
              <w:t>National Auslan Booking Services &amp; Hearing Services Program</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$0.3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$0.6</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$0.7</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Improved Support for Younger People with Early Onset dementia</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w:t>
            </w:r>
          </w:p>
        </w:tc>
        <w:tc>
          <w:tcPr>
            <w:tcW w:w="2202"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Partners in Recovery: Coordinated Support and Flexible Funding for people with severe and persistent mental illness</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$0.4</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$1.1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$1.5</w:t>
            </w:r>
            <w:r w:rsidRPr="001F0CA1">
              <w:rPr>
                <w:rFonts w:ascii="Corbel" w:hAnsi="Corbel"/>
                <w:sz w:val="24"/>
                <w:szCs w:val="24"/>
              </w:rPr>
              <w:t xml:space="preserve"> million</w:t>
            </w:r>
          </w:p>
        </w:tc>
      </w:tr>
      <w:tr w:rsidR="005B65BE" w:rsidRPr="001F0CA1" w:rsidTr="00E81125">
        <w:trPr>
          <w:cantSplit/>
        </w:trPr>
        <w:tc>
          <w:tcPr>
            <w:tcW w:w="2807" w:type="dxa"/>
            <w:tcBorders>
              <w:top w:val="single" w:sz="6" w:space="0" w:color="auto"/>
              <w:bottom w:val="single" w:sz="6" w:space="0" w:color="auto"/>
            </w:tcBorders>
          </w:tcPr>
          <w:p w:rsidR="005B65BE" w:rsidRDefault="005B65BE" w:rsidP="00E3666C">
            <w:pPr>
              <w:keepNext/>
              <w:rPr>
                <w:rFonts w:ascii="Corbel" w:hAnsi="Corbel"/>
                <w:sz w:val="24"/>
                <w:szCs w:val="24"/>
              </w:rPr>
            </w:pPr>
            <w:r>
              <w:rPr>
                <w:rFonts w:ascii="Corbel" w:hAnsi="Corbel"/>
                <w:sz w:val="24"/>
                <w:szCs w:val="24"/>
              </w:rPr>
              <w:t>Young People in Aged Care</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$2.0</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 xml:space="preserve">$4.5 </w:t>
            </w:r>
            <w:r w:rsidRPr="001F0CA1">
              <w:rPr>
                <w:rFonts w:ascii="Corbel" w:hAnsi="Corbel"/>
                <w:sz w:val="24"/>
                <w:szCs w:val="24"/>
              </w:rPr>
              <w:t>million</w:t>
            </w:r>
          </w:p>
        </w:tc>
        <w:tc>
          <w:tcPr>
            <w:tcW w:w="2202" w:type="dxa"/>
            <w:tcBorders>
              <w:top w:val="single" w:sz="6" w:space="0" w:color="auto"/>
              <w:bottom w:val="single" w:sz="6" w:space="0" w:color="auto"/>
            </w:tcBorders>
          </w:tcPr>
          <w:p w:rsidR="005B65BE" w:rsidRDefault="005B65BE" w:rsidP="00782EDE">
            <w:pPr>
              <w:keepNext/>
              <w:rPr>
                <w:rFonts w:ascii="Corbel" w:hAnsi="Corbel"/>
                <w:sz w:val="24"/>
                <w:szCs w:val="24"/>
              </w:rPr>
            </w:pPr>
            <w:r>
              <w:rPr>
                <w:rFonts w:ascii="Corbel" w:hAnsi="Corbel"/>
                <w:sz w:val="24"/>
                <w:szCs w:val="24"/>
              </w:rPr>
              <w:t>$5.4</w:t>
            </w:r>
            <w:r w:rsidRPr="001F0CA1">
              <w:rPr>
                <w:rFonts w:ascii="Corbel" w:hAnsi="Corbel"/>
                <w:sz w:val="24"/>
                <w:szCs w:val="24"/>
              </w:rPr>
              <w:t xml:space="preserve"> million</w:t>
            </w:r>
          </w:p>
        </w:tc>
      </w:tr>
    </w:tbl>
    <w:p w:rsidR="005B65BE" w:rsidRPr="00404213" w:rsidRDefault="005B65BE" w:rsidP="00782EDE">
      <w:pPr>
        <w:rPr>
          <w:rFonts w:ascii="Corbel" w:hAnsi="Corbel"/>
          <w:sz w:val="20"/>
          <w:szCs w:val="24"/>
        </w:rPr>
      </w:pPr>
      <w:r w:rsidRPr="00404213">
        <w:rPr>
          <w:rFonts w:ascii="Corbel" w:hAnsi="Corbel"/>
          <w:sz w:val="20"/>
          <w:szCs w:val="24"/>
        </w:rPr>
        <w:t>‘.. ‘ represents an amount of less than $50,000.</w:t>
      </w:r>
    </w:p>
    <w:p w:rsidR="005B65BE" w:rsidRDefault="005B65BE" w:rsidP="00287B2E">
      <w:pPr>
        <w:numPr>
          <w:ilvl w:val="0"/>
          <w:numId w:val="9"/>
        </w:numPr>
        <w:rPr>
          <w:rFonts w:ascii="Corbel" w:hAnsi="Corbel"/>
          <w:sz w:val="24"/>
          <w:szCs w:val="24"/>
        </w:rPr>
      </w:pPr>
      <w:r w:rsidRPr="00526C7C">
        <w:rPr>
          <w:rFonts w:ascii="Corbel" w:hAnsi="Corbel"/>
          <w:sz w:val="24"/>
          <w:szCs w:val="24"/>
        </w:rPr>
        <w:t xml:space="preserve">The updated </w:t>
      </w:r>
      <w:r>
        <w:rPr>
          <w:rFonts w:ascii="Corbel" w:hAnsi="Corbel"/>
          <w:sz w:val="24"/>
          <w:szCs w:val="24"/>
        </w:rPr>
        <w:t>Commonwealth</w:t>
      </w:r>
      <w:r w:rsidRPr="00526C7C">
        <w:rPr>
          <w:rFonts w:ascii="Corbel" w:hAnsi="Corbel"/>
          <w:sz w:val="24"/>
          <w:szCs w:val="24"/>
        </w:rPr>
        <w:t xml:space="preserve"> share of funding for NDIS funded supports</w:t>
      </w:r>
      <w:r>
        <w:rPr>
          <w:rFonts w:ascii="Corbel" w:hAnsi="Corbel"/>
          <w:sz w:val="24"/>
          <w:szCs w:val="24"/>
        </w:rPr>
        <w:t xml:space="preserve"> (updated from Table 3 in Appendix A) </w:t>
      </w:r>
      <w:r w:rsidRPr="00526C7C">
        <w:rPr>
          <w:rFonts w:ascii="Corbel" w:hAnsi="Corbel"/>
          <w:sz w:val="24"/>
          <w:szCs w:val="24"/>
        </w:rPr>
        <w:t xml:space="preserve"> that is estimated to be provided in cash and through direct provision of services is shown</w:t>
      </w:r>
      <w:r>
        <w:rPr>
          <w:rFonts w:ascii="Corbel" w:hAnsi="Corbel"/>
          <w:sz w:val="24"/>
          <w:szCs w:val="24"/>
        </w:rPr>
        <w:t xml:space="preserve"> in Table 4.</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E81125">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E81125">
        <w:trPr>
          <w:cantSplit/>
        </w:trPr>
        <w:tc>
          <w:tcPr>
            <w:tcW w:w="2807" w:type="dxa"/>
            <w:tcBorders>
              <w:top w:val="single" w:sz="6" w:space="0" w:color="auto"/>
              <w:bottom w:val="single" w:sz="6" w:space="0" w:color="auto"/>
            </w:tcBorders>
          </w:tcPr>
          <w:p w:rsidR="005B65BE" w:rsidRPr="00D50B7F" w:rsidRDefault="005B65BE" w:rsidP="00E3666C">
            <w:pPr>
              <w:keepNext/>
              <w:rPr>
                <w:rFonts w:ascii="Corbel" w:hAnsi="Corbel"/>
                <w:sz w:val="24"/>
                <w:szCs w:val="24"/>
              </w:rPr>
            </w:pPr>
            <w:r>
              <w:rPr>
                <w:rFonts w:ascii="Corbel" w:hAnsi="Corbel"/>
                <w:sz w:val="24"/>
                <w:szCs w:val="24"/>
              </w:rPr>
              <w:t>Commonwealth cash contribution to the NDIS</w:t>
            </w:r>
          </w:p>
        </w:tc>
        <w:tc>
          <w:tcPr>
            <w:tcW w:w="2201" w:type="dxa"/>
            <w:tcBorders>
              <w:top w:val="single" w:sz="6" w:space="0" w:color="auto"/>
              <w:bottom w:val="single" w:sz="6" w:space="0" w:color="auto"/>
            </w:tcBorders>
          </w:tcPr>
          <w:p w:rsidR="005B65BE" w:rsidRPr="001F0CA1" w:rsidRDefault="005B65BE" w:rsidP="00010708">
            <w:pPr>
              <w:keepNext/>
              <w:rPr>
                <w:rFonts w:ascii="Corbel" w:hAnsi="Corbel"/>
                <w:sz w:val="24"/>
                <w:szCs w:val="24"/>
              </w:rPr>
            </w:pPr>
            <w:r>
              <w:rPr>
                <w:rFonts w:ascii="Corbel" w:hAnsi="Corbel"/>
                <w:sz w:val="24"/>
                <w:szCs w:val="24"/>
              </w:rPr>
              <w:t>$15.</w:t>
            </w:r>
            <w:r w:rsidR="00010708">
              <w:rPr>
                <w:rFonts w:ascii="Corbel" w:hAnsi="Corbel"/>
                <w:sz w:val="24"/>
                <w:szCs w:val="24"/>
              </w:rPr>
              <w:t>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Pr="001F0CA1" w:rsidRDefault="005B65BE" w:rsidP="00782EDE">
            <w:pPr>
              <w:keepNext/>
              <w:rPr>
                <w:rFonts w:ascii="Corbel" w:hAnsi="Corbel"/>
                <w:sz w:val="24"/>
                <w:szCs w:val="24"/>
              </w:rPr>
            </w:pPr>
            <w:r>
              <w:rPr>
                <w:rFonts w:ascii="Corbel" w:hAnsi="Corbel"/>
                <w:sz w:val="24"/>
                <w:szCs w:val="24"/>
              </w:rPr>
              <w:t>$34.9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Pr="001F0CA1" w:rsidRDefault="005B65BE" w:rsidP="006A3334">
            <w:pPr>
              <w:keepNext/>
              <w:rPr>
                <w:rFonts w:ascii="Corbel" w:hAnsi="Corbel"/>
                <w:sz w:val="24"/>
                <w:szCs w:val="24"/>
              </w:rPr>
            </w:pPr>
            <w:r>
              <w:rPr>
                <w:rFonts w:ascii="Corbel" w:hAnsi="Corbel"/>
                <w:sz w:val="24"/>
                <w:szCs w:val="24"/>
              </w:rPr>
              <w:t>$48.4</w:t>
            </w:r>
            <w:r w:rsidRPr="001F0CA1">
              <w:rPr>
                <w:rFonts w:ascii="Corbel" w:hAnsi="Corbel"/>
                <w:sz w:val="24"/>
                <w:szCs w:val="24"/>
              </w:rPr>
              <w:t xml:space="preserve"> million</w:t>
            </w:r>
          </w:p>
        </w:tc>
      </w:tr>
      <w:tr w:rsidR="005B65BE" w:rsidTr="00E81125">
        <w:trPr>
          <w:cantSplit/>
        </w:trPr>
        <w:tc>
          <w:tcPr>
            <w:tcW w:w="2807" w:type="dxa"/>
            <w:tcBorders>
              <w:top w:val="single" w:sz="6" w:space="0" w:color="auto"/>
              <w:bottom w:val="single" w:sz="6" w:space="0" w:color="auto"/>
            </w:tcBorders>
          </w:tcPr>
          <w:p w:rsidR="005B65BE" w:rsidRPr="00060748" w:rsidRDefault="005B65BE" w:rsidP="00287B2E">
            <w:pPr>
              <w:rPr>
                <w:rFonts w:ascii="Corbel" w:hAnsi="Corbel"/>
                <w:sz w:val="24"/>
                <w:szCs w:val="24"/>
              </w:rPr>
            </w:pPr>
            <w:r>
              <w:rPr>
                <w:rFonts w:ascii="Corbel" w:hAnsi="Corbel"/>
                <w:sz w:val="24"/>
                <w:szCs w:val="24"/>
              </w:rPr>
              <w:t>Commonwealth  in-kind contribution to the NDIS</w:t>
            </w:r>
          </w:p>
        </w:tc>
        <w:tc>
          <w:tcPr>
            <w:tcW w:w="2201" w:type="dxa"/>
            <w:tcBorders>
              <w:top w:val="single" w:sz="6" w:space="0" w:color="auto"/>
              <w:bottom w:val="single" w:sz="6" w:space="0" w:color="auto"/>
            </w:tcBorders>
          </w:tcPr>
          <w:p w:rsidR="005B65BE" w:rsidRDefault="005B65BE" w:rsidP="006A3334">
            <w:pPr>
              <w:rPr>
                <w:rFonts w:ascii="Corbel" w:hAnsi="Corbel"/>
                <w:sz w:val="24"/>
                <w:szCs w:val="24"/>
              </w:rPr>
            </w:pPr>
            <w:r>
              <w:rPr>
                <w:rFonts w:ascii="Corbel" w:hAnsi="Corbel"/>
                <w:sz w:val="24"/>
                <w:szCs w:val="24"/>
              </w:rPr>
              <w:t>$5.</w:t>
            </w:r>
            <w:r w:rsidR="00010708">
              <w:rPr>
                <w:rFonts w:ascii="Corbel" w:hAnsi="Corbel"/>
                <w:sz w:val="24"/>
                <w:szCs w:val="24"/>
              </w:rPr>
              <w:t>9</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782EDE">
            <w:pPr>
              <w:rPr>
                <w:rFonts w:ascii="Corbel" w:hAnsi="Corbel"/>
                <w:sz w:val="24"/>
                <w:szCs w:val="24"/>
              </w:rPr>
            </w:pPr>
            <w:r>
              <w:rPr>
                <w:rFonts w:ascii="Corbel" w:hAnsi="Corbel"/>
                <w:sz w:val="24"/>
                <w:szCs w:val="24"/>
              </w:rPr>
              <w:t>$12.6</w:t>
            </w:r>
            <w:r w:rsidR="006A3334">
              <w:rPr>
                <w:rFonts w:ascii="Corbel" w:hAnsi="Corbel"/>
                <w:sz w:val="24"/>
                <w:szCs w:val="24"/>
              </w:rPr>
              <w:t xml:space="preserve"> </w:t>
            </w:r>
            <w:r w:rsidRPr="001F0CA1">
              <w:rPr>
                <w:rFonts w:ascii="Corbel" w:hAnsi="Corbel"/>
                <w:sz w:val="24"/>
                <w:szCs w:val="24"/>
              </w:rPr>
              <w:t>million</w:t>
            </w:r>
          </w:p>
        </w:tc>
        <w:tc>
          <w:tcPr>
            <w:tcW w:w="2202" w:type="dxa"/>
            <w:tcBorders>
              <w:top w:val="single" w:sz="6" w:space="0" w:color="auto"/>
              <w:bottom w:val="single" w:sz="6" w:space="0" w:color="auto"/>
            </w:tcBorders>
          </w:tcPr>
          <w:p w:rsidR="005B65BE" w:rsidRDefault="005B65BE" w:rsidP="00010708">
            <w:pPr>
              <w:rPr>
                <w:rFonts w:ascii="Corbel" w:hAnsi="Corbel"/>
                <w:sz w:val="24"/>
                <w:szCs w:val="24"/>
              </w:rPr>
            </w:pPr>
            <w:r>
              <w:rPr>
                <w:rFonts w:ascii="Corbel" w:hAnsi="Corbel"/>
                <w:sz w:val="24"/>
                <w:szCs w:val="24"/>
              </w:rPr>
              <w:t>$7.</w:t>
            </w:r>
            <w:r w:rsidR="00010708">
              <w:rPr>
                <w:rFonts w:ascii="Corbel" w:hAnsi="Corbel"/>
                <w:sz w:val="24"/>
                <w:szCs w:val="24"/>
              </w:rPr>
              <w:t>7</w:t>
            </w:r>
            <w:r w:rsidRPr="001F0CA1">
              <w:rPr>
                <w:rFonts w:ascii="Corbel" w:hAnsi="Corbel"/>
                <w:sz w:val="24"/>
                <w:szCs w:val="24"/>
              </w:rPr>
              <w:t xml:space="preserve"> million</w:t>
            </w:r>
          </w:p>
        </w:tc>
      </w:tr>
      <w:tr w:rsidR="005B65BE" w:rsidTr="00E81125">
        <w:trPr>
          <w:cantSplit/>
        </w:trPr>
        <w:tc>
          <w:tcPr>
            <w:tcW w:w="2807" w:type="dxa"/>
            <w:tcBorders>
              <w:top w:val="single" w:sz="6" w:space="0" w:color="auto"/>
              <w:bottom w:val="single" w:sz="6" w:space="0" w:color="auto"/>
            </w:tcBorders>
          </w:tcPr>
          <w:p w:rsidR="005B65BE" w:rsidRDefault="005B65BE" w:rsidP="00DB7FE9">
            <w:pPr>
              <w:rPr>
                <w:rFonts w:ascii="Corbel" w:hAnsi="Corbel"/>
                <w:sz w:val="24"/>
                <w:szCs w:val="24"/>
              </w:rPr>
            </w:pPr>
            <w:r w:rsidRPr="00DB7FE9">
              <w:rPr>
                <w:rFonts w:ascii="Corbel" w:hAnsi="Corbel"/>
                <w:sz w:val="24"/>
                <w:szCs w:val="24"/>
              </w:rPr>
              <w:t>Repayment of Commonwealth grants</w:t>
            </w:r>
            <w:r w:rsidRPr="00100764">
              <w:rPr>
                <w:rFonts w:ascii="Corbel" w:hAnsi="Corbel"/>
                <w:sz w:val="24"/>
                <w:szCs w:val="24"/>
                <w:vertAlign w:val="superscript"/>
              </w:rPr>
              <w:t>*</w:t>
            </w:r>
            <w:r>
              <w:rPr>
                <w:rFonts w:ascii="Corbel" w:hAnsi="Corbel"/>
                <w:sz w:val="24"/>
                <w:szCs w:val="24"/>
              </w:rPr>
              <w:t xml:space="preserve"> </w:t>
            </w:r>
          </w:p>
        </w:tc>
        <w:tc>
          <w:tcPr>
            <w:tcW w:w="2201"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$7.5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3D31D7">
            <w:pPr>
              <w:rPr>
                <w:rFonts w:ascii="Corbel" w:hAnsi="Corbel"/>
                <w:sz w:val="24"/>
                <w:szCs w:val="24"/>
              </w:rPr>
            </w:pPr>
            <w:r>
              <w:rPr>
                <w:rFonts w:ascii="Corbel" w:hAnsi="Corbel"/>
                <w:sz w:val="24"/>
                <w:szCs w:val="24"/>
              </w:rPr>
              <w:t>$16.6</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3D31D7">
            <w:pPr>
              <w:rPr>
                <w:rFonts w:ascii="Corbel" w:hAnsi="Corbel"/>
                <w:sz w:val="24"/>
                <w:szCs w:val="24"/>
              </w:rPr>
            </w:pPr>
            <w:r>
              <w:rPr>
                <w:rFonts w:ascii="Corbel" w:hAnsi="Corbel"/>
                <w:sz w:val="24"/>
                <w:szCs w:val="24"/>
              </w:rPr>
              <w:t>$19.5</w:t>
            </w:r>
            <w:r w:rsidRPr="001F0CA1">
              <w:rPr>
                <w:rFonts w:ascii="Corbel" w:hAnsi="Corbel"/>
                <w:sz w:val="24"/>
                <w:szCs w:val="24"/>
              </w:rPr>
              <w:t xml:space="preserve"> million</w:t>
            </w:r>
          </w:p>
        </w:tc>
      </w:tr>
      <w:tr w:rsidR="005B65BE" w:rsidTr="00E81125">
        <w:trPr>
          <w:cantSplit/>
        </w:trPr>
        <w:tc>
          <w:tcPr>
            <w:tcW w:w="2807"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 xml:space="preserve">Commonwealth funding for NDIS funded supports </w:t>
            </w:r>
          </w:p>
        </w:tc>
        <w:tc>
          <w:tcPr>
            <w:tcW w:w="2201" w:type="dxa"/>
            <w:tcBorders>
              <w:top w:val="single" w:sz="6" w:space="0" w:color="auto"/>
              <w:bottom w:val="single" w:sz="6" w:space="0" w:color="auto"/>
            </w:tcBorders>
          </w:tcPr>
          <w:p w:rsidR="005B65BE" w:rsidRDefault="005B65BE" w:rsidP="00E81125">
            <w:pPr>
              <w:rPr>
                <w:rFonts w:ascii="Corbel" w:hAnsi="Corbel"/>
                <w:sz w:val="24"/>
                <w:szCs w:val="24"/>
              </w:rPr>
            </w:pPr>
            <w:r>
              <w:rPr>
                <w:rFonts w:ascii="Corbel" w:hAnsi="Corbel"/>
                <w:sz w:val="24"/>
                <w:szCs w:val="24"/>
              </w:rPr>
              <w:t>$28.9</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A3334">
            <w:pPr>
              <w:rPr>
                <w:rFonts w:ascii="Corbel" w:hAnsi="Corbel"/>
                <w:sz w:val="24"/>
                <w:szCs w:val="24"/>
              </w:rPr>
            </w:pPr>
            <w:r>
              <w:rPr>
                <w:rFonts w:ascii="Corbel" w:hAnsi="Corbel"/>
                <w:sz w:val="24"/>
                <w:szCs w:val="24"/>
              </w:rPr>
              <w:t>$64.1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A3334">
            <w:pPr>
              <w:rPr>
                <w:rFonts w:ascii="Corbel" w:hAnsi="Corbel"/>
                <w:sz w:val="24"/>
                <w:szCs w:val="24"/>
              </w:rPr>
            </w:pPr>
            <w:r>
              <w:rPr>
                <w:rFonts w:ascii="Corbel" w:hAnsi="Corbel"/>
                <w:sz w:val="24"/>
                <w:szCs w:val="24"/>
              </w:rPr>
              <w:t>$75.5</w:t>
            </w:r>
            <w:r w:rsidRPr="001F0CA1">
              <w:rPr>
                <w:rFonts w:ascii="Corbel" w:hAnsi="Corbel"/>
                <w:sz w:val="24"/>
                <w:szCs w:val="24"/>
              </w:rPr>
              <w:t xml:space="preserve"> million</w:t>
            </w:r>
          </w:p>
        </w:tc>
      </w:tr>
    </w:tbl>
    <w:p w:rsidR="005B65BE" w:rsidRPr="00100764" w:rsidRDefault="005B65BE" w:rsidP="00287B2E">
      <w:pPr>
        <w:ind w:left="360"/>
        <w:rPr>
          <w:rFonts w:ascii="Corbel" w:hAnsi="Corbel"/>
          <w:sz w:val="20"/>
          <w:szCs w:val="24"/>
        </w:rPr>
      </w:pPr>
      <w:r w:rsidRPr="00100764">
        <w:rPr>
          <w:rFonts w:ascii="Corbel" w:hAnsi="Corbel"/>
          <w:sz w:val="20"/>
          <w:szCs w:val="24"/>
          <w:vertAlign w:val="superscript"/>
        </w:rPr>
        <w:t>*</w:t>
      </w:r>
      <w:r w:rsidRPr="00100764">
        <w:rPr>
          <w:rFonts w:ascii="Corbel" w:hAnsi="Corbel"/>
          <w:sz w:val="20"/>
          <w:szCs w:val="24"/>
        </w:rPr>
        <w:t>Repayment</w:t>
      </w:r>
      <w:r>
        <w:rPr>
          <w:rFonts w:ascii="Corbel" w:hAnsi="Corbel"/>
          <w:sz w:val="20"/>
          <w:szCs w:val="24"/>
        </w:rPr>
        <w:t xml:space="preserve"> of Commonwealth grants includes funding transferred from </w:t>
      </w:r>
      <w:smartTag w:uri="urn:schemas-microsoft-com:office:smarttags" w:element="place">
        <w:smartTag w:uri="urn:schemas-microsoft-com:office:smarttags" w:element="State">
          <w:r>
            <w:rPr>
              <w:rFonts w:ascii="Corbel" w:hAnsi="Corbel"/>
              <w:sz w:val="20"/>
              <w:szCs w:val="24"/>
            </w:rPr>
            <w:t>Victoria</w:t>
          </w:r>
        </w:smartTag>
      </w:smartTag>
      <w:r>
        <w:rPr>
          <w:rFonts w:ascii="Corbel" w:hAnsi="Corbel"/>
          <w:sz w:val="20"/>
          <w:szCs w:val="24"/>
        </w:rPr>
        <w:t xml:space="preserve"> to the Commonwealth from the SPP and for HACC services for clients ageing over 65 in the scheme. Refer to Table 8 for a further breakdown of funding.</w:t>
      </w:r>
    </w:p>
    <w:p w:rsidR="005B65BE" w:rsidRPr="00363528" w:rsidRDefault="005B65BE" w:rsidP="00A77BF6">
      <w:pPr>
        <w:ind w:firstLine="360"/>
        <w:rPr>
          <w:rFonts w:ascii="Corbel" w:hAnsi="Corbel"/>
          <w:b/>
          <w:sz w:val="24"/>
          <w:szCs w:val="24"/>
        </w:rPr>
      </w:pPr>
      <w:smartTag w:uri="urn:schemas-microsoft-com:office:smarttags" w:element="place">
        <w:smartTag w:uri="urn:schemas-microsoft-com:office:smarttags" w:element="State">
          <w:r>
            <w:rPr>
              <w:rFonts w:ascii="Corbel" w:hAnsi="Corbel"/>
              <w:b/>
              <w:sz w:val="24"/>
              <w:szCs w:val="24"/>
            </w:rPr>
            <w:lastRenderedPageBreak/>
            <w:t>Victoria</w:t>
          </w:r>
        </w:smartTag>
      </w:smartTag>
      <w:r>
        <w:rPr>
          <w:rFonts w:ascii="Corbel" w:hAnsi="Corbel"/>
          <w:b/>
          <w:sz w:val="24"/>
          <w:szCs w:val="24"/>
        </w:rPr>
        <w:t xml:space="preserve"> cash and in-kind contributions</w:t>
      </w:r>
    </w:p>
    <w:p w:rsidR="005B65BE" w:rsidRPr="00C905EA" w:rsidRDefault="005B65BE" w:rsidP="00A77BF6">
      <w:pPr>
        <w:numPr>
          <w:ilvl w:val="0"/>
          <w:numId w:val="9"/>
        </w:numPr>
        <w:rPr>
          <w:rFonts w:ascii="Corbel" w:hAnsi="Corbel"/>
          <w:sz w:val="24"/>
          <w:szCs w:val="24"/>
        </w:rPr>
      </w:pPr>
      <w:r>
        <w:rPr>
          <w:rFonts w:ascii="Corbel" w:hAnsi="Corbel"/>
          <w:sz w:val="24"/>
          <w:szCs w:val="24"/>
        </w:rPr>
        <w:t xml:space="preserve">The </w:t>
      </w:r>
      <w:r w:rsidRPr="00C905EA">
        <w:rPr>
          <w:rFonts w:ascii="Corbel" w:hAnsi="Corbel"/>
          <w:sz w:val="24"/>
          <w:szCs w:val="24"/>
        </w:rPr>
        <w:t>approach to transition</w:t>
      </w:r>
      <w:r>
        <w:rPr>
          <w:rFonts w:ascii="Corbel" w:hAnsi="Corbel"/>
          <w:sz w:val="24"/>
          <w:szCs w:val="24"/>
        </w:rPr>
        <w:t>ing</w:t>
      </w:r>
      <w:r w:rsidRPr="00C905EA">
        <w:rPr>
          <w:rFonts w:ascii="Corbel" w:hAnsi="Corbel"/>
          <w:sz w:val="24"/>
          <w:szCs w:val="24"/>
        </w:rPr>
        <w:t xml:space="preserve"> </w:t>
      </w:r>
      <w:smartTag w:uri="urn:schemas-microsoft-com:office:smarttags" w:element="place">
        <w:smartTag w:uri="urn:schemas-microsoft-com:office:smarttags" w:element="State">
          <w:r>
            <w:rPr>
              <w:rFonts w:ascii="Corbel" w:hAnsi="Corbel"/>
              <w:sz w:val="24"/>
              <w:szCs w:val="24"/>
            </w:rPr>
            <w:t>Victoria</w:t>
          </w:r>
        </w:smartTag>
      </w:smartTag>
      <w:r>
        <w:rPr>
          <w:rFonts w:ascii="Corbel" w:hAnsi="Corbel"/>
          <w:sz w:val="24"/>
          <w:szCs w:val="24"/>
        </w:rPr>
        <w:t xml:space="preserve">'s </w:t>
      </w:r>
      <w:r w:rsidRPr="00C905EA">
        <w:rPr>
          <w:rFonts w:ascii="Corbel" w:hAnsi="Corbel"/>
          <w:sz w:val="24"/>
          <w:szCs w:val="24"/>
        </w:rPr>
        <w:t>existing disability program</w:t>
      </w:r>
      <w:r w:rsidR="00D37776">
        <w:rPr>
          <w:rFonts w:ascii="Corbel" w:hAnsi="Corbel"/>
          <w:sz w:val="24"/>
          <w:szCs w:val="24"/>
        </w:rPr>
        <w:t>s</w:t>
      </w:r>
      <w:r w:rsidRPr="00C905EA">
        <w:rPr>
          <w:rFonts w:ascii="Corbel" w:hAnsi="Corbel"/>
          <w:sz w:val="24"/>
          <w:szCs w:val="24"/>
        </w:rPr>
        <w:t xml:space="preserve"> is outlined below:</w:t>
      </w:r>
    </w:p>
    <w:p w:rsidR="005B65BE" w:rsidRPr="00C905EA" w:rsidRDefault="005B65BE" w:rsidP="00293427">
      <w:pPr>
        <w:numPr>
          <w:ilvl w:val="1"/>
          <w:numId w:val="9"/>
        </w:numPr>
        <w:rPr>
          <w:rFonts w:ascii="Corbel" w:hAnsi="Corbel"/>
          <w:sz w:val="24"/>
          <w:szCs w:val="24"/>
        </w:rPr>
      </w:pPr>
      <w:r>
        <w:rPr>
          <w:rFonts w:ascii="Corbel" w:hAnsi="Corbel"/>
          <w:sz w:val="24"/>
          <w:szCs w:val="24"/>
        </w:rPr>
        <w:t>t</w:t>
      </w:r>
      <w:r w:rsidRPr="00C905EA">
        <w:rPr>
          <w:rFonts w:ascii="Corbel" w:hAnsi="Corbel"/>
          <w:sz w:val="24"/>
          <w:szCs w:val="24"/>
        </w:rPr>
        <w:t>ransition of existing</w:t>
      </w:r>
      <w:r>
        <w:rPr>
          <w:rFonts w:ascii="Corbel" w:hAnsi="Corbel"/>
          <w:sz w:val="24"/>
          <w:szCs w:val="24"/>
        </w:rPr>
        <w:t xml:space="preserve"> Victorian </w:t>
      </w:r>
      <w:r w:rsidRPr="00C905EA">
        <w:rPr>
          <w:rFonts w:ascii="Corbel" w:hAnsi="Corbel"/>
          <w:sz w:val="24"/>
          <w:szCs w:val="24"/>
        </w:rPr>
        <w:t>programs into cash contribution</w:t>
      </w:r>
      <w:r>
        <w:rPr>
          <w:rFonts w:ascii="Corbel" w:hAnsi="Corbel"/>
          <w:sz w:val="24"/>
          <w:szCs w:val="24"/>
        </w:rPr>
        <w:t xml:space="preserve"> in launch sites</w:t>
      </w:r>
      <w:r w:rsidRPr="00C905EA">
        <w:rPr>
          <w:rFonts w:ascii="Corbel" w:hAnsi="Corbel"/>
          <w:sz w:val="24"/>
          <w:szCs w:val="24"/>
        </w:rPr>
        <w:t xml:space="preserve"> </w:t>
      </w:r>
      <w:r>
        <w:rPr>
          <w:rFonts w:ascii="Corbel" w:hAnsi="Corbel"/>
          <w:sz w:val="24"/>
          <w:szCs w:val="24"/>
        </w:rPr>
        <w:t>will occur in either part or in full at launch commencement</w:t>
      </w:r>
      <w:r w:rsidR="00946CBF">
        <w:rPr>
          <w:rFonts w:ascii="Corbel" w:hAnsi="Corbel"/>
          <w:sz w:val="24"/>
          <w:szCs w:val="24"/>
        </w:rPr>
        <w:t>;</w:t>
      </w:r>
      <w:r>
        <w:rPr>
          <w:rFonts w:ascii="Corbel" w:hAnsi="Corbel"/>
          <w:sz w:val="24"/>
          <w:szCs w:val="24"/>
        </w:rPr>
        <w:t xml:space="preserve"> or as participants enter the NDIS; or as contracts expire over the launch period; and</w:t>
      </w:r>
    </w:p>
    <w:p w:rsidR="005B65BE" w:rsidRPr="00293427" w:rsidRDefault="005B65BE" w:rsidP="00293427">
      <w:pPr>
        <w:numPr>
          <w:ilvl w:val="1"/>
          <w:numId w:val="9"/>
        </w:numPr>
        <w:rPr>
          <w:rFonts w:ascii="Corbel" w:hAnsi="Corbel"/>
          <w:sz w:val="24"/>
          <w:szCs w:val="24"/>
        </w:rPr>
      </w:pPr>
      <w:r>
        <w:rPr>
          <w:rFonts w:ascii="Corbel" w:hAnsi="Corbel"/>
          <w:sz w:val="24"/>
          <w:szCs w:val="24"/>
        </w:rPr>
        <w:t xml:space="preserve">some programs will continue in-kind in launch sites for the duration of the launch period. </w:t>
      </w:r>
    </w:p>
    <w:p w:rsidR="005B65BE" w:rsidRDefault="005B65BE">
      <w:pPr>
        <w:numPr>
          <w:ilvl w:val="0"/>
          <w:numId w:val="9"/>
        </w:numPr>
        <w:rPr>
          <w:rFonts w:ascii="Corbel" w:hAnsi="Corbel"/>
          <w:sz w:val="24"/>
          <w:szCs w:val="24"/>
        </w:rPr>
      </w:pPr>
      <w:r>
        <w:rPr>
          <w:rFonts w:ascii="Corbel" w:hAnsi="Corbel"/>
          <w:sz w:val="24"/>
          <w:szCs w:val="24"/>
        </w:rPr>
        <w:t xml:space="preserve">Victorian disability programs provided as cash contributions include but are not limited to Individual Support Packages and Futures for Young Adults.  Where provided by service providers located in the Barwon area, the following programs will also be a cash contribution: Therapy; Case Management; non-Department of Human Services (DHS) provided Behaviour Intervention Services; Outreach Support; Facilitation and Planning, Flexible Support Packages; Community-based Respite; Training and Development and Industry Development and Innovation. The table below shows the Victorian cash contribution from these programs and other sources not included in tables 6 or 7, including new funding </w:t>
      </w:r>
      <w:r w:rsidR="00F5420C">
        <w:rPr>
          <w:rFonts w:ascii="Corbel" w:hAnsi="Corbel"/>
          <w:sz w:val="24"/>
          <w:szCs w:val="24"/>
        </w:rPr>
        <w:t>and repayment of Commonwealth grants (including a repayment for those who turn 65 in the scheme).</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060748">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060748">
        <w:trPr>
          <w:cantSplit/>
        </w:trPr>
        <w:tc>
          <w:tcPr>
            <w:tcW w:w="2807" w:type="dxa"/>
            <w:tcBorders>
              <w:top w:val="single" w:sz="6" w:space="0" w:color="auto"/>
              <w:bottom w:val="single" w:sz="6" w:space="0" w:color="auto"/>
            </w:tcBorders>
          </w:tcPr>
          <w:p w:rsidR="005B65BE" w:rsidRPr="00060748" w:rsidRDefault="005B65BE" w:rsidP="00E3666C">
            <w:pPr>
              <w:keepNext/>
              <w:rPr>
                <w:rFonts w:ascii="Corbel" w:hAnsi="Corbel"/>
                <w:sz w:val="24"/>
                <w:szCs w:val="24"/>
              </w:rPr>
            </w:pPr>
            <w:r>
              <w:rPr>
                <w:rFonts w:ascii="Corbel" w:hAnsi="Corbel"/>
                <w:sz w:val="24"/>
                <w:szCs w:val="24"/>
              </w:rPr>
              <w:t>All services that are not specified in tables 6 or 7 below</w:t>
            </w:r>
          </w:p>
        </w:tc>
        <w:tc>
          <w:tcPr>
            <w:tcW w:w="2201" w:type="dxa"/>
            <w:tcBorders>
              <w:top w:val="single" w:sz="6" w:space="0" w:color="auto"/>
              <w:bottom w:val="single" w:sz="6" w:space="0" w:color="auto"/>
            </w:tcBorders>
          </w:tcPr>
          <w:p w:rsidR="005B65BE" w:rsidRPr="001F0CA1" w:rsidRDefault="005B65BE" w:rsidP="00F5420C">
            <w:pPr>
              <w:keepNext/>
              <w:rPr>
                <w:rFonts w:ascii="Corbel" w:hAnsi="Corbel"/>
                <w:sz w:val="24"/>
                <w:szCs w:val="24"/>
              </w:rPr>
            </w:pPr>
            <w:r>
              <w:rPr>
                <w:rFonts w:ascii="Corbel" w:hAnsi="Corbel"/>
                <w:sz w:val="24"/>
                <w:szCs w:val="24"/>
              </w:rPr>
              <w:t>$</w:t>
            </w:r>
            <w:r w:rsidR="00F5420C">
              <w:rPr>
                <w:rFonts w:ascii="Corbel" w:hAnsi="Corbel"/>
                <w:sz w:val="24"/>
                <w:szCs w:val="24"/>
              </w:rPr>
              <w:t>29.12</w:t>
            </w:r>
            <w:r w:rsidR="00F47204">
              <w:rPr>
                <w:rFonts w:ascii="Corbel" w:hAnsi="Corbel"/>
                <w:sz w:val="24"/>
                <w:szCs w:val="24"/>
              </w:rPr>
              <w:t xml:space="preserve"> </w:t>
            </w:r>
            <w:r w:rsidRPr="001F0CA1">
              <w:rPr>
                <w:rFonts w:ascii="Corbel" w:hAnsi="Corbel"/>
                <w:sz w:val="24"/>
                <w:szCs w:val="24"/>
              </w:rPr>
              <w:t>million</w:t>
            </w:r>
          </w:p>
        </w:tc>
        <w:tc>
          <w:tcPr>
            <w:tcW w:w="2201" w:type="dxa"/>
            <w:tcBorders>
              <w:top w:val="single" w:sz="6" w:space="0" w:color="auto"/>
              <w:bottom w:val="single" w:sz="6" w:space="0" w:color="auto"/>
            </w:tcBorders>
          </w:tcPr>
          <w:p w:rsidR="005B65BE" w:rsidRPr="001F0CA1" w:rsidRDefault="005B65BE" w:rsidP="00F5420C">
            <w:pPr>
              <w:keepNext/>
              <w:rPr>
                <w:rFonts w:ascii="Corbel" w:hAnsi="Corbel"/>
                <w:sz w:val="24"/>
                <w:szCs w:val="24"/>
              </w:rPr>
            </w:pPr>
            <w:r>
              <w:rPr>
                <w:rFonts w:ascii="Corbel" w:hAnsi="Corbel"/>
                <w:sz w:val="24"/>
                <w:szCs w:val="24"/>
              </w:rPr>
              <w:t>$</w:t>
            </w:r>
            <w:r w:rsidR="00F5420C">
              <w:rPr>
                <w:rFonts w:ascii="Corbel" w:hAnsi="Corbel"/>
                <w:sz w:val="24"/>
                <w:szCs w:val="24"/>
              </w:rPr>
              <w:t>41.77</w:t>
            </w:r>
            <w:r>
              <w:rPr>
                <w:rFonts w:ascii="Corbel" w:hAnsi="Corbel"/>
                <w:sz w:val="24"/>
                <w:szCs w:val="24"/>
              </w:rPr>
              <w:t xml:space="preserve"> </w:t>
            </w:r>
            <w:r w:rsidRPr="001F0CA1">
              <w:rPr>
                <w:rFonts w:ascii="Corbel" w:hAnsi="Corbel"/>
                <w:sz w:val="24"/>
                <w:szCs w:val="24"/>
              </w:rPr>
              <w:t>million</w:t>
            </w:r>
          </w:p>
        </w:tc>
        <w:tc>
          <w:tcPr>
            <w:tcW w:w="2202" w:type="dxa"/>
            <w:tcBorders>
              <w:top w:val="single" w:sz="6" w:space="0" w:color="auto"/>
              <w:bottom w:val="single" w:sz="6" w:space="0" w:color="auto"/>
            </w:tcBorders>
          </w:tcPr>
          <w:p w:rsidR="005B65BE" w:rsidRPr="001F0CA1" w:rsidRDefault="005B65BE" w:rsidP="00F5420C">
            <w:pPr>
              <w:keepNext/>
              <w:rPr>
                <w:rFonts w:ascii="Corbel" w:hAnsi="Corbel"/>
                <w:sz w:val="24"/>
                <w:szCs w:val="24"/>
              </w:rPr>
            </w:pPr>
            <w:r>
              <w:rPr>
                <w:rFonts w:ascii="Corbel" w:hAnsi="Corbel"/>
                <w:sz w:val="24"/>
                <w:szCs w:val="24"/>
              </w:rPr>
              <w:t>$</w:t>
            </w:r>
            <w:r w:rsidR="00F5420C">
              <w:rPr>
                <w:rFonts w:ascii="Corbel" w:hAnsi="Corbel"/>
                <w:sz w:val="24"/>
                <w:szCs w:val="24"/>
              </w:rPr>
              <w:t>53.88</w:t>
            </w:r>
            <w:r w:rsidR="00F47204">
              <w:rPr>
                <w:rFonts w:ascii="Corbel" w:hAnsi="Corbel"/>
                <w:sz w:val="24"/>
                <w:szCs w:val="24"/>
              </w:rPr>
              <w:t xml:space="preserve"> </w:t>
            </w:r>
            <w:r w:rsidRPr="001F0CA1">
              <w:rPr>
                <w:rFonts w:ascii="Corbel" w:hAnsi="Corbel"/>
                <w:sz w:val="24"/>
                <w:szCs w:val="24"/>
              </w:rPr>
              <w:t>million</w:t>
            </w:r>
          </w:p>
        </w:tc>
      </w:tr>
    </w:tbl>
    <w:p w:rsidR="005B65BE" w:rsidRDefault="005B65BE" w:rsidP="002F6B50">
      <w:pPr>
        <w:rPr>
          <w:rFonts w:ascii="Corbel" w:hAnsi="Corbel"/>
          <w:sz w:val="24"/>
          <w:szCs w:val="24"/>
        </w:rPr>
      </w:pPr>
    </w:p>
    <w:p w:rsidR="005B65BE" w:rsidRDefault="005B65BE" w:rsidP="00A77BF6">
      <w:pPr>
        <w:numPr>
          <w:ilvl w:val="0"/>
          <w:numId w:val="9"/>
        </w:numPr>
        <w:rPr>
          <w:rFonts w:ascii="Corbel" w:hAnsi="Corbel"/>
          <w:sz w:val="24"/>
          <w:szCs w:val="24"/>
        </w:rPr>
      </w:pPr>
      <w:r>
        <w:rPr>
          <w:rFonts w:ascii="Corbel" w:hAnsi="Corbel"/>
          <w:sz w:val="24"/>
          <w:szCs w:val="24"/>
        </w:rPr>
        <w:t>Based on the above approaches, the following Victorian disability services/programs, are expected to transition (either in part or in full) into cash contributions as contracts expire.</w:t>
      </w:r>
      <w:r w:rsidR="00F5420C">
        <w:rPr>
          <w:rFonts w:ascii="Corbel" w:hAnsi="Corbel"/>
          <w:sz w:val="24"/>
          <w:szCs w:val="24"/>
        </w:rPr>
        <w:t xml:space="preserve"> This includes repayment of Commonwealth grants (including a repayment for those who turn 65 in the scheme).</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6</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DC3BC2">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DC3BC2">
        <w:trPr>
          <w:cantSplit/>
        </w:trPr>
        <w:tc>
          <w:tcPr>
            <w:tcW w:w="2807" w:type="dxa"/>
            <w:tcBorders>
              <w:top w:val="single" w:sz="6" w:space="0" w:color="auto"/>
              <w:bottom w:val="single" w:sz="6" w:space="0" w:color="auto"/>
            </w:tcBorders>
          </w:tcPr>
          <w:p w:rsidR="005B65BE" w:rsidRPr="00060748" w:rsidRDefault="005B65BE" w:rsidP="00BD3455">
            <w:pPr>
              <w:rPr>
                <w:rFonts w:ascii="Corbel" w:hAnsi="Corbel"/>
                <w:sz w:val="24"/>
                <w:szCs w:val="24"/>
              </w:rPr>
            </w:pPr>
            <w:r>
              <w:rPr>
                <w:rFonts w:ascii="Corbel" w:hAnsi="Corbel"/>
                <w:sz w:val="24"/>
                <w:szCs w:val="24"/>
              </w:rPr>
              <w:t>Home and Community Care for people under 65 (part)</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$3.24</w:t>
            </w:r>
            <w:r w:rsidRPr="001F0CA1">
              <w:rPr>
                <w:rFonts w:ascii="Corbel" w:hAnsi="Corbel"/>
                <w:sz w:val="24"/>
                <w:szCs w:val="24"/>
              </w:rPr>
              <w:t xml:space="preserve"> million</w:t>
            </w:r>
            <w:r>
              <w:rPr>
                <w:rFonts w:ascii="Corbel" w:hAnsi="Corbel"/>
                <w:sz w:val="24"/>
                <w:szCs w:val="24"/>
              </w:rPr>
              <w:t xml:space="preserve"> (in-kind)</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$7.32</w:t>
            </w:r>
            <w:r w:rsidRPr="001F0CA1">
              <w:rPr>
                <w:rFonts w:ascii="Corbel" w:hAnsi="Corbel"/>
                <w:sz w:val="24"/>
                <w:szCs w:val="24"/>
              </w:rPr>
              <w:t xml:space="preserve"> million</w:t>
            </w:r>
            <w:r>
              <w:rPr>
                <w:rFonts w:ascii="Corbel" w:hAnsi="Corbel"/>
                <w:sz w:val="24"/>
                <w:szCs w:val="24"/>
              </w:rPr>
              <w:t xml:space="preserve"> (cash)</w:t>
            </w:r>
          </w:p>
        </w:tc>
        <w:tc>
          <w:tcPr>
            <w:tcW w:w="2202"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$8.75</w:t>
            </w:r>
            <w:r w:rsidRPr="001F0CA1">
              <w:rPr>
                <w:rFonts w:ascii="Corbel" w:hAnsi="Corbel"/>
                <w:sz w:val="24"/>
                <w:szCs w:val="24"/>
              </w:rPr>
              <w:t xml:space="preserve"> million</w:t>
            </w:r>
            <w:r>
              <w:rPr>
                <w:rFonts w:ascii="Corbel" w:hAnsi="Corbel"/>
                <w:sz w:val="24"/>
                <w:szCs w:val="24"/>
              </w:rPr>
              <w:t xml:space="preserve"> (cash)</w:t>
            </w:r>
          </w:p>
        </w:tc>
      </w:tr>
      <w:tr w:rsidR="005B65BE" w:rsidRPr="001F0CA1" w:rsidTr="00DC3BC2">
        <w:trPr>
          <w:cantSplit/>
        </w:trPr>
        <w:tc>
          <w:tcPr>
            <w:tcW w:w="2807" w:type="dxa"/>
            <w:tcBorders>
              <w:top w:val="single" w:sz="6" w:space="0" w:color="auto"/>
              <w:bottom w:val="single" w:sz="6" w:space="0" w:color="auto"/>
            </w:tcBorders>
          </w:tcPr>
          <w:p w:rsidR="005B65BE" w:rsidRPr="00060748" w:rsidRDefault="005B65BE" w:rsidP="00BD3455">
            <w:pPr>
              <w:rPr>
                <w:rFonts w:ascii="Corbel" w:hAnsi="Corbel"/>
                <w:sz w:val="24"/>
                <w:szCs w:val="24"/>
              </w:rPr>
            </w:pPr>
            <w:r>
              <w:rPr>
                <w:rFonts w:ascii="Corbel" w:hAnsi="Corbel"/>
                <w:sz w:val="24"/>
                <w:szCs w:val="24"/>
              </w:rPr>
              <w:lastRenderedPageBreak/>
              <w:t>Student Transport</w:t>
            </w:r>
          </w:p>
        </w:tc>
        <w:tc>
          <w:tcPr>
            <w:tcW w:w="2201" w:type="dxa"/>
            <w:tcBorders>
              <w:top w:val="single" w:sz="6" w:space="0" w:color="auto"/>
              <w:bottom w:val="single" w:sz="6" w:space="0" w:color="auto"/>
            </w:tcBorders>
          </w:tcPr>
          <w:p w:rsidR="005B65BE" w:rsidRDefault="005B65BE" w:rsidP="00293427">
            <w:pPr>
              <w:rPr>
                <w:rFonts w:ascii="Corbel" w:hAnsi="Corbel"/>
                <w:sz w:val="24"/>
                <w:szCs w:val="24"/>
              </w:rPr>
            </w:pPr>
            <w:r>
              <w:rPr>
                <w:rFonts w:ascii="Corbel" w:hAnsi="Corbel"/>
                <w:sz w:val="24"/>
                <w:szCs w:val="24"/>
              </w:rPr>
              <w:t>$0.65 million (in-kind)</w:t>
            </w:r>
          </w:p>
          <w:p w:rsidR="005B65BE" w:rsidRDefault="005B65BE" w:rsidP="00DC3BC2">
            <w:pPr>
              <w:rPr>
                <w:rFonts w:ascii="Corbel" w:hAnsi="Corbel"/>
                <w:sz w:val="24"/>
                <w:szCs w:val="24"/>
              </w:rPr>
            </w:pPr>
            <w:r>
              <w:rPr>
                <w:rFonts w:ascii="Corbel" w:hAnsi="Corbel"/>
                <w:sz w:val="24"/>
                <w:szCs w:val="24"/>
              </w:rPr>
              <w:t>$0.65 million (cash from Jan 2014)</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$2.70 million (cash)</w:t>
            </w:r>
          </w:p>
        </w:tc>
        <w:tc>
          <w:tcPr>
            <w:tcW w:w="2202"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$2.9 million (cash)</w:t>
            </w:r>
          </w:p>
        </w:tc>
      </w:tr>
      <w:tr w:rsidR="005B65BE" w:rsidRPr="001F0CA1" w:rsidTr="00DC3BC2">
        <w:trPr>
          <w:cantSplit/>
        </w:trPr>
        <w:tc>
          <w:tcPr>
            <w:tcW w:w="2807" w:type="dxa"/>
            <w:tcBorders>
              <w:top w:val="single" w:sz="6" w:space="0" w:color="auto"/>
              <w:bottom w:val="single" w:sz="6" w:space="0" w:color="auto"/>
            </w:tcBorders>
          </w:tcPr>
          <w:p w:rsidR="005B65BE" w:rsidRPr="00060748" w:rsidRDefault="005B65BE" w:rsidP="00BD3455">
            <w:pPr>
              <w:rPr>
                <w:rFonts w:ascii="Corbel" w:hAnsi="Corbel"/>
                <w:sz w:val="24"/>
                <w:szCs w:val="24"/>
              </w:rPr>
            </w:pPr>
            <w:r>
              <w:rPr>
                <w:rFonts w:ascii="Corbel" w:hAnsi="Corbel"/>
                <w:sz w:val="24"/>
                <w:szCs w:val="24"/>
              </w:rPr>
              <w:t>Attendant care in schools</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$1.30 million (in-kind)</w:t>
            </w:r>
          </w:p>
        </w:tc>
        <w:tc>
          <w:tcPr>
            <w:tcW w:w="2201" w:type="dxa"/>
            <w:tcBorders>
              <w:top w:val="single" w:sz="6" w:space="0" w:color="auto"/>
              <w:bottom w:val="single" w:sz="6" w:space="0" w:color="auto"/>
            </w:tcBorders>
          </w:tcPr>
          <w:p w:rsidR="005B65BE" w:rsidRDefault="005B65BE" w:rsidP="00293427">
            <w:pPr>
              <w:rPr>
                <w:rFonts w:ascii="Corbel" w:hAnsi="Corbel"/>
                <w:sz w:val="24"/>
                <w:szCs w:val="24"/>
              </w:rPr>
            </w:pPr>
            <w:r>
              <w:rPr>
                <w:rFonts w:ascii="Corbel" w:hAnsi="Corbel"/>
                <w:sz w:val="24"/>
                <w:szCs w:val="24"/>
              </w:rPr>
              <w:t>$1.35 million (in-kind)</w:t>
            </w:r>
          </w:p>
          <w:p w:rsidR="005B65BE" w:rsidRDefault="005B65BE" w:rsidP="00DC3BC2">
            <w:pPr>
              <w:rPr>
                <w:rFonts w:ascii="Corbel" w:hAnsi="Corbel"/>
                <w:sz w:val="24"/>
                <w:szCs w:val="24"/>
              </w:rPr>
            </w:pPr>
            <w:r>
              <w:rPr>
                <w:rFonts w:ascii="Corbel" w:hAnsi="Corbel"/>
                <w:sz w:val="24"/>
                <w:szCs w:val="24"/>
              </w:rPr>
              <w:t>$1.35 million (cash from Jan 2015)</w:t>
            </w:r>
          </w:p>
        </w:tc>
        <w:tc>
          <w:tcPr>
            <w:tcW w:w="2202"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$2.9 million (cash)</w:t>
            </w:r>
          </w:p>
        </w:tc>
      </w:tr>
      <w:tr w:rsidR="005B65BE" w:rsidRPr="001F0CA1" w:rsidTr="00DC3BC2">
        <w:trPr>
          <w:cantSplit/>
        </w:trPr>
        <w:tc>
          <w:tcPr>
            <w:tcW w:w="2807" w:type="dxa"/>
            <w:tcBorders>
              <w:top w:val="single" w:sz="6" w:space="0" w:color="auto"/>
              <w:bottom w:val="single" w:sz="6" w:space="0" w:color="auto"/>
            </w:tcBorders>
          </w:tcPr>
          <w:p w:rsidR="005B65BE" w:rsidRPr="00060748" w:rsidRDefault="005B65BE" w:rsidP="00BD3455">
            <w:pPr>
              <w:rPr>
                <w:rFonts w:ascii="Corbel" w:hAnsi="Corbel"/>
                <w:sz w:val="24"/>
                <w:szCs w:val="24"/>
              </w:rPr>
            </w:pPr>
            <w:r>
              <w:rPr>
                <w:rFonts w:ascii="Corbel" w:hAnsi="Corbel"/>
                <w:sz w:val="24"/>
                <w:szCs w:val="24"/>
              </w:rPr>
              <w:t>Early Childhood Intervention Services</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$1.2 million (in-kind)</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$2.30 million (cash)</w:t>
            </w:r>
          </w:p>
        </w:tc>
        <w:tc>
          <w:tcPr>
            <w:tcW w:w="2202"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$2.4 million (cash)</w:t>
            </w:r>
          </w:p>
        </w:tc>
      </w:tr>
      <w:tr w:rsidR="005B65BE" w:rsidRPr="001F0CA1" w:rsidTr="00DC3BC2">
        <w:trPr>
          <w:cantSplit/>
        </w:trPr>
        <w:tc>
          <w:tcPr>
            <w:tcW w:w="2807" w:type="dxa"/>
            <w:tcBorders>
              <w:top w:val="single" w:sz="6" w:space="0" w:color="auto"/>
              <w:bottom w:val="single" w:sz="6" w:space="0" w:color="auto"/>
            </w:tcBorders>
          </w:tcPr>
          <w:p w:rsidR="005B65BE" w:rsidRPr="00060748" w:rsidRDefault="005B65BE" w:rsidP="00BD3455">
            <w:pPr>
              <w:rPr>
                <w:rFonts w:ascii="Corbel" w:hAnsi="Corbel"/>
                <w:sz w:val="24"/>
                <w:szCs w:val="24"/>
              </w:rPr>
            </w:pPr>
            <w:r>
              <w:rPr>
                <w:rFonts w:ascii="Corbel" w:hAnsi="Corbel"/>
                <w:sz w:val="24"/>
                <w:szCs w:val="24"/>
              </w:rPr>
              <w:t>Psychiatric Disability Rehabilitation and Support Services</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$1.5 million (in-kind)</w:t>
            </w:r>
          </w:p>
        </w:tc>
        <w:tc>
          <w:tcPr>
            <w:tcW w:w="2201"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$5.40 million (cash)</w:t>
            </w:r>
          </w:p>
        </w:tc>
        <w:tc>
          <w:tcPr>
            <w:tcW w:w="2202" w:type="dxa"/>
            <w:tcBorders>
              <w:top w:val="single" w:sz="6" w:space="0" w:color="auto"/>
              <w:bottom w:val="single" w:sz="6" w:space="0" w:color="auto"/>
            </w:tcBorders>
          </w:tcPr>
          <w:p w:rsidR="005B65BE" w:rsidRDefault="005B65BE" w:rsidP="00DC3BC2">
            <w:pPr>
              <w:rPr>
                <w:rFonts w:ascii="Corbel" w:hAnsi="Corbel"/>
                <w:sz w:val="24"/>
                <w:szCs w:val="24"/>
              </w:rPr>
            </w:pPr>
            <w:r>
              <w:rPr>
                <w:rFonts w:ascii="Corbel" w:hAnsi="Corbel"/>
                <w:sz w:val="24"/>
                <w:szCs w:val="24"/>
              </w:rPr>
              <w:t>$5.59 million (cash)</w:t>
            </w:r>
          </w:p>
        </w:tc>
      </w:tr>
    </w:tbl>
    <w:p w:rsidR="005B65BE" w:rsidRDefault="005B65BE" w:rsidP="0040328A">
      <w:pPr>
        <w:ind w:left="720"/>
        <w:rPr>
          <w:rFonts w:ascii="Corbel" w:hAnsi="Corbel"/>
          <w:sz w:val="24"/>
          <w:szCs w:val="24"/>
        </w:rPr>
      </w:pPr>
    </w:p>
    <w:p w:rsidR="005B65BE" w:rsidRDefault="005B65BE" w:rsidP="00A77BF6">
      <w:pPr>
        <w:numPr>
          <w:ilvl w:val="0"/>
          <w:numId w:val="9"/>
        </w:numPr>
        <w:rPr>
          <w:rFonts w:ascii="Corbel" w:hAnsi="Corbel"/>
          <w:sz w:val="24"/>
          <w:szCs w:val="24"/>
        </w:rPr>
      </w:pPr>
      <w:r>
        <w:rPr>
          <w:rFonts w:ascii="Corbel" w:hAnsi="Corbel"/>
          <w:sz w:val="24"/>
          <w:szCs w:val="24"/>
        </w:rPr>
        <w:t xml:space="preserve">The Victorian disability services/programs, set out in Table 7, will remain as in-kind subject to the transition strategies, developed by </w:t>
      </w:r>
      <w:smartTag w:uri="urn:schemas-microsoft-com:office:smarttags" w:element="place">
        <w:smartTag w:uri="urn:schemas-microsoft-com:office:smarttags" w:element="State">
          <w:r>
            <w:rPr>
              <w:rFonts w:ascii="Corbel" w:hAnsi="Corbel"/>
              <w:sz w:val="24"/>
              <w:szCs w:val="24"/>
            </w:rPr>
            <w:t>Victoria</w:t>
          </w:r>
        </w:smartTag>
      </w:smartTag>
      <w:r>
        <w:rPr>
          <w:rFonts w:ascii="Corbel" w:hAnsi="Corbel"/>
          <w:sz w:val="24"/>
          <w:szCs w:val="24"/>
        </w:rPr>
        <w:t xml:space="preserve"> in consultation with the Agency.</w:t>
      </w:r>
      <w:r w:rsidR="00F5420C">
        <w:rPr>
          <w:rFonts w:ascii="Corbel" w:hAnsi="Corbel"/>
          <w:sz w:val="24"/>
          <w:szCs w:val="24"/>
        </w:rPr>
        <w:t xml:space="preserve"> This includes repayment of Commonwealth grants (including a repayment for those who turn 65 in the scheme).</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7</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D50B7F">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Pr>
                <w:rFonts w:ascii="Corbel" w:hAnsi="Corbel"/>
                <w:sz w:val="24"/>
                <w:szCs w:val="24"/>
              </w:rPr>
              <w:t>Disability Supported accommodation, Facility based respite and Residential institution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$6.22</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$38.88</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$43.96</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sidRPr="00202B83">
              <w:rPr>
                <w:rFonts w:ascii="Corbel" w:hAnsi="Corbel"/>
                <w:sz w:val="24"/>
                <w:szCs w:val="24"/>
              </w:rPr>
              <w:t>DHS provided complex case management</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 xml:space="preserve">$0.54 </w:t>
            </w:r>
            <w:r w:rsidRPr="001F0CA1">
              <w:rPr>
                <w:rFonts w:ascii="Corbel" w:hAnsi="Corbel"/>
                <w:sz w:val="24"/>
                <w:szCs w:val="24"/>
              </w:rPr>
              <w:t>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$1.04</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$1.10</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sidRPr="00202B83">
              <w:rPr>
                <w:rFonts w:ascii="Corbel" w:hAnsi="Corbel"/>
                <w:sz w:val="24"/>
                <w:szCs w:val="24"/>
              </w:rPr>
              <w:t>DHS provided Behaviour Intervention Services</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$0.40</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$0.85</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$0.89</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Pr>
                <w:rFonts w:ascii="Corbel" w:hAnsi="Corbel"/>
                <w:sz w:val="24"/>
                <w:szCs w:val="24"/>
              </w:rPr>
              <w:lastRenderedPageBreak/>
              <w:t>Building Inclusive Communities</w:t>
            </w:r>
          </w:p>
        </w:tc>
        <w:tc>
          <w:tcPr>
            <w:tcW w:w="2201" w:type="dxa"/>
            <w:tcBorders>
              <w:top w:val="single" w:sz="6" w:space="0" w:color="auto"/>
              <w:bottom w:val="single" w:sz="6" w:space="0" w:color="auto"/>
            </w:tcBorders>
          </w:tcPr>
          <w:p w:rsidR="005B65BE" w:rsidRDefault="005B65BE" w:rsidP="008D7855">
            <w:pPr>
              <w:rPr>
                <w:rFonts w:ascii="Corbel" w:hAnsi="Corbel"/>
                <w:sz w:val="24"/>
                <w:szCs w:val="24"/>
              </w:rPr>
            </w:pPr>
            <w:r>
              <w:rPr>
                <w:rFonts w:ascii="Corbel" w:hAnsi="Corbel"/>
                <w:sz w:val="24"/>
                <w:szCs w:val="24"/>
              </w:rPr>
              <w:t>$0.34</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8D7855">
            <w:pPr>
              <w:rPr>
                <w:rFonts w:ascii="Corbel" w:hAnsi="Corbel"/>
                <w:sz w:val="24"/>
                <w:szCs w:val="24"/>
              </w:rPr>
            </w:pPr>
            <w:r>
              <w:rPr>
                <w:rFonts w:ascii="Corbel" w:hAnsi="Corbel"/>
                <w:sz w:val="24"/>
                <w:szCs w:val="24"/>
              </w:rPr>
              <w:t>$0.35</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8D7855">
            <w:pPr>
              <w:rPr>
                <w:rFonts w:ascii="Corbel" w:hAnsi="Corbel"/>
                <w:sz w:val="24"/>
                <w:szCs w:val="24"/>
              </w:rPr>
            </w:pPr>
            <w:r>
              <w:rPr>
                <w:rFonts w:ascii="Corbel" w:hAnsi="Corbel"/>
                <w:sz w:val="24"/>
                <w:szCs w:val="24"/>
              </w:rPr>
              <w:t>$0.38</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Pr>
                <w:rFonts w:ascii="Corbel" w:hAnsi="Corbel"/>
                <w:sz w:val="24"/>
                <w:szCs w:val="24"/>
              </w:rPr>
              <w:t>Statewide services (including Aids and Equipment)</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$3.63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$5.11</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$5.40</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Pr>
                <w:rFonts w:ascii="Corbel" w:hAnsi="Corbel"/>
                <w:sz w:val="24"/>
                <w:szCs w:val="24"/>
              </w:rPr>
              <w:t>Quality, safeguards, risk and contract management</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$0.25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$0.53</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$0.56</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sidRPr="00B83165">
              <w:rPr>
                <w:rFonts w:ascii="Corbel" w:hAnsi="Corbel"/>
                <w:sz w:val="24"/>
                <w:szCs w:val="24"/>
              </w:rPr>
              <w:t>Home and community care for people under 65</w:t>
            </w:r>
            <w:r>
              <w:rPr>
                <w:rFonts w:ascii="Corbel" w:hAnsi="Corbel"/>
                <w:sz w:val="24"/>
                <w:szCs w:val="24"/>
              </w:rPr>
              <w:t xml:space="preserve"> (part)</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$0.75</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$1.50</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$1.5</w:t>
            </w:r>
            <w:r w:rsidRPr="001F0CA1">
              <w:rPr>
                <w:rFonts w:ascii="Corbel" w:hAnsi="Corbel"/>
                <w:sz w:val="24"/>
                <w:szCs w:val="24"/>
              </w:rPr>
              <w:t xml:space="preserve"> million</w:t>
            </w:r>
          </w:p>
        </w:tc>
      </w:tr>
      <w:tr w:rsidR="005B65BE" w:rsidRPr="001F0CA1" w:rsidTr="00D50B7F">
        <w:trPr>
          <w:cantSplit/>
        </w:trPr>
        <w:tc>
          <w:tcPr>
            <w:tcW w:w="2807" w:type="dxa"/>
            <w:tcBorders>
              <w:top w:val="single" w:sz="6" w:space="0" w:color="auto"/>
              <w:bottom w:val="single" w:sz="6" w:space="0" w:color="auto"/>
            </w:tcBorders>
          </w:tcPr>
          <w:p w:rsidR="005B65BE" w:rsidRPr="00060748" w:rsidRDefault="005B65BE" w:rsidP="0095139F">
            <w:pPr>
              <w:rPr>
                <w:rFonts w:ascii="Corbel" w:hAnsi="Corbel"/>
                <w:sz w:val="24"/>
                <w:szCs w:val="24"/>
              </w:rPr>
            </w:pPr>
            <w:r>
              <w:rPr>
                <w:rFonts w:ascii="Corbel" w:hAnsi="Corbel"/>
                <w:sz w:val="24"/>
                <w:szCs w:val="24"/>
              </w:rPr>
              <w:t>Multi-Purpose Taxi Program</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$0.01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$0.03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$0.03 million</w:t>
            </w:r>
          </w:p>
        </w:tc>
      </w:tr>
    </w:tbl>
    <w:p w:rsidR="005B65BE" w:rsidRDefault="005B65BE" w:rsidP="00C905EA">
      <w:pPr>
        <w:ind w:left="360"/>
        <w:rPr>
          <w:rFonts w:ascii="Corbel" w:hAnsi="Corbel"/>
          <w:sz w:val="24"/>
          <w:szCs w:val="24"/>
        </w:rPr>
      </w:pPr>
    </w:p>
    <w:p w:rsidR="005B65BE" w:rsidRDefault="005B65BE" w:rsidP="00A77BF6">
      <w:pPr>
        <w:numPr>
          <w:ilvl w:val="0"/>
          <w:numId w:val="9"/>
        </w:numPr>
        <w:rPr>
          <w:rFonts w:ascii="Corbel" w:hAnsi="Corbel"/>
          <w:sz w:val="24"/>
          <w:szCs w:val="24"/>
        </w:rPr>
      </w:pPr>
      <w:r w:rsidRPr="00526C7C">
        <w:rPr>
          <w:rFonts w:ascii="Corbel" w:hAnsi="Corbel"/>
          <w:sz w:val="24"/>
          <w:szCs w:val="24"/>
        </w:rPr>
        <w:t xml:space="preserve">The updated </w:t>
      </w:r>
      <w:r>
        <w:rPr>
          <w:rFonts w:ascii="Corbel" w:hAnsi="Corbel"/>
          <w:sz w:val="24"/>
          <w:szCs w:val="24"/>
        </w:rPr>
        <w:t>Victorian</w:t>
      </w:r>
      <w:r w:rsidRPr="00526C7C">
        <w:rPr>
          <w:rFonts w:ascii="Corbel" w:hAnsi="Corbel"/>
          <w:sz w:val="24"/>
          <w:szCs w:val="24"/>
        </w:rPr>
        <w:t xml:space="preserve"> share of funding for NDIS funded supports</w:t>
      </w:r>
      <w:r>
        <w:rPr>
          <w:rFonts w:ascii="Corbel" w:hAnsi="Corbel"/>
          <w:sz w:val="24"/>
          <w:szCs w:val="24"/>
        </w:rPr>
        <w:t xml:space="preserve"> (updated from Tables 7 and 8 of Appendix A)</w:t>
      </w:r>
      <w:r w:rsidRPr="00526C7C">
        <w:rPr>
          <w:rFonts w:ascii="Corbel" w:hAnsi="Corbel"/>
          <w:sz w:val="24"/>
          <w:szCs w:val="24"/>
        </w:rPr>
        <w:t xml:space="preserve"> that is estimated to be provided in cash and through direct </w:t>
      </w:r>
      <w:r>
        <w:rPr>
          <w:rFonts w:ascii="Corbel" w:hAnsi="Corbel"/>
          <w:sz w:val="24"/>
          <w:szCs w:val="24"/>
        </w:rPr>
        <w:t>provision of services is shown in Table 8</w:t>
      </w:r>
      <w:r w:rsidR="00F5420C">
        <w:rPr>
          <w:rFonts w:ascii="Corbel" w:hAnsi="Corbel"/>
          <w:sz w:val="24"/>
          <w:szCs w:val="24"/>
        </w:rPr>
        <w:t>, together with repayments of Commonwealth grants in cash and in kind (including a repayment for those who turn 65 in the scheme).</w:t>
      </w:r>
    </w:p>
    <w:p w:rsidR="005B65BE" w:rsidRPr="00E3666C" w:rsidRDefault="005B65BE" w:rsidP="00E3666C">
      <w:pPr>
        <w:keepNext/>
        <w:ind w:left="360"/>
        <w:rPr>
          <w:rFonts w:ascii="Corbel" w:hAnsi="Corbel"/>
          <w:b/>
          <w:sz w:val="24"/>
          <w:szCs w:val="24"/>
        </w:rPr>
      </w:pPr>
      <w:r w:rsidRPr="00E3666C">
        <w:rPr>
          <w:rFonts w:ascii="Corbel" w:hAnsi="Corbel"/>
          <w:b/>
          <w:sz w:val="24"/>
          <w:szCs w:val="24"/>
        </w:rPr>
        <w:t>Table 8</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7"/>
        <w:gridCol w:w="2201"/>
        <w:gridCol w:w="2201"/>
        <w:gridCol w:w="2202"/>
      </w:tblGrid>
      <w:tr w:rsidR="005B65BE" w:rsidRPr="001F0CA1" w:rsidTr="00614BA7">
        <w:trPr>
          <w:cantSplit/>
          <w:tblHeader/>
        </w:trPr>
        <w:tc>
          <w:tcPr>
            <w:tcW w:w="2807" w:type="dxa"/>
            <w:tcBorders>
              <w:top w:val="single" w:sz="6" w:space="0" w:color="auto"/>
              <w:bottom w:val="single" w:sz="6" w:space="0" w:color="auto"/>
            </w:tcBorders>
          </w:tcPr>
          <w:p w:rsidR="005B65BE" w:rsidRPr="002D4F50" w:rsidRDefault="005B65BE" w:rsidP="00E3666C">
            <w:pPr>
              <w:keepNext/>
              <w:rPr>
                <w:rFonts w:ascii="Corbel" w:hAnsi="Corbel"/>
                <w:b/>
                <w:sz w:val="24"/>
                <w:szCs w:val="24"/>
              </w:rPr>
            </w:pP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2013-14</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2014-15</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sidRPr="001F0CA1">
              <w:rPr>
                <w:rFonts w:ascii="Corbel" w:hAnsi="Corbel"/>
                <w:sz w:val="24"/>
                <w:szCs w:val="24"/>
              </w:rPr>
              <w:t>2015-16</w:t>
            </w:r>
          </w:p>
        </w:tc>
      </w:tr>
      <w:tr w:rsidR="005B65BE" w:rsidRPr="001F0CA1" w:rsidTr="00614BA7">
        <w:trPr>
          <w:cantSplit/>
        </w:trPr>
        <w:tc>
          <w:tcPr>
            <w:tcW w:w="2807" w:type="dxa"/>
            <w:tcBorders>
              <w:top w:val="single" w:sz="6" w:space="0" w:color="auto"/>
              <w:bottom w:val="single" w:sz="6" w:space="0" w:color="auto"/>
            </w:tcBorders>
          </w:tcPr>
          <w:p w:rsidR="005B65BE" w:rsidRPr="00D50B7F" w:rsidRDefault="005B65BE" w:rsidP="00E3666C">
            <w:pPr>
              <w:keepNext/>
              <w:rPr>
                <w:rFonts w:ascii="Corbel" w:hAnsi="Corbel"/>
                <w:sz w:val="24"/>
                <w:szCs w:val="24"/>
              </w:rPr>
            </w:pPr>
            <w:r>
              <w:rPr>
                <w:rFonts w:ascii="Corbel" w:hAnsi="Corbel"/>
                <w:sz w:val="24"/>
                <w:szCs w:val="24"/>
              </w:rPr>
              <w:t>Victorian cash contribution to the NDIS plus repayment of Commonwealth grants in cash</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$29.77</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$60.84</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Pr="001F0CA1" w:rsidRDefault="005B65BE" w:rsidP="00E3666C">
            <w:pPr>
              <w:keepNext/>
              <w:rPr>
                <w:rFonts w:ascii="Corbel" w:hAnsi="Corbel"/>
                <w:sz w:val="24"/>
                <w:szCs w:val="24"/>
              </w:rPr>
            </w:pPr>
            <w:r>
              <w:rPr>
                <w:rFonts w:ascii="Corbel" w:hAnsi="Corbel"/>
                <w:sz w:val="24"/>
                <w:szCs w:val="24"/>
              </w:rPr>
              <w:t>$76.42</w:t>
            </w:r>
            <w:r w:rsidRPr="001F0CA1">
              <w:rPr>
                <w:rFonts w:ascii="Corbel" w:hAnsi="Corbel"/>
                <w:sz w:val="24"/>
                <w:szCs w:val="24"/>
              </w:rPr>
              <w:t xml:space="preserve"> million</w:t>
            </w:r>
          </w:p>
        </w:tc>
      </w:tr>
      <w:tr w:rsidR="005B65BE" w:rsidTr="00614BA7">
        <w:trPr>
          <w:cantSplit/>
        </w:trPr>
        <w:tc>
          <w:tcPr>
            <w:tcW w:w="2807" w:type="dxa"/>
            <w:tcBorders>
              <w:top w:val="single" w:sz="6" w:space="0" w:color="auto"/>
              <w:bottom w:val="single" w:sz="6" w:space="0" w:color="auto"/>
            </w:tcBorders>
          </w:tcPr>
          <w:p w:rsidR="005B65BE" w:rsidRPr="00060748" w:rsidRDefault="005B65BE" w:rsidP="0085722F">
            <w:pPr>
              <w:rPr>
                <w:rFonts w:ascii="Corbel" w:hAnsi="Corbel"/>
                <w:sz w:val="24"/>
                <w:szCs w:val="24"/>
              </w:rPr>
            </w:pPr>
            <w:r>
              <w:rPr>
                <w:rFonts w:ascii="Corbel" w:hAnsi="Corbel"/>
                <w:sz w:val="24"/>
                <w:szCs w:val="24"/>
              </w:rPr>
              <w:t>Victorian  in-kind contribution to the NDIS plus repayment of Commonwealth grants in-kind</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$20.04</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 xml:space="preserve">$49.64 </w:t>
            </w:r>
            <w:r w:rsidRPr="001F0CA1">
              <w:rPr>
                <w:rFonts w:ascii="Corbel" w:hAnsi="Corbel"/>
                <w:sz w:val="24"/>
                <w:szCs w:val="24"/>
              </w:rPr>
              <w:t>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$53.81</w:t>
            </w:r>
            <w:r w:rsidRPr="001F0CA1">
              <w:rPr>
                <w:rFonts w:ascii="Corbel" w:hAnsi="Corbel"/>
                <w:sz w:val="24"/>
                <w:szCs w:val="24"/>
              </w:rPr>
              <w:t xml:space="preserve"> million</w:t>
            </w:r>
          </w:p>
        </w:tc>
      </w:tr>
      <w:tr w:rsidR="005B65BE" w:rsidTr="008D7855">
        <w:trPr>
          <w:cantSplit/>
        </w:trPr>
        <w:tc>
          <w:tcPr>
            <w:tcW w:w="2807" w:type="dxa"/>
            <w:tcBorders>
              <w:top w:val="single" w:sz="6" w:space="0" w:color="auto"/>
              <w:bottom w:val="single" w:sz="6" w:space="0" w:color="auto"/>
            </w:tcBorders>
          </w:tcPr>
          <w:p w:rsidR="005B65BE" w:rsidRDefault="005B65BE" w:rsidP="003D31D7">
            <w:pPr>
              <w:rPr>
                <w:rFonts w:ascii="Corbel" w:hAnsi="Corbel"/>
                <w:sz w:val="24"/>
                <w:szCs w:val="24"/>
              </w:rPr>
            </w:pPr>
            <w:r>
              <w:rPr>
                <w:rFonts w:ascii="Corbel" w:hAnsi="Corbel"/>
                <w:sz w:val="24"/>
                <w:szCs w:val="24"/>
              </w:rPr>
              <w:lastRenderedPageBreak/>
              <w:t>Less Victorian  repayments of Commonwealth Grants in cash</w:t>
            </w:r>
          </w:p>
        </w:tc>
        <w:tc>
          <w:tcPr>
            <w:tcW w:w="2201" w:type="dxa"/>
            <w:tcBorders>
              <w:top w:val="single" w:sz="6" w:space="0" w:color="auto"/>
              <w:bottom w:val="single" w:sz="6" w:space="0" w:color="auto"/>
            </w:tcBorders>
          </w:tcPr>
          <w:p w:rsidR="005B65BE" w:rsidRDefault="005B65BE" w:rsidP="008D7855">
            <w:pPr>
              <w:rPr>
                <w:rFonts w:ascii="Corbel" w:hAnsi="Corbel"/>
                <w:sz w:val="24"/>
                <w:szCs w:val="24"/>
              </w:rPr>
            </w:pPr>
            <w:r w:rsidRPr="009E051F">
              <w:rPr>
                <w:rFonts w:ascii="Corbel" w:hAnsi="Corbel"/>
                <w:sz w:val="24"/>
                <w:szCs w:val="24"/>
              </w:rPr>
              <w:t>$</w:t>
            </w:r>
            <w:r>
              <w:rPr>
                <w:rFonts w:ascii="Corbel" w:hAnsi="Corbel"/>
                <w:sz w:val="24"/>
                <w:szCs w:val="24"/>
              </w:rPr>
              <w:t>4.0</w:t>
            </w:r>
            <w:r w:rsidR="006A3334">
              <w:rPr>
                <w:rFonts w:ascii="Corbel" w:hAnsi="Corbel"/>
                <w:sz w:val="24"/>
                <w:szCs w:val="24"/>
              </w:rPr>
              <w:t xml:space="preserve"> </w:t>
            </w:r>
            <w:r w:rsidRPr="009E051F">
              <w:rPr>
                <w:rFonts w:ascii="Corbel" w:hAnsi="Corbel"/>
                <w:sz w:val="24"/>
                <w:szCs w:val="24"/>
              </w:rPr>
              <w:t>million</w:t>
            </w:r>
          </w:p>
        </w:tc>
        <w:tc>
          <w:tcPr>
            <w:tcW w:w="2201" w:type="dxa"/>
            <w:tcBorders>
              <w:top w:val="single" w:sz="6" w:space="0" w:color="auto"/>
              <w:bottom w:val="single" w:sz="6" w:space="0" w:color="auto"/>
            </w:tcBorders>
          </w:tcPr>
          <w:p w:rsidR="005B65BE" w:rsidRDefault="005B65BE" w:rsidP="008D7855">
            <w:pPr>
              <w:rPr>
                <w:rFonts w:ascii="Corbel" w:hAnsi="Corbel"/>
                <w:sz w:val="24"/>
                <w:szCs w:val="24"/>
              </w:rPr>
            </w:pPr>
            <w:r w:rsidRPr="009E051F">
              <w:rPr>
                <w:rFonts w:ascii="Corbel" w:hAnsi="Corbel"/>
                <w:sz w:val="24"/>
                <w:szCs w:val="24"/>
              </w:rPr>
              <w:t>$</w:t>
            </w:r>
            <w:r>
              <w:rPr>
                <w:rFonts w:ascii="Corbel" w:hAnsi="Corbel"/>
                <w:sz w:val="24"/>
                <w:szCs w:val="24"/>
              </w:rPr>
              <w:t>9.39</w:t>
            </w:r>
            <w:r w:rsidR="006A3334">
              <w:rPr>
                <w:rFonts w:ascii="Corbel" w:hAnsi="Corbel"/>
                <w:sz w:val="24"/>
                <w:szCs w:val="24"/>
              </w:rPr>
              <w:t xml:space="preserve"> </w:t>
            </w:r>
            <w:r w:rsidRPr="009E051F">
              <w:rPr>
                <w:rFonts w:ascii="Corbel" w:hAnsi="Corbel"/>
                <w:sz w:val="24"/>
                <w:szCs w:val="24"/>
              </w:rPr>
              <w:t>million</w:t>
            </w:r>
          </w:p>
        </w:tc>
        <w:tc>
          <w:tcPr>
            <w:tcW w:w="2202" w:type="dxa"/>
            <w:tcBorders>
              <w:top w:val="single" w:sz="6" w:space="0" w:color="auto"/>
              <w:bottom w:val="single" w:sz="6" w:space="0" w:color="auto"/>
            </w:tcBorders>
          </w:tcPr>
          <w:p w:rsidR="005B65BE" w:rsidRDefault="005B65BE" w:rsidP="008D7855">
            <w:pPr>
              <w:rPr>
                <w:rFonts w:ascii="Corbel" w:hAnsi="Corbel"/>
                <w:sz w:val="24"/>
                <w:szCs w:val="24"/>
              </w:rPr>
            </w:pPr>
            <w:r w:rsidRPr="009E051F">
              <w:rPr>
                <w:rFonts w:ascii="Corbel" w:hAnsi="Corbel"/>
                <w:sz w:val="24"/>
                <w:szCs w:val="24"/>
              </w:rPr>
              <w:t>$</w:t>
            </w:r>
            <w:r>
              <w:rPr>
                <w:rFonts w:ascii="Corbel" w:hAnsi="Corbel"/>
                <w:sz w:val="24"/>
                <w:szCs w:val="24"/>
              </w:rPr>
              <w:t xml:space="preserve">11.17 </w:t>
            </w:r>
            <w:r w:rsidRPr="009E051F">
              <w:rPr>
                <w:rFonts w:ascii="Corbel" w:hAnsi="Corbel"/>
                <w:sz w:val="24"/>
                <w:szCs w:val="24"/>
              </w:rPr>
              <w:t>million</w:t>
            </w:r>
          </w:p>
        </w:tc>
      </w:tr>
      <w:tr w:rsidR="005B65BE" w:rsidTr="008D7855">
        <w:trPr>
          <w:cantSplit/>
        </w:trPr>
        <w:tc>
          <w:tcPr>
            <w:tcW w:w="2807" w:type="dxa"/>
            <w:tcBorders>
              <w:top w:val="single" w:sz="6" w:space="0" w:color="auto"/>
              <w:bottom w:val="single" w:sz="6" w:space="0" w:color="auto"/>
            </w:tcBorders>
          </w:tcPr>
          <w:p w:rsidR="005B65BE" w:rsidRDefault="005B65BE" w:rsidP="003D31D7">
            <w:pPr>
              <w:rPr>
                <w:rFonts w:ascii="Corbel" w:hAnsi="Corbel"/>
                <w:sz w:val="24"/>
                <w:szCs w:val="24"/>
              </w:rPr>
            </w:pPr>
            <w:r>
              <w:rPr>
                <w:rFonts w:ascii="Corbel" w:hAnsi="Corbel"/>
                <w:sz w:val="24"/>
                <w:szCs w:val="24"/>
              </w:rPr>
              <w:t>Less Victorian repayment of Commonwealth Grants through in-kind services</w:t>
            </w:r>
          </w:p>
        </w:tc>
        <w:tc>
          <w:tcPr>
            <w:tcW w:w="2201" w:type="dxa"/>
            <w:tcBorders>
              <w:top w:val="single" w:sz="6" w:space="0" w:color="auto"/>
              <w:bottom w:val="single" w:sz="6" w:space="0" w:color="auto"/>
            </w:tcBorders>
          </w:tcPr>
          <w:p w:rsidR="005B65BE" w:rsidRDefault="005B65BE" w:rsidP="008D7855">
            <w:pPr>
              <w:rPr>
                <w:rFonts w:ascii="Corbel" w:hAnsi="Corbel"/>
                <w:sz w:val="24"/>
                <w:szCs w:val="24"/>
              </w:rPr>
            </w:pPr>
            <w:r w:rsidRPr="009E051F">
              <w:rPr>
                <w:rFonts w:ascii="Corbel" w:hAnsi="Corbel"/>
                <w:sz w:val="24"/>
                <w:szCs w:val="24"/>
              </w:rPr>
              <w:t>$</w:t>
            </w:r>
            <w:r>
              <w:rPr>
                <w:rFonts w:ascii="Corbel" w:hAnsi="Corbel"/>
                <w:sz w:val="24"/>
                <w:szCs w:val="24"/>
              </w:rPr>
              <w:t>3.52</w:t>
            </w:r>
            <w:r w:rsidR="006A3334">
              <w:rPr>
                <w:rFonts w:ascii="Corbel" w:hAnsi="Corbel"/>
                <w:sz w:val="24"/>
                <w:szCs w:val="24"/>
              </w:rPr>
              <w:t xml:space="preserve"> </w:t>
            </w:r>
            <w:r w:rsidRPr="009E051F">
              <w:rPr>
                <w:rFonts w:ascii="Corbel" w:hAnsi="Corbel"/>
                <w:sz w:val="24"/>
                <w:szCs w:val="24"/>
              </w:rPr>
              <w:t xml:space="preserve">million </w:t>
            </w:r>
          </w:p>
        </w:tc>
        <w:tc>
          <w:tcPr>
            <w:tcW w:w="2201" w:type="dxa"/>
            <w:tcBorders>
              <w:top w:val="single" w:sz="6" w:space="0" w:color="auto"/>
              <w:bottom w:val="single" w:sz="6" w:space="0" w:color="auto"/>
            </w:tcBorders>
          </w:tcPr>
          <w:p w:rsidR="005B65BE" w:rsidRDefault="005B65BE" w:rsidP="008D7855">
            <w:pPr>
              <w:rPr>
                <w:rFonts w:ascii="Corbel" w:hAnsi="Corbel"/>
                <w:sz w:val="24"/>
                <w:szCs w:val="24"/>
              </w:rPr>
            </w:pPr>
            <w:r w:rsidRPr="009E051F">
              <w:rPr>
                <w:rFonts w:ascii="Corbel" w:hAnsi="Corbel"/>
                <w:sz w:val="24"/>
                <w:szCs w:val="24"/>
              </w:rPr>
              <w:t>$</w:t>
            </w:r>
            <w:r>
              <w:rPr>
                <w:rFonts w:ascii="Corbel" w:hAnsi="Corbel"/>
                <w:sz w:val="24"/>
                <w:szCs w:val="24"/>
              </w:rPr>
              <w:t>7.21</w:t>
            </w:r>
            <w:r w:rsidRPr="009E051F">
              <w:rPr>
                <w:rFonts w:ascii="Corbel" w:hAnsi="Corbel"/>
                <w:sz w:val="24"/>
                <w:szCs w:val="24"/>
              </w:rPr>
              <w:t xml:space="preserve"> million </w:t>
            </w:r>
          </w:p>
        </w:tc>
        <w:tc>
          <w:tcPr>
            <w:tcW w:w="2202" w:type="dxa"/>
            <w:tcBorders>
              <w:top w:val="single" w:sz="6" w:space="0" w:color="auto"/>
              <w:bottom w:val="single" w:sz="6" w:space="0" w:color="auto"/>
            </w:tcBorders>
          </w:tcPr>
          <w:p w:rsidR="005B65BE" w:rsidRDefault="005B65BE" w:rsidP="008D7855">
            <w:pPr>
              <w:rPr>
                <w:rFonts w:ascii="Corbel" w:hAnsi="Corbel"/>
                <w:sz w:val="24"/>
                <w:szCs w:val="24"/>
              </w:rPr>
            </w:pPr>
            <w:r w:rsidRPr="009E051F">
              <w:rPr>
                <w:rFonts w:ascii="Corbel" w:hAnsi="Corbel"/>
                <w:sz w:val="24"/>
                <w:szCs w:val="24"/>
              </w:rPr>
              <w:t>$</w:t>
            </w:r>
            <w:r>
              <w:rPr>
                <w:rFonts w:ascii="Corbel" w:hAnsi="Corbel"/>
                <w:sz w:val="24"/>
                <w:szCs w:val="24"/>
              </w:rPr>
              <w:t>8.38</w:t>
            </w:r>
            <w:r w:rsidRPr="009E051F">
              <w:rPr>
                <w:rFonts w:ascii="Corbel" w:hAnsi="Corbel"/>
                <w:sz w:val="24"/>
                <w:szCs w:val="24"/>
              </w:rPr>
              <w:t xml:space="preserve"> million </w:t>
            </w:r>
          </w:p>
        </w:tc>
      </w:tr>
      <w:tr w:rsidR="005B65BE" w:rsidTr="00614BA7">
        <w:trPr>
          <w:cantSplit/>
        </w:trPr>
        <w:tc>
          <w:tcPr>
            <w:tcW w:w="2807" w:type="dxa"/>
            <w:tcBorders>
              <w:top w:val="single" w:sz="6" w:space="0" w:color="auto"/>
              <w:bottom w:val="single" w:sz="6" w:space="0" w:color="auto"/>
            </w:tcBorders>
          </w:tcPr>
          <w:p w:rsidR="005B65BE" w:rsidRDefault="005B65BE" w:rsidP="00D517E6">
            <w:pPr>
              <w:rPr>
                <w:rFonts w:ascii="Corbel" w:hAnsi="Corbel"/>
                <w:sz w:val="24"/>
                <w:szCs w:val="24"/>
              </w:rPr>
            </w:pPr>
            <w:r>
              <w:rPr>
                <w:rFonts w:ascii="Corbel" w:hAnsi="Corbel"/>
                <w:sz w:val="24"/>
                <w:szCs w:val="24"/>
              </w:rPr>
              <w:t xml:space="preserve">Total Victorian funding for NDIS funded supports </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$42.3</w:t>
            </w:r>
            <w:r w:rsidRPr="001F0CA1">
              <w:rPr>
                <w:rFonts w:ascii="Corbel" w:hAnsi="Corbel"/>
                <w:sz w:val="24"/>
                <w:szCs w:val="24"/>
              </w:rPr>
              <w:t xml:space="preserve"> million</w:t>
            </w:r>
          </w:p>
        </w:tc>
        <w:tc>
          <w:tcPr>
            <w:tcW w:w="2201"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$93.9</w:t>
            </w:r>
            <w:r w:rsidRPr="001F0CA1">
              <w:rPr>
                <w:rFonts w:ascii="Corbel" w:hAnsi="Corbel"/>
                <w:sz w:val="24"/>
                <w:szCs w:val="24"/>
              </w:rPr>
              <w:t xml:space="preserve"> million</w:t>
            </w:r>
          </w:p>
        </w:tc>
        <w:tc>
          <w:tcPr>
            <w:tcW w:w="2202" w:type="dxa"/>
            <w:tcBorders>
              <w:top w:val="single" w:sz="6" w:space="0" w:color="auto"/>
              <w:bottom w:val="single" w:sz="6" w:space="0" w:color="auto"/>
            </w:tcBorders>
          </w:tcPr>
          <w:p w:rsidR="005B65BE" w:rsidRDefault="005B65BE" w:rsidP="00614BA7">
            <w:pPr>
              <w:rPr>
                <w:rFonts w:ascii="Corbel" w:hAnsi="Corbel"/>
                <w:sz w:val="24"/>
                <w:szCs w:val="24"/>
              </w:rPr>
            </w:pPr>
            <w:r>
              <w:rPr>
                <w:rFonts w:ascii="Corbel" w:hAnsi="Corbel"/>
                <w:sz w:val="24"/>
                <w:szCs w:val="24"/>
              </w:rPr>
              <w:t>$110.6</w:t>
            </w:r>
            <w:r w:rsidRPr="001F0CA1">
              <w:rPr>
                <w:rFonts w:ascii="Corbel" w:hAnsi="Corbel"/>
                <w:sz w:val="24"/>
                <w:szCs w:val="24"/>
              </w:rPr>
              <w:t xml:space="preserve"> million</w:t>
            </w:r>
          </w:p>
        </w:tc>
      </w:tr>
    </w:tbl>
    <w:p w:rsidR="005B65BE" w:rsidRPr="003D31D7" w:rsidRDefault="005B65BE" w:rsidP="004179DA">
      <w:pPr>
        <w:ind w:left="360"/>
        <w:rPr>
          <w:rFonts w:ascii="Corbel" w:hAnsi="Corbel"/>
          <w:sz w:val="20"/>
          <w:szCs w:val="24"/>
        </w:rPr>
      </w:pPr>
      <w:r w:rsidRPr="003D31D7">
        <w:rPr>
          <w:rFonts w:ascii="Corbel" w:hAnsi="Corbel"/>
          <w:sz w:val="20"/>
          <w:szCs w:val="24"/>
          <w:vertAlign w:val="superscript"/>
        </w:rPr>
        <w:t>*</w:t>
      </w:r>
      <w:r w:rsidRPr="003D31D7">
        <w:rPr>
          <w:rFonts w:ascii="Corbel" w:hAnsi="Corbel"/>
          <w:sz w:val="20"/>
          <w:szCs w:val="24"/>
        </w:rPr>
        <w:t>Repayment</w:t>
      </w:r>
      <w:r>
        <w:rPr>
          <w:rFonts w:ascii="Corbel" w:hAnsi="Corbel"/>
          <w:sz w:val="20"/>
          <w:szCs w:val="24"/>
        </w:rPr>
        <w:t xml:space="preserve"> of Commonwealth grants includes funding transferred from Victoria to the Commonwealth from the SPP and for HACC services for clients ageing over 65 in the scheme. </w:t>
      </w:r>
    </w:p>
    <w:p w:rsidR="00E60291" w:rsidRPr="00F87F1E" w:rsidRDefault="00AD5DCD" w:rsidP="00F87F1E">
      <w:pPr>
        <w:numPr>
          <w:ilvl w:val="0"/>
          <w:numId w:val="9"/>
        </w:numPr>
      </w:pPr>
      <w:r w:rsidRPr="00F87F1E">
        <w:rPr>
          <w:rFonts w:ascii="Corbel" w:hAnsi="Corbel"/>
          <w:sz w:val="24"/>
          <w:szCs w:val="24"/>
        </w:rPr>
        <w:t xml:space="preserve">While the total contribution will not change, as per clause 29 of the IGA, it is recognised that the estimated mix and balance of in-kind and cash contribution may vary due to actual implementation factors. This </w:t>
      </w:r>
      <w:r w:rsidR="00111CAC">
        <w:rPr>
          <w:rFonts w:ascii="Corbel" w:hAnsi="Corbel"/>
          <w:sz w:val="24"/>
          <w:szCs w:val="24"/>
        </w:rPr>
        <w:t>a</w:t>
      </w:r>
      <w:r w:rsidRPr="00F87F1E">
        <w:rPr>
          <w:rFonts w:ascii="Corbel" w:hAnsi="Corbel"/>
          <w:sz w:val="24"/>
          <w:szCs w:val="24"/>
        </w:rPr>
        <w:t>ppendix should be therefore be reviewed at least every six months from the commencement of the launch. Consistent with paragraph 129 of the IGA, this appendix may be amended to reflect the outcomes of these reviews..</w:t>
      </w:r>
      <w:r w:rsidR="00F87F1E" w:rsidRPr="00F87F1E">
        <w:rPr>
          <w:rFonts w:ascii="Corbel" w:hAnsi="Corbel"/>
          <w:sz w:val="24"/>
          <w:szCs w:val="24"/>
        </w:rPr>
        <w:t xml:space="preserve"> </w:t>
      </w:r>
      <w:r w:rsidR="00111CAC">
        <w:rPr>
          <w:rFonts w:ascii="Corbel" w:hAnsi="Corbel"/>
          <w:sz w:val="24"/>
          <w:szCs w:val="24"/>
        </w:rPr>
        <w:t>In addition, this a</w:t>
      </w:r>
      <w:r w:rsidRPr="00F87F1E">
        <w:rPr>
          <w:rFonts w:ascii="Corbel" w:hAnsi="Corbel"/>
          <w:sz w:val="24"/>
          <w:szCs w:val="24"/>
        </w:rPr>
        <w:t>ppendix may be updated at anytime on an ongoing basis with agreement between Victoria and the Commonwealth, who are required to provide at least one month's notice to the Agency of any such change</w:t>
      </w:r>
      <w:r w:rsidRPr="00F87F1E">
        <w:t xml:space="preserve">. </w:t>
      </w:r>
    </w:p>
    <w:p w:rsidR="00E60291" w:rsidRDefault="00E60291" w:rsidP="00F87F1E"/>
    <w:sectPr w:rsidR="00E60291" w:rsidSect="00300748">
      <w:headerReference w:type="default" r:id="rId8"/>
      <w:footerReference w:type="default" r:id="rId9"/>
      <w:type w:val="continuous"/>
      <w:pgSz w:w="11906" w:h="16838" w:code="9"/>
      <w:pgMar w:top="1440" w:right="1440" w:bottom="1440" w:left="709" w:header="709"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A0" w:rsidRDefault="00202DA0" w:rsidP="00E81125">
      <w:pPr>
        <w:spacing w:after="0" w:line="240" w:lineRule="auto"/>
      </w:pPr>
      <w:r>
        <w:separator/>
      </w:r>
    </w:p>
  </w:endnote>
  <w:endnote w:type="continuationSeparator" w:id="0">
    <w:p w:rsidR="00202DA0" w:rsidRDefault="00202DA0" w:rsidP="00E8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A0" w:rsidRDefault="00202DA0" w:rsidP="00192470">
    <w:pPr>
      <w:pStyle w:val="Footer"/>
      <w:jc w:val="right"/>
    </w:pPr>
    <w:r>
      <w:t>26/03/2013 3:45 PM</w:t>
    </w:r>
  </w:p>
  <w:p w:rsidR="00202DA0" w:rsidRDefault="00202DA0" w:rsidP="00192470">
    <w:pPr>
      <w:pStyle w:val="Footer"/>
      <w:jc w:val="right"/>
    </w:pPr>
    <w:r>
      <w:t xml:space="preserve">Page </w:t>
    </w:r>
    <w:r>
      <w:rPr>
        <w:b/>
      </w:rPr>
      <w:fldChar w:fldCharType="begin"/>
    </w:r>
    <w:r>
      <w:rPr>
        <w:b/>
      </w:rPr>
      <w:instrText xml:space="preserve"> PAGE </w:instrText>
    </w:r>
    <w:r>
      <w:rPr>
        <w:b/>
      </w:rPr>
      <w:fldChar w:fldCharType="separate"/>
    </w:r>
    <w:r w:rsidR="001B1C29">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1B1C29">
      <w:rPr>
        <w:b/>
        <w:noProof/>
      </w:rPr>
      <w:t>7</w:t>
    </w:r>
    <w:r>
      <w:rPr>
        <w:b/>
      </w:rPr>
      <w:fldChar w:fldCharType="end"/>
    </w:r>
  </w:p>
  <w:p w:rsidR="00202DA0" w:rsidRDefault="00202DA0" w:rsidP="00192470">
    <w:pPr>
      <w:pStyle w:val="Footer"/>
      <w:jc w:val="right"/>
    </w:pPr>
  </w:p>
  <w:p w:rsidR="00202DA0" w:rsidRDefault="00202DA0" w:rsidP="00192470">
    <w:pPr>
      <w:pStyle w:val="Footer"/>
    </w:pPr>
  </w:p>
  <w:p w:rsidR="00202DA0" w:rsidRDefault="00202D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A0" w:rsidRDefault="00202DA0" w:rsidP="00E81125">
      <w:pPr>
        <w:spacing w:after="0" w:line="240" w:lineRule="auto"/>
      </w:pPr>
      <w:r>
        <w:separator/>
      </w:r>
    </w:p>
  </w:footnote>
  <w:footnote w:type="continuationSeparator" w:id="0">
    <w:p w:rsidR="00202DA0" w:rsidRDefault="00202DA0" w:rsidP="00E81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DA0" w:rsidRPr="00E81125" w:rsidRDefault="00202DA0" w:rsidP="00E81125">
    <w:pPr>
      <w:pStyle w:val="Header"/>
      <w:jc w:val="right"/>
      <w:rPr>
        <w:b/>
        <w:lang w:val="en-US"/>
      </w:rPr>
    </w:pPr>
    <w:r w:rsidRPr="00E81125">
      <w:rPr>
        <w:b/>
        <w:lang w:val="en-US"/>
      </w:rPr>
      <w:t>Schedule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3133"/>
    <w:multiLevelType w:val="hybridMultilevel"/>
    <w:tmpl w:val="B37AC524"/>
    <w:lvl w:ilvl="0" w:tplc="B9162A64">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2A007793"/>
    <w:multiLevelType w:val="hybridMultilevel"/>
    <w:tmpl w:val="49CCAE44"/>
    <w:lvl w:ilvl="0" w:tplc="69344A12">
      <w:start w:val="1"/>
      <w:numFmt w:val="lowerLetter"/>
      <w:lvlText w:val="%1."/>
      <w:lvlJc w:val="left"/>
      <w:pPr>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DC21A9C"/>
    <w:multiLevelType w:val="hybridMultilevel"/>
    <w:tmpl w:val="90C42082"/>
    <w:lvl w:ilvl="0" w:tplc="0C090019">
      <w:start w:val="1"/>
      <w:numFmt w:val="lowerLetter"/>
      <w:lvlText w:val="%1."/>
      <w:lvlJc w:val="left"/>
      <w:pPr>
        <w:ind w:left="720" w:hanging="360"/>
      </w:pPr>
      <w:rPr>
        <w:rFonts w:cs="Times New Roman"/>
      </w:rPr>
    </w:lvl>
    <w:lvl w:ilvl="1" w:tplc="0C09001B">
      <w:start w:val="1"/>
      <w:numFmt w:val="lowerRoman"/>
      <w:lvlText w:val="%2."/>
      <w:lvlJc w:val="righ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31DF0094"/>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387050D7"/>
    <w:multiLevelType w:val="hybridMultilevel"/>
    <w:tmpl w:val="6324BEDE"/>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87A4E5B"/>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38DE6E3E"/>
    <w:multiLevelType w:val="hybridMultilevel"/>
    <w:tmpl w:val="395A8382"/>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nsid w:val="3FB421F8"/>
    <w:multiLevelType w:val="hybridMultilevel"/>
    <w:tmpl w:val="90C42082"/>
    <w:lvl w:ilvl="0" w:tplc="0C090019">
      <w:start w:val="1"/>
      <w:numFmt w:val="lowerLetter"/>
      <w:lvlText w:val="%1."/>
      <w:lvlJc w:val="left"/>
      <w:pPr>
        <w:ind w:left="1080" w:hanging="360"/>
      </w:pPr>
      <w:rPr>
        <w:rFonts w:cs="Times New Roman"/>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8">
    <w:nsid w:val="431F3A0B"/>
    <w:multiLevelType w:val="hybridMultilevel"/>
    <w:tmpl w:val="F44CC6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7B36F1C"/>
    <w:multiLevelType w:val="hybridMultilevel"/>
    <w:tmpl w:val="87986BAC"/>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0">
    <w:nsid w:val="537B52AC"/>
    <w:multiLevelType w:val="hybridMultilevel"/>
    <w:tmpl w:val="25CC4F86"/>
    <w:lvl w:ilvl="0" w:tplc="0C09000F">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nsid w:val="5BE53D20"/>
    <w:multiLevelType w:val="hybridMultilevel"/>
    <w:tmpl w:val="F662CE60"/>
    <w:lvl w:ilvl="0" w:tplc="0C090019">
      <w:start w:val="1"/>
      <w:numFmt w:val="lowerLetter"/>
      <w:lvlText w:val="%1."/>
      <w:lvlJc w:val="left"/>
      <w:pPr>
        <w:ind w:left="1080" w:hanging="360"/>
      </w:pPr>
      <w:rPr>
        <w:rFonts w:cs="Times New Roman" w:hint="default"/>
      </w:rPr>
    </w:lvl>
    <w:lvl w:ilvl="1" w:tplc="0C09001B">
      <w:start w:val="1"/>
      <w:numFmt w:val="lowerRoman"/>
      <w:lvlText w:val="%2."/>
      <w:lvlJc w:val="righ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2">
    <w:nsid w:val="6150115E"/>
    <w:multiLevelType w:val="hybridMultilevel"/>
    <w:tmpl w:val="F65AA6E0"/>
    <w:lvl w:ilvl="0" w:tplc="0C090019">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3">
    <w:nsid w:val="634E7D52"/>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DE6640D"/>
    <w:multiLevelType w:val="hybridMultilevel"/>
    <w:tmpl w:val="BE008C94"/>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5">
    <w:nsid w:val="71506A19"/>
    <w:multiLevelType w:val="hybridMultilevel"/>
    <w:tmpl w:val="F49A44F4"/>
    <w:lvl w:ilvl="0" w:tplc="DB0C125E">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8342349"/>
    <w:multiLevelType w:val="hybridMultilevel"/>
    <w:tmpl w:val="5CDE393C"/>
    <w:lvl w:ilvl="0" w:tplc="7420801E">
      <w:start w:val="1"/>
      <w:numFmt w:val="decimal"/>
      <w:lvlText w:val="%1."/>
      <w:lvlJc w:val="left"/>
      <w:pPr>
        <w:ind w:left="720" w:hanging="360"/>
      </w:pPr>
      <w:rPr>
        <w:rFonts w:cs="Times New Roman" w:hint="default"/>
      </w:rPr>
    </w:lvl>
    <w:lvl w:ilvl="1" w:tplc="69344A12">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8854AAC"/>
    <w:multiLevelType w:val="hybridMultilevel"/>
    <w:tmpl w:val="7268A05E"/>
    <w:lvl w:ilvl="0" w:tplc="213AF0E2">
      <w:start w:val="1"/>
      <w:numFmt w:val="decimal"/>
      <w:pStyle w:val="Normalnumbered"/>
      <w:lvlText w:val="%1."/>
      <w:lvlJc w:val="left"/>
      <w:pPr>
        <w:tabs>
          <w:tab w:val="num" w:pos="687"/>
        </w:tabs>
        <w:ind w:left="687"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5"/>
  </w:num>
  <w:num w:numId="3">
    <w:abstractNumId w:val="4"/>
  </w:num>
  <w:num w:numId="4">
    <w:abstractNumId w:val="11"/>
  </w:num>
  <w:num w:numId="5">
    <w:abstractNumId w:val="14"/>
  </w:num>
  <w:num w:numId="6">
    <w:abstractNumId w:val="0"/>
  </w:num>
  <w:num w:numId="7">
    <w:abstractNumId w:val="2"/>
  </w:num>
  <w:num w:numId="8">
    <w:abstractNumId w:val="7"/>
  </w:num>
  <w:num w:numId="9">
    <w:abstractNumId w:val="13"/>
  </w:num>
  <w:num w:numId="10">
    <w:abstractNumId w:val="6"/>
  </w:num>
  <w:num w:numId="11">
    <w:abstractNumId w:val="9"/>
  </w:num>
  <w:num w:numId="12">
    <w:abstractNumId w:val="12"/>
  </w:num>
  <w:num w:numId="13">
    <w:abstractNumId w:val="5"/>
  </w:num>
  <w:num w:numId="14">
    <w:abstractNumId w:val="3"/>
  </w:num>
  <w:num w:numId="15">
    <w:abstractNumId w:val="10"/>
  </w:num>
  <w:num w:numId="16">
    <w:abstractNumId w:val="16"/>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9B"/>
    <w:rsid w:val="000041D2"/>
    <w:rsid w:val="00010708"/>
    <w:rsid w:val="00023AD6"/>
    <w:rsid w:val="0002746E"/>
    <w:rsid w:val="00047297"/>
    <w:rsid w:val="00053E0B"/>
    <w:rsid w:val="00060748"/>
    <w:rsid w:val="00083415"/>
    <w:rsid w:val="00087314"/>
    <w:rsid w:val="0009049F"/>
    <w:rsid w:val="00094279"/>
    <w:rsid w:val="000A463E"/>
    <w:rsid w:val="000B1E64"/>
    <w:rsid w:val="000D4791"/>
    <w:rsid w:val="000F0D16"/>
    <w:rsid w:val="00100764"/>
    <w:rsid w:val="00111CAC"/>
    <w:rsid w:val="0012464B"/>
    <w:rsid w:val="00136DD1"/>
    <w:rsid w:val="001839C8"/>
    <w:rsid w:val="00192470"/>
    <w:rsid w:val="001B1C29"/>
    <w:rsid w:val="001C50DB"/>
    <w:rsid w:val="001D19E7"/>
    <w:rsid w:val="001E299B"/>
    <w:rsid w:val="001F0CA1"/>
    <w:rsid w:val="001F1054"/>
    <w:rsid w:val="001F68A2"/>
    <w:rsid w:val="00202B83"/>
    <w:rsid w:val="00202DA0"/>
    <w:rsid w:val="002121DD"/>
    <w:rsid w:val="00236FBB"/>
    <w:rsid w:val="00255EDF"/>
    <w:rsid w:val="0026058C"/>
    <w:rsid w:val="00260A71"/>
    <w:rsid w:val="0027200F"/>
    <w:rsid w:val="00287B2E"/>
    <w:rsid w:val="00293427"/>
    <w:rsid w:val="00295237"/>
    <w:rsid w:val="002D415F"/>
    <w:rsid w:val="002D4F50"/>
    <w:rsid w:val="002F3038"/>
    <w:rsid w:val="002F6B50"/>
    <w:rsid w:val="00300748"/>
    <w:rsid w:val="00332A58"/>
    <w:rsid w:val="00345D20"/>
    <w:rsid w:val="003530D4"/>
    <w:rsid w:val="00363528"/>
    <w:rsid w:val="00365EFF"/>
    <w:rsid w:val="00371F53"/>
    <w:rsid w:val="0037245D"/>
    <w:rsid w:val="00380966"/>
    <w:rsid w:val="00381A1C"/>
    <w:rsid w:val="003973C3"/>
    <w:rsid w:val="003A1A60"/>
    <w:rsid w:val="003A5D66"/>
    <w:rsid w:val="003A7AA3"/>
    <w:rsid w:val="003C404B"/>
    <w:rsid w:val="003D31D7"/>
    <w:rsid w:val="0040328A"/>
    <w:rsid w:val="00404213"/>
    <w:rsid w:val="004144CB"/>
    <w:rsid w:val="004179DA"/>
    <w:rsid w:val="00441B9E"/>
    <w:rsid w:val="00455FEA"/>
    <w:rsid w:val="00456F7D"/>
    <w:rsid w:val="00466735"/>
    <w:rsid w:val="00484491"/>
    <w:rsid w:val="0048634C"/>
    <w:rsid w:val="00490E40"/>
    <w:rsid w:val="00494826"/>
    <w:rsid w:val="004B46F8"/>
    <w:rsid w:val="004E3CC7"/>
    <w:rsid w:val="004F267A"/>
    <w:rsid w:val="005137F4"/>
    <w:rsid w:val="00514484"/>
    <w:rsid w:val="00526C7C"/>
    <w:rsid w:val="00530B88"/>
    <w:rsid w:val="0055506C"/>
    <w:rsid w:val="00557602"/>
    <w:rsid w:val="00557D82"/>
    <w:rsid w:val="00560E80"/>
    <w:rsid w:val="005732D6"/>
    <w:rsid w:val="005A4EB5"/>
    <w:rsid w:val="005B4336"/>
    <w:rsid w:val="005B65BE"/>
    <w:rsid w:val="005F38AB"/>
    <w:rsid w:val="00614BA7"/>
    <w:rsid w:val="00616F5E"/>
    <w:rsid w:val="0061795F"/>
    <w:rsid w:val="006361D2"/>
    <w:rsid w:val="00642098"/>
    <w:rsid w:val="00645A45"/>
    <w:rsid w:val="00673B97"/>
    <w:rsid w:val="006A3334"/>
    <w:rsid w:val="006D0CC7"/>
    <w:rsid w:val="006E066E"/>
    <w:rsid w:val="006F433A"/>
    <w:rsid w:val="006F59BA"/>
    <w:rsid w:val="006F5B08"/>
    <w:rsid w:val="006F6395"/>
    <w:rsid w:val="00731772"/>
    <w:rsid w:val="00754103"/>
    <w:rsid w:val="00762390"/>
    <w:rsid w:val="00771E3E"/>
    <w:rsid w:val="00775E99"/>
    <w:rsid w:val="0078010C"/>
    <w:rsid w:val="00782EDE"/>
    <w:rsid w:val="00783F02"/>
    <w:rsid w:val="00792774"/>
    <w:rsid w:val="007A0059"/>
    <w:rsid w:val="007E544C"/>
    <w:rsid w:val="00803177"/>
    <w:rsid w:val="00822C27"/>
    <w:rsid w:val="008234AF"/>
    <w:rsid w:val="008253AA"/>
    <w:rsid w:val="00827447"/>
    <w:rsid w:val="00831735"/>
    <w:rsid w:val="00844E03"/>
    <w:rsid w:val="0085722F"/>
    <w:rsid w:val="008612F3"/>
    <w:rsid w:val="00875F3D"/>
    <w:rsid w:val="00890A9C"/>
    <w:rsid w:val="008D01F6"/>
    <w:rsid w:val="008D0A16"/>
    <w:rsid w:val="008D67B3"/>
    <w:rsid w:val="008D7855"/>
    <w:rsid w:val="008E7E98"/>
    <w:rsid w:val="008F4AFC"/>
    <w:rsid w:val="009004E0"/>
    <w:rsid w:val="0090189C"/>
    <w:rsid w:val="00943B21"/>
    <w:rsid w:val="00946CBF"/>
    <w:rsid w:val="00950FB6"/>
    <w:rsid w:val="0095139F"/>
    <w:rsid w:val="009821CF"/>
    <w:rsid w:val="00982BAA"/>
    <w:rsid w:val="009C312B"/>
    <w:rsid w:val="009D0C2B"/>
    <w:rsid w:val="009E051F"/>
    <w:rsid w:val="00A2168E"/>
    <w:rsid w:val="00A309C2"/>
    <w:rsid w:val="00A513DC"/>
    <w:rsid w:val="00A52366"/>
    <w:rsid w:val="00A77BF6"/>
    <w:rsid w:val="00A8476E"/>
    <w:rsid w:val="00AD5DCD"/>
    <w:rsid w:val="00AE620D"/>
    <w:rsid w:val="00AE7B9B"/>
    <w:rsid w:val="00B45337"/>
    <w:rsid w:val="00B624C3"/>
    <w:rsid w:val="00B6481C"/>
    <w:rsid w:val="00B83165"/>
    <w:rsid w:val="00B933EB"/>
    <w:rsid w:val="00B96D62"/>
    <w:rsid w:val="00BC1360"/>
    <w:rsid w:val="00BC7308"/>
    <w:rsid w:val="00BC7722"/>
    <w:rsid w:val="00BD3455"/>
    <w:rsid w:val="00BE6B54"/>
    <w:rsid w:val="00BF2A76"/>
    <w:rsid w:val="00C37AF1"/>
    <w:rsid w:val="00C83D10"/>
    <w:rsid w:val="00C905EA"/>
    <w:rsid w:val="00CB1347"/>
    <w:rsid w:val="00D01C79"/>
    <w:rsid w:val="00D37776"/>
    <w:rsid w:val="00D50B7F"/>
    <w:rsid w:val="00D517E6"/>
    <w:rsid w:val="00D80676"/>
    <w:rsid w:val="00D8165C"/>
    <w:rsid w:val="00D95C6B"/>
    <w:rsid w:val="00DB3781"/>
    <w:rsid w:val="00DB7FE9"/>
    <w:rsid w:val="00DC0E2F"/>
    <w:rsid w:val="00DC3BC2"/>
    <w:rsid w:val="00DD4282"/>
    <w:rsid w:val="00E0016C"/>
    <w:rsid w:val="00E0042C"/>
    <w:rsid w:val="00E1449D"/>
    <w:rsid w:val="00E149BE"/>
    <w:rsid w:val="00E3666C"/>
    <w:rsid w:val="00E51406"/>
    <w:rsid w:val="00E5613F"/>
    <w:rsid w:val="00E60291"/>
    <w:rsid w:val="00E60ACF"/>
    <w:rsid w:val="00E81125"/>
    <w:rsid w:val="00E85043"/>
    <w:rsid w:val="00E911FD"/>
    <w:rsid w:val="00EC493F"/>
    <w:rsid w:val="00EC4FF4"/>
    <w:rsid w:val="00F15FC2"/>
    <w:rsid w:val="00F226E7"/>
    <w:rsid w:val="00F253DA"/>
    <w:rsid w:val="00F36925"/>
    <w:rsid w:val="00F47204"/>
    <w:rsid w:val="00F51EC9"/>
    <w:rsid w:val="00F5420C"/>
    <w:rsid w:val="00F75FB5"/>
    <w:rsid w:val="00F77C3E"/>
    <w:rsid w:val="00F831D7"/>
    <w:rsid w:val="00F87F1E"/>
    <w:rsid w:val="00FC5FA3"/>
    <w:rsid w:val="00FD17B2"/>
    <w:rsid w:val="00FD5008"/>
    <w:rsid w:val="00FF1BD9"/>
    <w:rsid w:val="00FF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uiPriority w:val="99"/>
    <w:semiHidden/>
    <w:rsid w:val="00E81125"/>
    <w:pPr>
      <w:tabs>
        <w:tab w:val="center" w:pos="4513"/>
        <w:tab w:val="right" w:pos="9026"/>
      </w:tabs>
      <w:spacing w:after="0" w:line="240" w:lineRule="auto"/>
    </w:pPr>
  </w:style>
  <w:style w:type="character" w:customStyle="1" w:styleId="HeaderChar">
    <w:name w:val="Header Char"/>
    <w:link w:val="Header"/>
    <w:uiPriority w:val="99"/>
    <w:semiHidden/>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CC7"/>
    <w:pPr>
      <w:spacing w:after="200" w:line="276" w:lineRule="auto"/>
    </w:pPr>
    <w:rPr>
      <w:sz w:val="22"/>
      <w:szCs w:val="22"/>
      <w:lang w:eastAsia="en-US"/>
    </w:rPr>
  </w:style>
  <w:style w:type="paragraph" w:styleId="Heading1">
    <w:name w:val="heading 1"/>
    <w:basedOn w:val="Normal"/>
    <w:next w:val="Normal"/>
    <w:link w:val="Heading1Char"/>
    <w:uiPriority w:val="99"/>
    <w:qFormat/>
    <w:rsid w:val="00F77C3E"/>
    <w:pPr>
      <w:keepNext/>
      <w:spacing w:before="480" w:after="180" w:line="240" w:lineRule="auto"/>
      <w:outlineLvl w:val="0"/>
    </w:pPr>
    <w:rPr>
      <w:rFonts w:ascii="Consolas" w:hAnsi="Consolas"/>
      <w:bCs/>
      <w:caps/>
      <w:color w:val="3D4B67"/>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77C3E"/>
    <w:rPr>
      <w:rFonts w:ascii="Consolas" w:hAnsi="Consolas" w:cs="Arial"/>
      <w:bCs/>
      <w:caps/>
      <w:color w:val="3D4B67"/>
      <w:kern w:val="32"/>
      <w:sz w:val="36"/>
      <w:szCs w:val="36"/>
    </w:rPr>
  </w:style>
  <w:style w:type="paragraph" w:customStyle="1" w:styleId="Normalnumbered">
    <w:name w:val="Normal numbered"/>
    <w:basedOn w:val="Normal"/>
    <w:uiPriority w:val="99"/>
    <w:rsid w:val="00AE7B9B"/>
    <w:pPr>
      <w:numPr>
        <w:numId w:val="1"/>
      </w:numPr>
      <w:spacing w:after="240" w:line="260" w:lineRule="exact"/>
      <w:jc w:val="both"/>
    </w:pPr>
    <w:rPr>
      <w:rFonts w:ascii="Corbel" w:eastAsia="Times New Roman" w:hAnsi="Corbel"/>
      <w:color w:val="000000"/>
      <w:sz w:val="20"/>
      <w:szCs w:val="20"/>
      <w:lang w:eastAsia="en-AU"/>
    </w:rPr>
  </w:style>
  <w:style w:type="paragraph" w:styleId="ListParagraph">
    <w:name w:val="List Paragraph"/>
    <w:basedOn w:val="Normal"/>
    <w:uiPriority w:val="99"/>
    <w:qFormat/>
    <w:rsid w:val="00AE7B9B"/>
    <w:pPr>
      <w:ind w:left="720"/>
      <w:contextualSpacing/>
    </w:pPr>
  </w:style>
  <w:style w:type="character" w:styleId="BookTitle">
    <w:name w:val="Book Title"/>
    <w:uiPriority w:val="99"/>
    <w:qFormat/>
    <w:rsid w:val="00AE7B9B"/>
    <w:rPr>
      <w:i/>
      <w:smallCaps/>
      <w:spacing w:val="5"/>
    </w:rPr>
  </w:style>
  <w:style w:type="table" w:styleId="TableGrid">
    <w:name w:val="Table Grid"/>
    <w:basedOn w:val="TableNormal"/>
    <w:uiPriority w:val="99"/>
    <w:rsid w:val="0083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uiPriority w:val="99"/>
    <w:rsid w:val="00381A1C"/>
    <w:pPr>
      <w:spacing w:before="80" w:after="80" w:line="240" w:lineRule="auto"/>
    </w:pPr>
    <w:rPr>
      <w:rFonts w:ascii="Verdana" w:eastAsia="SimSun" w:hAnsi="Verdana"/>
      <w:sz w:val="20"/>
      <w:szCs w:val="24"/>
      <w:lang w:eastAsia="en-AU"/>
    </w:rPr>
  </w:style>
  <w:style w:type="paragraph" w:customStyle="1" w:styleId="TableHeading">
    <w:name w:val="Table Heading"/>
    <w:basedOn w:val="TableText"/>
    <w:uiPriority w:val="99"/>
    <w:rsid w:val="00381A1C"/>
    <w:pPr>
      <w:keepNext/>
    </w:pPr>
    <w:rPr>
      <w:b/>
    </w:rPr>
  </w:style>
  <w:style w:type="character" w:styleId="CommentReference">
    <w:name w:val="annotation reference"/>
    <w:uiPriority w:val="99"/>
    <w:semiHidden/>
    <w:rsid w:val="00DD4282"/>
    <w:rPr>
      <w:rFonts w:cs="Times New Roman"/>
      <w:sz w:val="16"/>
    </w:rPr>
  </w:style>
  <w:style w:type="paragraph" w:styleId="CommentText">
    <w:name w:val="annotation text"/>
    <w:basedOn w:val="Normal"/>
    <w:link w:val="CommentTextChar"/>
    <w:uiPriority w:val="99"/>
    <w:semiHidden/>
    <w:rsid w:val="00DD4282"/>
    <w:rPr>
      <w:sz w:val="20"/>
      <w:szCs w:val="20"/>
    </w:rPr>
  </w:style>
  <w:style w:type="character" w:customStyle="1" w:styleId="CommentTextChar">
    <w:name w:val="Comment Text Char"/>
    <w:link w:val="CommentText"/>
    <w:uiPriority w:val="99"/>
    <w:semiHidden/>
    <w:locked/>
    <w:rsid w:val="00DD4282"/>
    <w:rPr>
      <w:rFonts w:cs="Times New Roman"/>
      <w:lang w:eastAsia="en-US"/>
    </w:rPr>
  </w:style>
  <w:style w:type="paragraph" w:styleId="BalloonText">
    <w:name w:val="Balloon Text"/>
    <w:basedOn w:val="Normal"/>
    <w:link w:val="BalloonTextChar"/>
    <w:uiPriority w:val="99"/>
    <w:semiHidden/>
    <w:rsid w:val="00DD4282"/>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DD4282"/>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rsid w:val="00236FBB"/>
    <w:pPr>
      <w:spacing w:line="240" w:lineRule="auto"/>
    </w:pPr>
    <w:rPr>
      <w:b/>
      <w:bCs/>
    </w:rPr>
  </w:style>
  <w:style w:type="character" w:customStyle="1" w:styleId="CommentSubjectChar">
    <w:name w:val="Comment Subject Char"/>
    <w:link w:val="CommentSubject"/>
    <w:uiPriority w:val="99"/>
    <w:semiHidden/>
    <w:locked/>
    <w:rsid w:val="00236FBB"/>
    <w:rPr>
      <w:rFonts w:cs="Times New Roman"/>
      <w:b/>
      <w:bCs/>
      <w:lang w:eastAsia="en-US"/>
    </w:rPr>
  </w:style>
  <w:style w:type="paragraph" w:styleId="Header">
    <w:name w:val="header"/>
    <w:basedOn w:val="Normal"/>
    <w:link w:val="HeaderChar"/>
    <w:uiPriority w:val="99"/>
    <w:semiHidden/>
    <w:rsid w:val="00E81125"/>
    <w:pPr>
      <w:tabs>
        <w:tab w:val="center" w:pos="4513"/>
        <w:tab w:val="right" w:pos="9026"/>
      </w:tabs>
      <w:spacing w:after="0" w:line="240" w:lineRule="auto"/>
    </w:pPr>
  </w:style>
  <w:style w:type="character" w:customStyle="1" w:styleId="HeaderChar">
    <w:name w:val="Header Char"/>
    <w:link w:val="Header"/>
    <w:uiPriority w:val="99"/>
    <w:semiHidden/>
    <w:locked/>
    <w:rsid w:val="00E81125"/>
    <w:rPr>
      <w:rFonts w:cs="Times New Roman"/>
      <w:sz w:val="22"/>
      <w:szCs w:val="22"/>
      <w:lang w:eastAsia="en-US"/>
    </w:rPr>
  </w:style>
  <w:style w:type="paragraph" w:styleId="Footer">
    <w:name w:val="footer"/>
    <w:basedOn w:val="Normal"/>
    <w:link w:val="FooterChar"/>
    <w:uiPriority w:val="99"/>
    <w:rsid w:val="00E81125"/>
    <w:pPr>
      <w:tabs>
        <w:tab w:val="center" w:pos="4513"/>
        <w:tab w:val="right" w:pos="9026"/>
      </w:tabs>
      <w:spacing w:after="0" w:line="240" w:lineRule="auto"/>
    </w:pPr>
  </w:style>
  <w:style w:type="character" w:customStyle="1" w:styleId="FooterChar">
    <w:name w:val="Footer Char"/>
    <w:link w:val="Footer"/>
    <w:uiPriority w:val="99"/>
    <w:locked/>
    <w:rsid w:val="00E81125"/>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1890">
      <w:bodyDiv w:val="1"/>
      <w:marLeft w:val="0"/>
      <w:marRight w:val="0"/>
      <w:marTop w:val="0"/>
      <w:marBottom w:val="0"/>
      <w:divBdr>
        <w:top w:val="none" w:sz="0" w:space="0" w:color="auto"/>
        <w:left w:val="none" w:sz="0" w:space="0" w:color="auto"/>
        <w:bottom w:val="none" w:sz="0" w:space="0" w:color="auto"/>
        <w:right w:val="none" w:sz="0" w:space="0" w:color="auto"/>
      </w:divBdr>
    </w:div>
    <w:div w:id="195698272">
      <w:bodyDiv w:val="1"/>
      <w:marLeft w:val="0"/>
      <w:marRight w:val="0"/>
      <w:marTop w:val="0"/>
      <w:marBottom w:val="0"/>
      <w:divBdr>
        <w:top w:val="none" w:sz="0" w:space="0" w:color="auto"/>
        <w:left w:val="none" w:sz="0" w:space="0" w:color="auto"/>
        <w:bottom w:val="none" w:sz="0" w:space="0" w:color="auto"/>
        <w:right w:val="none" w:sz="0" w:space="0" w:color="auto"/>
      </w:divBdr>
    </w:div>
    <w:div w:id="1579289263">
      <w:marLeft w:val="0"/>
      <w:marRight w:val="0"/>
      <w:marTop w:val="0"/>
      <w:marBottom w:val="0"/>
      <w:divBdr>
        <w:top w:val="none" w:sz="0" w:space="0" w:color="auto"/>
        <w:left w:val="none" w:sz="0" w:space="0" w:color="auto"/>
        <w:bottom w:val="none" w:sz="0" w:space="0" w:color="auto"/>
        <w:right w:val="none" w:sz="0" w:space="0" w:color="auto"/>
      </w:divBdr>
    </w:div>
    <w:div w:id="1579289264">
      <w:marLeft w:val="0"/>
      <w:marRight w:val="0"/>
      <w:marTop w:val="0"/>
      <w:marBottom w:val="0"/>
      <w:divBdr>
        <w:top w:val="none" w:sz="0" w:space="0" w:color="auto"/>
        <w:left w:val="none" w:sz="0" w:space="0" w:color="auto"/>
        <w:bottom w:val="none" w:sz="0" w:space="0" w:color="auto"/>
        <w:right w:val="none" w:sz="0" w:space="0" w:color="auto"/>
      </w:divBdr>
    </w:div>
    <w:div w:id="1579289265">
      <w:marLeft w:val="0"/>
      <w:marRight w:val="0"/>
      <w:marTop w:val="0"/>
      <w:marBottom w:val="0"/>
      <w:divBdr>
        <w:top w:val="none" w:sz="0" w:space="0" w:color="auto"/>
        <w:left w:val="none" w:sz="0" w:space="0" w:color="auto"/>
        <w:bottom w:val="none" w:sz="0" w:space="0" w:color="auto"/>
        <w:right w:val="none" w:sz="0" w:space="0" w:color="auto"/>
      </w:divBdr>
    </w:div>
    <w:div w:id="1579289266">
      <w:marLeft w:val="0"/>
      <w:marRight w:val="0"/>
      <w:marTop w:val="0"/>
      <w:marBottom w:val="0"/>
      <w:divBdr>
        <w:top w:val="none" w:sz="0" w:space="0" w:color="auto"/>
        <w:left w:val="none" w:sz="0" w:space="0" w:color="auto"/>
        <w:bottom w:val="none" w:sz="0" w:space="0" w:color="auto"/>
        <w:right w:val="none" w:sz="0" w:space="0" w:color="auto"/>
      </w:divBdr>
    </w:div>
    <w:div w:id="1579289267">
      <w:marLeft w:val="0"/>
      <w:marRight w:val="0"/>
      <w:marTop w:val="0"/>
      <w:marBottom w:val="0"/>
      <w:divBdr>
        <w:top w:val="none" w:sz="0" w:space="0" w:color="auto"/>
        <w:left w:val="none" w:sz="0" w:space="0" w:color="auto"/>
        <w:bottom w:val="none" w:sz="0" w:space="0" w:color="auto"/>
        <w:right w:val="none" w:sz="0" w:space="0" w:color="auto"/>
      </w:divBdr>
    </w:div>
    <w:div w:id="15792892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44519F14</Template>
  <TotalTime>0</TotalTime>
  <Pages>7</Pages>
  <Words>1364</Words>
  <Characters>7781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APPENDIX E – VICTORIA BALANCE OF CASH AND IN-KIND CONTRIBUTIONS</vt:lpstr>
    </vt:vector>
  </TitlesOfParts>
  <Company>Department of the Prime Minister and Cabinet</Company>
  <LinksUpToDate>false</LinksUpToDate>
  <CharactersWithSpaces>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 VICTORIA BALANCE OF CASH AND IN-KIND CONTRIBUTIONS</dc:title>
  <dc:creator>pmc5254</dc:creator>
  <cp:lastModifiedBy>Toth, Tania</cp:lastModifiedBy>
  <cp:revision>2</cp:revision>
  <cp:lastPrinted>2013-03-28T04:25:00Z</cp:lastPrinted>
  <dcterms:created xsi:type="dcterms:W3CDTF">2016-12-05T23:47:00Z</dcterms:created>
  <dcterms:modified xsi:type="dcterms:W3CDTF">2016-12-05T23:47:00Z</dcterms:modified>
</cp:coreProperties>
</file>