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7C" w:rsidRPr="00F77C3E" w:rsidRDefault="00260B7C" w:rsidP="00F77C3E">
      <w:pPr>
        <w:pStyle w:val="Heading1"/>
        <w:pBdr>
          <w:bottom w:val="single" w:sz="4" w:space="1" w:color="auto"/>
        </w:pBdr>
        <w:rPr>
          <w:rFonts w:ascii="Corbel" w:hAnsi="Corbel" w:cs="Calibri"/>
          <w:color w:val="auto"/>
          <w:sz w:val="24"/>
          <w:szCs w:val="24"/>
        </w:rPr>
      </w:pPr>
      <w:bookmarkStart w:id="0" w:name="_GoBack"/>
      <w:bookmarkEnd w:id="0"/>
      <w:r>
        <w:rPr>
          <w:rFonts w:ascii="Corbel" w:hAnsi="Corbel" w:cs="Calibri"/>
          <w:color w:val="auto"/>
          <w:sz w:val="24"/>
          <w:szCs w:val="24"/>
        </w:rPr>
        <w:t>APPENDIX D</w:t>
      </w:r>
      <w:r w:rsidRPr="00F77C3E">
        <w:rPr>
          <w:rFonts w:ascii="Corbel" w:hAnsi="Corbel" w:cs="Calibri"/>
          <w:color w:val="auto"/>
          <w:sz w:val="24"/>
          <w:szCs w:val="24"/>
        </w:rPr>
        <w:t xml:space="preserve"> – </w:t>
      </w:r>
      <w:r>
        <w:rPr>
          <w:rFonts w:ascii="Corbel" w:hAnsi="Corbel" w:cs="Calibri"/>
          <w:color w:val="auto"/>
          <w:sz w:val="24"/>
          <w:szCs w:val="24"/>
        </w:rPr>
        <w:t xml:space="preserve">Balance of cash and in-kind contributions in New </w:t>
      </w:r>
      <w:smartTag w:uri="urn:schemas-microsoft-com:office:smarttags" w:element="place">
        <w:r>
          <w:rPr>
            <w:rFonts w:ascii="Corbel" w:hAnsi="Corbel" w:cs="Calibri"/>
            <w:color w:val="auto"/>
            <w:sz w:val="24"/>
            <w:szCs w:val="24"/>
          </w:rPr>
          <w:t>south wales</w:t>
        </w:r>
      </w:smartTag>
    </w:p>
    <w:p w:rsidR="00260B7C" w:rsidRDefault="00260B7C" w:rsidP="00D30D97">
      <w:pPr>
        <w:numPr>
          <w:ilvl w:val="0"/>
          <w:numId w:val="9"/>
        </w:numPr>
        <w:rPr>
          <w:rFonts w:ascii="Corbel" w:hAnsi="Corbel"/>
          <w:sz w:val="24"/>
          <w:szCs w:val="24"/>
        </w:rPr>
      </w:pPr>
      <w:r w:rsidRPr="00F77C3E">
        <w:rPr>
          <w:rFonts w:ascii="Corbel" w:hAnsi="Corbel"/>
          <w:sz w:val="24"/>
          <w:szCs w:val="24"/>
        </w:rPr>
        <w:t xml:space="preserve">This appendix sets out </w:t>
      </w:r>
      <w:r>
        <w:rPr>
          <w:rFonts w:ascii="Corbel" w:hAnsi="Corbel"/>
          <w:sz w:val="24"/>
          <w:szCs w:val="24"/>
        </w:rPr>
        <w:t xml:space="preserve">and updates </w:t>
      </w:r>
      <w:r w:rsidRPr="00F77C3E">
        <w:rPr>
          <w:rFonts w:ascii="Corbel" w:hAnsi="Corbel"/>
          <w:sz w:val="24"/>
          <w:szCs w:val="24"/>
        </w:rPr>
        <w:t xml:space="preserve">the </w:t>
      </w:r>
      <w:r>
        <w:rPr>
          <w:rFonts w:ascii="Corbel" w:hAnsi="Corbel"/>
          <w:sz w:val="24"/>
          <w:szCs w:val="24"/>
        </w:rPr>
        <w:t>balance of cash and in-kind contributions and the existing programs that are expected to be drawn on in providing direct services or be transitioned into cash contributions</w:t>
      </w:r>
      <w:r w:rsidRPr="00F77C3E">
        <w:rPr>
          <w:rFonts w:ascii="Corbel" w:hAnsi="Corbel"/>
          <w:sz w:val="24"/>
          <w:szCs w:val="24"/>
        </w:rPr>
        <w:t>, as agreed in</w:t>
      </w:r>
      <w:r>
        <w:rPr>
          <w:rFonts w:ascii="Corbel" w:hAnsi="Corbel"/>
          <w:sz w:val="24"/>
          <w:szCs w:val="24"/>
        </w:rPr>
        <w:t xml:space="preserve"> paragraph 42 of the IGA and</w:t>
      </w:r>
      <w:r w:rsidRPr="00F77C3E">
        <w:rPr>
          <w:rFonts w:ascii="Corbel" w:hAnsi="Corbel"/>
          <w:sz w:val="24"/>
          <w:szCs w:val="24"/>
        </w:rPr>
        <w:t xml:space="preserve"> clause </w:t>
      </w:r>
      <w:r>
        <w:rPr>
          <w:rFonts w:ascii="Corbel" w:hAnsi="Corbel"/>
          <w:sz w:val="24"/>
          <w:szCs w:val="24"/>
        </w:rPr>
        <w:t>13</w:t>
      </w:r>
      <w:r w:rsidRPr="00F77C3E">
        <w:rPr>
          <w:rFonts w:ascii="Corbel" w:hAnsi="Corbel"/>
          <w:sz w:val="24"/>
          <w:szCs w:val="24"/>
        </w:rPr>
        <w:t xml:space="preserve"> of Appendix </w:t>
      </w:r>
      <w:r>
        <w:rPr>
          <w:rFonts w:ascii="Corbel" w:hAnsi="Corbel"/>
          <w:sz w:val="24"/>
          <w:szCs w:val="24"/>
        </w:rPr>
        <w:t>A</w:t>
      </w:r>
      <w:r w:rsidRPr="00F77C3E">
        <w:rPr>
          <w:rFonts w:ascii="Corbel" w:hAnsi="Corbel"/>
          <w:sz w:val="24"/>
          <w:szCs w:val="24"/>
        </w:rPr>
        <w:t>, above.</w:t>
      </w:r>
    </w:p>
    <w:p w:rsidR="00260B7C" w:rsidRPr="00363528" w:rsidRDefault="00260B7C" w:rsidP="00A77BF6">
      <w:pPr>
        <w:ind w:firstLine="360"/>
        <w:rPr>
          <w:rFonts w:ascii="Corbel" w:hAnsi="Corbel"/>
          <w:b/>
          <w:sz w:val="24"/>
          <w:szCs w:val="24"/>
        </w:rPr>
      </w:pPr>
      <w:r>
        <w:rPr>
          <w:rFonts w:ascii="Corbel" w:hAnsi="Corbel"/>
          <w:b/>
          <w:sz w:val="24"/>
          <w:szCs w:val="24"/>
        </w:rPr>
        <w:t>Commonwealth cash and in-kind contributions</w:t>
      </w:r>
    </w:p>
    <w:p w:rsidR="00260B7C" w:rsidRPr="00C905EA" w:rsidRDefault="00260B7C" w:rsidP="00413D15">
      <w:pPr>
        <w:numPr>
          <w:ilvl w:val="0"/>
          <w:numId w:val="9"/>
        </w:numPr>
        <w:rPr>
          <w:rFonts w:ascii="Corbel" w:hAnsi="Corbel"/>
          <w:sz w:val="24"/>
          <w:szCs w:val="24"/>
        </w:rPr>
      </w:pPr>
      <w:r>
        <w:rPr>
          <w:rFonts w:ascii="Corbel" w:hAnsi="Corbel"/>
          <w:sz w:val="24"/>
          <w:szCs w:val="24"/>
        </w:rPr>
        <w:t xml:space="preserve">The approach to the transition of </w:t>
      </w:r>
      <w:r w:rsidRPr="00C905EA">
        <w:rPr>
          <w:rFonts w:ascii="Corbel" w:hAnsi="Corbel"/>
          <w:sz w:val="24"/>
          <w:szCs w:val="24"/>
        </w:rPr>
        <w:t xml:space="preserve">existing </w:t>
      </w:r>
      <w:r>
        <w:rPr>
          <w:rFonts w:ascii="Corbel" w:hAnsi="Corbel"/>
          <w:sz w:val="24"/>
          <w:szCs w:val="24"/>
        </w:rPr>
        <w:t>Commonwealth</w:t>
      </w:r>
      <w:r w:rsidRPr="00C905EA">
        <w:rPr>
          <w:rFonts w:ascii="Corbel" w:hAnsi="Corbel"/>
          <w:sz w:val="24"/>
          <w:szCs w:val="24"/>
        </w:rPr>
        <w:t xml:space="preserve"> disability program</w:t>
      </w:r>
      <w:r>
        <w:rPr>
          <w:rFonts w:ascii="Corbel" w:hAnsi="Corbel"/>
          <w:sz w:val="24"/>
          <w:szCs w:val="24"/>
        </w:rPr>
        <w:t>s</w:t>
      </w:r>
      <w:r w:rsidRPr="00C905EA">
        <w:rPr>
          <w:rFonts w:ascii="Corbel" w:hAnsi="Corbel"/>
          <w:sz w:val="24"/>
          <w:szCs w:val="24"/>
        </w:rPr>
        <w:t xml:space="preserve"> is outlined below:</w:t>
      </w:r>
    </w:p>
    <w:p w:rsidR="00260B7C" w:rsidRPr="00C905EA" w:rsidRDefault="00260B7C" w:rsidP="00413D15">
      <w:pPr>
        <w:numPr>
          <w:ilvl w:val="1"/>
          <w:numId w:val="15"/>
        </w:numPr>
        <w:rPr>
          <w:rFonts w:ascii="Corbel" w:hAnsi="Corbel"/>
          <w:sz w:val="24"/>
          <w:szCs w:val="24"/>
        </w:rPr>
      </w:pPr>
      <w:r>
        <w:rPr>
          <w:rFonts w:ascii="Corbel" w:hAnsi="Corbel"/>
          <w:sz w:val="24"/>
          <w:szCs w:val="24"/>
        </w:rPr>
        <w:t>t</w:t>
      </w:r>
      <w:r w:rsidRPr="00C905EA">
        <w:rPr>
          <w:rFonts w:ascii="Corbel" w:hAnsi="Corbel"/>
          <w:sz w:val="24"/>
          <w:szCs w:val="24"/>
        </w:rPr>
        <w:t>ransition of existing</w:t>
      </w:r>
      <w:r>
        <w:rPr>
          <w:rFonts w:ascii="Corbel" w:hAnsi="Corbel"/>
          <w:sz w:val="24"/>
          <w:szCs w:val="24"/>
        </w:rPr>
        <w:t xml:space="preserve"> Commonwealth </w:t>
      </w:r>
      <w:r w:rsidRPr="00C905EA">
        <w:rPr>
          <w:rFonts w:ascii="Corbel" w:hAnsi="Corbel"/>
          <w:sz w:val="24"/>
          <w:szCs w:val="24"/>
        </w:rPr>
        <w:t>programs into cash contribution</w:t>
      </w:r>
      <w:r>
        <w:rPr>
          <w:rFonts w:ascii="Corbel" w:hAnsi="Corbel"/>
          <w:sz w:val="24"/>
          <w:szCs w:val="24"/>
        </w:rPr>
        <w:t xml:space="preserve"> in launch sites</w:t>
      </w:r>
      <w:r w:rsidRPr="00C905EA">
        <w:rPr>
          <w:rFonts w:ascii="Corbel" w:hAnsi="Corbel"/>
          <w:sz w:val="24"/>
          <w:szCs w:val="24"/>
        </w:rPr>
        <w:t xml:space="preserve"> </w:t>
      </w:r>
      <w:r>
        <w:rPr>
          <w:rFonts w:ascii="Corbel" w:hAnsi="Corbel"/>
          <w:sz w:val="24"/>
          <w:szCs w:val="24"/>
        </w:rPr>
        <w:t>will occur either in part or in full at launch commencement, or as participants enter the NDIS; or as contracts expire over the launch period; and</w:t>
      </w:r>
    </w:p>
    <w:p w:rsidR="00260B7C" w:rsidRPr="00C905EA" w:rsidRDefault="00260B7C" w:rsidP="00413D15">
      <w:pPr>
        <w:numPr>
          <w:ilvl w:val="1"/>
          <w:numId w:val="15"/>
        </w:numPr>
        <w:rPr>
          <w:rFonts w:ascii="Corbel" w:hAnsi="Corbel"/>
          <w:sz w:val="24"/>
          <w:szCs w:val="24"/>
        </w:rPr>
      </w:pPr>
      <w:r>
        <w:rPr>
          <w:rFonts w:ascii="Corbel" w:hAnsi="Corbel"/>
          <w:sz w:val="24"/>
          <w:szCs w:val="24"/>
        </w:rPr>
        <w:t xml:space="preserve">some programs will continue in-kind in launch sites for the duration of the launch period, due to the national focus of those programs. </w:t>
      </w:r>
    </w:p>
    <w:p w:rsidR="00260B7C" w:rsidRDefault="00260B7C" w:rsidP="00413D15">
      <w:pPr>
        <w:numPr>
          <w:ilvl w:val="0"/>
          <w:numId w:val="9"/>
        </w:numPr>
        <w:rPr>
          <w:rFonts w:ascii="Corbel" w:hAnsi="Corbel"/>
          <w:sz w:val="24"/>
          <w:szCs w:val="24"/>
        </w:rPr>
      </w:pPr>
      <w:r w:rsidRPr="00C905EA">
        <w:rPr>
          <w:rFonts w:ascii="Corbel" w:hAnsi="Corbel"/>
          <w:sz w:val="24"/>
          <w:szCs w:val="24"/>
        </w:rPr>
        <w:t>All existing disability service arrangements listed below will be transitioned from in-kind contribution to cash contributions to the Agency</w:t>
      </w:r>
      <w:r>
        <w:rPr>
          <w:rFonts w:ascii="Corbel" w:hAnsi="Corbel"/>
          <w:sz w:val="24"/>
          <w:szCs w:val="24"/>
        </w:rPr>
        <w:t xml:space="preserve"> in launch sites</w:t>
      </w:r>
      <w:r w:rsidRPr="00C905EA">
        <w:rPr>
          <w:rFonts w:ascii="Corbel" w:hAnsi="Corbel"/>
          <w:sz w:val="24"/>
          <w:szCs w:val="24"/>
        </w:rPr>
        <w:t xml:space="preserve"> in accordance </w:t>
      </w:r>
      <w:r>
        <w:rPr>
          <w:rFonts w:ascii="Corbel" w:hAnsi="Corbel"/>
          <w:sz w:val="24"/>
          <w:szCs w:val="24"/>
        </w:rPr>
        <w:t xml:space="preserve">with the approaches outlined in 2a.  </w:t>
      </w:r>
    </w:p>
    <w:p w:rsidR="00260B7C" w:rsidRDefault="00B8358C" w:rsidP="00413D15">
      <w:pPr>
        <w:numPr>
          <w:ilvl w:val="0"/>
          <w:numId w:val="9"/>
        </w:numPr>
        <w:rPr>
          <w:rFonts w:ascii="Corbel" w:hAnsi="Corbel"/>
          <w:sz w:val="24"/>
          <w:szCs w:val="24"/>
        </w:rPr>
      </w:pPr>
      <w:r>
        <w:rPr>
          <w:rFonts w:ascii="Corbel" w:hAnsi="Corbel"/>
          <w:sz w:val="24"/>
          <w:szCs w:val="24"/>
        </w:rPr>
        <w:t>Based on these approaches, t</w:t>
      </w:r>
      <w:r w:rsidR="00260B7C">
        <w:rPr>
          <w:rFonts w:ascii="Corbel" w:hAnsi="Corbel"/>
          <w:sz w:val="24"/>
          <w:szCs w:val="24"/>
        </w:rPr>
        <w:t>he following Commonwealth disability services/programs, as set out in Table 1, are expected to transition (either in part or in full) into cash contributions in launch sites only at commencement or as participants enter the NDIS.</w:t>
      </w:r>
      <w:r w:rsidR="00260B7C">
        <w:rPr>
          <w:rFonts w:ascii="Corbel" w:hAnsi="Corbel"/>
          <w:sz w:val="24"/>
          <w:szCs w:val="24"/>
        </w:rPr>
        <w:tab/>
      </w:r>
    </w:p>
    <w:p w:rsidR="00260B7C" w:rsidRPr="00E35EBE" w:rsidRDefault="00260B7C" w:rsidP="00E35EBE">
      <w:pPr>
        <w:ind w:left="360"/>
        <w:rPr>
          <w:rFonts w:ascii="Corbel" w:hAnsi="Corbel"/>
          <w:b/>
          <w:sz w:val="24"/>
          <w:szCs w:val="24"/>
        </w:rPr>
      </w:pPr>
      <w:r w:rsidRPr="00E35EBE">
        <w:rPr>
          <w:rFonts w:ascii="Corbel" w:hAnsi="Corbel"/>
          <w:b/>
          <w:sz w:val="24"/>
          <w:szCs w:val="24"/>
        </w:rPr>
        <w:t>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260B7C" w:rsidRPr="001F0CA1" w:rsidTr="00BF599A">
        <w:trPr>
          <w:cantSplit/>
          <w:tblHeader/>
        </w:trPr>
        <w:tc>
          <w:tcPr>
            <w:tcW w:w="2807" w:type="dxa"/>
            <w:tcBorders>
              <w:top w:val="single" w:sz="6" w:space="0" w:color="auto"/>
              <w:bottom w:val="single" w:sz="6" w:space="0" w:color="auto"/>
            </w:tcBorders>
          </w:tcPr>
          <w:p w:rsidR="00260B7C" w:rsidRPr="002D4F50" w:rsidRDefault="00260B7C" w:rsidP="00BF599A">
            <w:pPr>
              <w:rPr>
                <w:rFonts w:ascii="Corbel" w:hAnsi="Corbel"/>
                <w:b/>
                <w:sz w:val="24"/>
                <w:szCs w:val="24"/>
              </w:rPr>
            </w:pPr>
          </w:p>
        </w:tc>
        <w:tc>
          <w:tcPr>
            <w:tcW w:w="2201" w:type="dxa"/>
            <w:tcBorders>
              <w:top w:val="single" w:sz="6" w:space="0" w:color="auto"/>
              <w:bottom w:val="single" w:sz="6" w:space="0" w:color="auto"/>
            </w:tcBorders>
          </w:tcPr>
          <w:p w:rsidR="00260B7C" w:rsidRPr="001F0CA1" w:rsidRDefault="00260B7C" w:rsidP="00BF599A">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260B7C" w:rsidRPr="001F0CA1" w:rsidRDefault="00260B7C" w:rsidP="00BF599A">
            <w:pPr>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260B7C" w:rsidRPr="001F0CA1" w:rsidRDefault="00260B7C" w:rsidP="00BF599A">
            <w:pPr>
              <w:rPr>
                <w:rFonts w:ascii="Corbel" w:hAnsi="Corbel"/>
                <w:sz w:val="24"/>
                <w:szCs w:val="24"/>
              </w:rPr>
            </w:pPr>
            <w:r w:rsidRPr="001F0CA1">
              <w:rPr>
                <w:rFonts w:ascii="Corbel" w:hAnsi="Corbel"/>
                <w:sz w:val="24"/>
                <w:szCs w:val="24"/>
              </w:rPr>
              <w:t>2015-16</w:t>
            </w:r>
          </w:p>
        </w:tc>
      </w:tr>
      <w:tr w:rsidR="00260B7C" w:rsidRPr="001F0CA1" w:rsidTr="00BF599A">
        <w:trPr>
          <w:cantSplit/>
        </w:trPr>
        <w:tc>
          <w:tcPr>
            <w:tcW w:w="2807" w:type="dxa"/>
            <w:tcBorders>
              <w:top w:val="single" w:sz="6" w:space="0" w:color="auto"/>
              <w:bottom w:val="single" w:sz="6" w:space="0" w:color="auto"/>
            </w:tcBorders>
          </w:tcPr>
          <w:p w:rsidR="00260B7C" w:rsidRPr="00060748" w:rsidRDefault="00260B7C" w:rsidP="00BF599A">
            <w:pPr>
              <w:rPr>
                <w:rFonts w:ascii="Corbel" w:hAnsi="Corbel"/>
                <w:sz w:val="24"/>
                <w:szCs w:val="24"/>
              </w:rPr>
            </w:pPr>
            <w:r>
              <w:rPr>
                <w:rFonts w:ascii="Corbel" w:hAnsi="Corbel"/>
                <w:sz w:val="24"/>
                <w:szCs w:val="24"/>
              </w:rPr>
              <w:t>Helping Children with Autism</w:t>
            </w:r>
          </w:p>
        </w:tc>
        <w:tc>
          <w:tcPr>
            <w:tcW w:w="2201" w:type="dxa"/>
            <w:tcBorders>
              <w:top w:val="single" w:sz="6" w:space="0" w:color="auto"/>
              <w:bottom w:val="single" w:sz="6" w:space="0" w:color="auto"/>
            </w:tcBorders>
          </w:tcPr>
          <w:p w:rsidR="00260B7C" w:rsidRPr="001F0CA1" w:rsidRDefault="00260B7C" w:rsidP="00750ECE">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Pr="001F0CA1" w:rsidRDefault="00260B7C" w:rsidP="00750ECE">
            <w:pPr>
              <w:rPr>
                <w:rFonts w:ascii="Corbel" w:hAnsi="Corbel"/>
                <w:sz w:val="24"/>
                <w:szCs w:val="24"/>
              </w:rPr>
            </w:pPr>
            <w:r>
              <w:rPr>
                <w:rFonts w:ascii="Corbel" w:hAnsi="Corbel"/>
                <w:sz w:val="24"/>
                <w:szCs w:val="24"/>
              </w:rPr>
              <w:t>$0.4</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Pr="001F0CA1" w:rsidRDefault="00260B7C" w:rsidP="00750ECE">
            <w:pPr>
              <w:rPr>
                <w:rFonts w:ascii="Corbel" w:hAnsi="Corbel"/>
                <w:sz w:val="24"/>
                <w:szCs w:val="24"/>
              </w:rPr>
            </w:pPr>
            <w:r>
              <w:rPr>
                <w:rFonts w:ascii="Corbel" w:hAnsi="Corbel"/>
                <w:sz w:val="24"/>
                <w:szCs w:val="24"/>
              </w:rPr>
              <w:t>$0.8</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Pr="00060748" w:rsidRDefault="00260B7C" w:rsidP="00C91A02">
            <w:pPr>
              <w:rPr>
                <w:rFonts w:ascii="Corbel" w:hAnsi="Corbel"/>
                <w:sz w:val="24"/>
                <w:szCs w:val="24"/>
              </w:rPr>
            </w:pPr>
            <w:r>
              <w:rPr>
                <w:rFonts w:ascii="Corbel" w:hAnsi="Corbel"/>
                <w:sz w:val="24"/>
                <w:szCs w:val="24"/>
              </w:rPr>
              <w:t>Better Start for Children with Disability</w:t>
            </w:r>
          </w:p>
        </w:tc>
        <w:tc>
          <w:tcPr>
            <w:tcW w:w="2201" w:type="dxa"/>
            <w:tcBorders>
              <w:top w:val="single" w:sz="6" w:space="0" w:color="auto"/>
              <w:bottom w:val="single" w:sz="6" w:space="0" w:color="auto"/>
            </w:tcBorders>
          </w:tcPr>
          <w:p w:rsidR="00260B7C" w:rsidRDefault="00260B7C" w:rsidP="003F31FF">
            <w:pPr>
              <w:rPr>
                <w:rFonts w:ascii="Corbel" w:hAnsi="Corbel"/>
                <w:sz w:val="24"/>
                <w:szCs w:val="24"/>
              </w:rPr>
            </w:pPr>
            <w:r>
              <w:rPr>
                <w:rFonts w:ascii="Corbel" w:hAnsi="Corbel"/>
                <w:sz w:val="24"/>
                <w:szCs w:val="24"/>
              </w:rPr>
              <w:t>..</w:t>
            </w:r>
          </w:p>
        </w:tc>
        <w:tc>
          <w:tcPr>
            <w:tcW w:w="2201" w:type="dxa"/>
            <w:tcBorders>
              <w:top w:val="single" w:sz="6" w:space="0" w:color="auto"/>
              <w:bottom w:val="single" w:sz="6" w:space="0" w:color="auto"/>
            </w:tcBorders>
          </w:tcPr>
          <w:p w:rsidR="00260B7C" w:rsidRDefault="00260B7C" w:rsidP="00750ECE">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750ECE">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Pr="00060748" w:rsidRDefault="00260B7C" w:rsidP="00C91A02">
            <w:pPr>
              <w:rPr>
                <w:rFonts w:ascii="Corbel" w:hAnsi="Corbel"/>
                <w:sz w:val="24"/>
                <w:szCs w:val="24"/>
              </w:rPr>
            </w:pPr>
            <w:r>
              <w:rPr>
                <w:rFonts w:ascii="Corbel" w:hAnsi="Corbel"/>
                <w:sz w:val="24"/>
                <w:szCs w:val="24"/>
              </w:rPr>
              <w:t>Continence Aids Program</w:t>
            </w:r>
          </w:p>
        </w:tc>
        <w:tc>
          <w:tcPr>
            <w:tcW w:w="2201" w:type="dxa"/>
            <w:tcBorders>
              <w:top w:val="single" w:sz="6" w:space="0" w:color="auto"/>
              <w:bottom w:val="single" w:sz="6" w:space="0" w:color="auto"/>
            </w:tcBorders>
          </w:tcPr>
          <w:p w:rsidR="00260B7C" w:rsidRDefault="00260B7C" w:rsidP="00750ECE">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750ECE">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750ECE">
            <w:pPr>
              <w:rPr>
                <w:rFonts w:ascii="Corbel" w:hAnsi="Corbel"/>
                <w:sz w:val="24"/>
                <w:szCs w:val="24"/>
              </w:rPr>
            </w:pPr>
            <w:r>
              <w:rPr>
                <w:rFonts w:ascii="Corbel" w:hAnsi="Corbel"/>
                <w:sz w:val="24"/>
                <w:szCs w:val="24"/>
              </w:rPr>
              <w:t>$0.7</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5923F4">
            <w:pPr>
              <w:rPr>
                <w:rFonts w:ascii="Corbel" w:hAnsi="Corbel"/>
                <w:sz w:val="24"/>
                <w:szCs w:val="24"/>
              </w:rPr>
            </w:pPr>
            <w:r>
              <w:rPr>
                <w:rFonts w:ascii="Corbel" w:hAnsi="Corbel"/>
                <w:sz w:val="24"/>
                <w:szCs w:val="24"/>
              </w:rPr>
              <w:t>Disability Employment Services: Work Based Personal Assistance</w:t>
            </w:r>
          </w:p>
        </w:tc>
        <w:tc>
          <w:tcPr>
            <w:tcW w:w="2201"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w:t>
            </w:r>
          </w:p>
        </w:tc>
        <w:tc>
          <w:tcPr>
            <w:tcW w:w="2201"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w:t>
            </w:r>
          </w:p>
        </w:tc>
      </w:tr>
      <w:tr w:rsidR="00260B7C" w:rsidRPr="001F0CA1" w:rsidTr="00032B0D">
        <w:trPr>
          <w:cantSplit/>
        </w:trPr>
        <w:tc>
          <w:tcPr>
            <w:tcW w:w="2807" w:type="dxa"/>
            <w:tcBorders>
              <w:top w:val="single" w:sz="6" w:space="0" w:color="auto"/>
              <w:bottom w:val="single" w:sz="6" w:space="0" w:color="auto"/>
            </w:tcBorders>
          </w:tcPr>
          <w:p w:rsidR="00260B7C" w:rsidRDefault="00260B7C" w:rsidP="0053039A">
            <w:pPr>
              <w:rPr>
                <w:rFonts w:ascii="Corbel" w:hAnsi="Corbel"/>
                <w:sz w:val="24"/>
                <w:szCs w:val="24"/>
              </w:rPr>
            </w:pPr>
            <w:r>
              <w:rPr>
                <w:rFonts w:ascii="Corbel" w:hAnsi="Corbel"/>
                <w:sz w:val="24"/>
                <w:szCs w:val="24"/>
              </w:rPr>
              <w:t>Mobility Allowance</w:t>
            </w:r>
          </w:p>
        </w:tc>
        <w:tc>
          <w:tcPr>
            <w:tcW w:w="2201" w:type="dxa"/>
            <w:tcBorders>
              <w:top w:val="single" w:sz="6" w:space="0" w:color="auto"/>
              <w:bottom w:val="single" w:sz="6" w:space="0" w:color="auto"/>
            </w:tcBorders>
          </w:tcPr>
          <w:p w:rsidR="00260B7C" w:rsidRDefault="00260B7C" w:rsidP="00032B0D">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032B0D">
            <w:pPr>
              <w:rPr>
                <w:rFonts w:ascii="Corbel" w:hAnsi="Corbel"/>
                <w:sz w:val="24"/>
                <w:szCs w:val="24"/>
              </w:rPr>
            </w:pPr>
            <w:r>
              <w:rPr>
                <w:rFonts w:ascii="Corbel" w:hAnsi="Corbel"/>
                <w:sz w:val="24"/>
                <w:szCs w:val="24"/>
              </w:rPr>
              <w:t>$1.1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0C5164">
            <w:pPr>
              <w:rPr>
                <w:rFonts w:ascii="Corbel" w:hAnsi="Corbel"/>
                <w:sz w:val="24"/>
                <w:szCs w:val="24"/>
              </w:rPr>
            </w:pPr>
            <w:r>
              <w:rPr>
                <w:rFonts w:ascii="Corbel" w:hAnsi="Corbel"/>
                <w:sz w:val="24"/>
                <w:szCs w:val="24"/>
              </w:rPr>
              <w:t>$2.</w:t>
            </w:r>
            <w:r w:rsidR="000C5164">
              <w:rPr>
                <w:rFonts w:ascii="Corbel" w:hAnsi="Corbel"/>
                <w:sz w:val="24"/>
                <w:szCs w:val="24"/>
              </w:rPr>
              <w:t>1</w:t>
            </w:r>
            <w:r w:rsidRPr="001F0CA1">
              <w:rPr>
                <w:rFonts w:ascii="Corbel" w:hAnsi="Corbel"/>
                <w:sz w:val="24"/>
                <w:szCs w:val="24"/>
              </w:rPr>
              <w:t xml:space="preserve"> million</w:t>
            </w:r>
          </w:p>
        </w:tc>
      </w:tr>
      <w:tr w:rsidR="00FC678B" w:rsidRPr="001F0CA1" w:rsidTr="00032B0D">
        <w:trPr>
          <w:cantSplit/>
        </w:trPr>
        <w:tc>
          <w:tcPr>
            <w:tcW w:w="2807" w:type="dxa"/>
            <w:tcBorders>
              <w:top w:val="single" w:sz="6" w:space="0" w:color="auto"/>
              <w:bottom w:val="single" w:sz="6" w:space="0" w:color="auto"/>
            </w:tcBorders>
          </w:tcPr>
          <w:p w:rsidR="00FC678B" w:rsidRDefault="00FC678B" w:rsidP="0053039A">
            <w:pPr>
              <w:rPr>
                <w:rFonts w:ascii="Corbel" w:hAnsi="Corbel"/>
                <w:sz w:val="24"/>
                <w:szCs w:val="24"/>
              </w:rPr>
            </w:pPr>
            <w:r>
              <w:rPr>
                <w:rFonts w:ascii="Corbel" w:hAnsi="Corbel"/>
                <w:sz w:val="24"/>
                <w:szCs w:val="24"/>
              </w:rPr>
              <w:lastRenderedPageBreak/>
              <w:t>Total</w:t>
            </w:r>
          </w:p>
        </w:tc>
        <w:tc>
          <w:tcPr>
            <w:tcW w:w="2201" w:type="dxa"/>
            <w:tcBorders>
              <w:top w:val="single" w:sz="6" w:space="0" w:color="auto"/>
              <w:bottom w:val="single" w:sz="6" w:space="0" w:color="auto"/>
            </w:tcBorders>
          </w:tcPr>
          <w:p w:rsidR="00FC678B" w:rsidRDefault="00FC678B" w:rsidP="000C5164">
            <w:pPr>
              <w:rPr>
                <w:rFonts w:ascii="Corbel" w:hAnsi="Corbel"/>
                <w:sz w:val="24"/>
                <w:szCs w:val="24"/>
              </w:rPr>
            </w:pPr>
            <w:r>
              <w:rPr>
                <w:rFonts w:ascii="Corbel" w:hAnsi="Corbel"/>
                <w:sz w:val="24"/>
                <w:szCs w:val="24"/>
              </w:rPr>
              <w:t>$0.</w:t>
            </w:r>
            <w:r w:rsidR="000C5164">
              <w:rPr>
                <w:rFonts w:ascii="Corbel" w:hAnsi="Corbel"/>
                <w:sz w:val="24"/>
                <w:szCs w:val="24"/>
              </w:rPr>
              <w:t>7</w:t>
            </w:r>
            <w:r>
              <w:rPr>
                <w:rFonts w:ascii="Corbel" w:hAnsi="Corbel"/>
                <w:sz w:val="24"/>
                <w:szCs w:val="24"/>
              </w:rPr>
              <w:t xml:space="preserve"> million</w:t>
            </w:r>
          </w:p>
        </w:tc>
        <w:tc>
          <w:tcPr>
            <w:tcW w:w="2201" w:type="dxa"/>
            <w:tcBorders>
              <w:top w:val="single" w:sz="6" w:space="0" w:color="auto"/>
              <w:bottom w:val="single" w:sz="6" w:space="0" w:color="auto"/>
            </w:tcBorders>
          </w:tcPr>
          <w:p w:rsidR="00FC678B" w:rsidRDefault="00FC678B" w:rsidP="00032B0D">
            <w:pPr>
              <w:rPr>
                <w:rFonts w:ascii="Corbel" w:hAnsi="Corbel"/>
                <w:sz w:val="24"/>
                <w:szCs w:val="24"/>
              </w:rPr>
            </w:pPr>
            <w:r>
              <w:rPr>
                <w:rFonts w:ascii="Corbel" w:hAnsi="Corbel"/>
                <w:sz w:val="24"/>
                <w:szCs w:val="24"/>
              </w:rPr>
              <w:t>$1.9 million</w:t>
            </w:r>
          </w:p>
        </w:tc>
        <w:tc>
          <w:tcPr>
            <w:tcW w:w="2202" w:type="dxa"/>
            <w:tcBorders>
              <w:top w:val="single" w:sz="6" w:space="0" w:color="auto"/>
              <w:bottom w:val="single" w:sz="6" w:space="0" w:color="auto"/>
            </w:tcBorders>
          </w:tcPr>
          <w:p w:rsidR="00FC678B" w:rsidRDefault="00FC678B" w:rsidP="000C5164">
            <w:pPr>
              <w:rPr>
                <w:rFonts w:ascii="Corbel" w:hAnsi="Corbel"/>
                <w:sz w:val="24"/>
                <w:szCs w:val="24"/>
              </w:rPr>
            </w:pPr>
            <w:r>
              <w:rPr>
                <w:rFonts w:ascii="Corbel" w:hAnsi="Corbel"/>
                <w:sz w:val="24"/>
                <w:szCs w:val="24"/>
              </w:rPr>
              <w:t>$3.</w:t>
            </w:r>
            <w:r w:rsidR="000C5164">
              <w:rPr>
                <w:rFonts w:ascii="Corbel" w:hAnsi="Corbel"/>
                <w:sz w:val="24"/>
                <w:szCs w:val="24"/>
              </w:rPr>
              <w:t>8</w:t>
            </w:r>
            <w:r>
              <w:rPr>
                <w:rFonts w:ascii="Corbel" w:hAnsi="Corbel"/>
                <w:sz w:val="24"/>
                <w:szCs w:val="24"/>
              </w:rPr>
              <w:t xml:space="preserve"> million</w:t>
            </w:r>
          </w:p>
        </w:tc>
      </w:tr>
    </w:tbl>
    <w:p w:rsidR="00260B7C" w:rsidRDefault="00260B7C" w:rsidP="00413D15">
      <w:pPr>
        <w:rPr>
          <w:rFonts w:ascii="Corbel" w:hAnsi="Corbel"/>
          <w:sz w:val="24"/>
          <w:szCs w:val="24"/>
        </w:rPr>
      </w:pPr>
      <w:r w:rsidRPr="00404213">
        <w:rPr>
          <w:rFonts w:ascii="Corbel" w:hAnsi="Corbel"/>
          <w:sz w:val="20"/>
          <w:szCs w:val="24"/>
        </w:rPr>
        <w:t>‘.. ‘ represents an amount of less than $50,000.</w:t>
      </w:r>
    </w:p>
    <w:p w:rsidR="00260B7C" w:rsidRDefault="00B8358C" w:rsidP="00413D15">
      <w:pPr>
        <w:numPr>
          <w:ilvl w:val="0"/>
          <w:numId w:val="9"/>
        </w:numPr>
        <w:rPr>
          <w:rFonts w:ascii="Corbel" w:hAnsi="Corbel"/>
          <w:sz w:val="24"/>
          <w:szCs w:val="24"/>
        </w:rPr>
      </w:pPr>
      <w:r>
        <w:rPr>
          <w:rFonts w:ascii="Corbel" w:hAnsi="Corbel"/>
          <w:sz w:val="24"/>
          <w:szCs w:val="24"/>
        </w:rPr>
        <w:t>Based on the above approaches, t</w:t>
      </w:r>
      <w:r w:rsidR="00260B7C">
        <w:rPr>
          <w:rFonts w:ascii="Corbel" w:hAnsi="Corbel"/>
          <w:sz w:val="24"/>
          <w:szCs w:val="24"/>
        </w:rPr>
        <w:t>he following Commonwealth disability services/programs as set out in Table 2</w:t>
      </w:r>
      <w:r>
        <w:rPr>
          <w:rFonts w:ascii="Corbel" w:hAnsi="Corbel"/>
          <w:sz w:val="24"/>
          <w:szCs w:val="24"/>
        </w:rPr>
        <w:t>,</w:t>
      </w:r>
      <w:r w:rsidR="00260B7C">
        <w:rPr>
          <w:rFonts w:ascii="Corbel" w:hAnsi="Corbel"/>
          <w:sz w:val="24"/>
          <w:szCs w:val="24"/>
        </w:rPr>
        <w:t xml:space="preserve"> are expected to transition (either in part or in full) into cash contributions as contracts expire.</w:t>
      </w:r>
    </w:p>
    <w:p w:rsidR="00260B7C" w:rsidRPr="00E35EBE" w:rsidRDefault="00260B7C" w:rsidP="00E35EBE">
      <w:pPr>
        <w:ind w:left="360"/>
        <w:rPr>
          <w:rFonts w:ascii="Corbel" w:hAnsi="Corbel"/>
          <w:b/>
          <w:sz w:val="24"/>
          <w:szCs w:val="24"/>
        </w:rPr>
      </w:pPr>
      <w:r w:rsidRPr="00E35EBE">
        <w:rPr>
          <w:rFonts w:ascii="Corbel" w:hAnsi="Corbel"/>
          <w:b/>
          <w:sz w:val="24"/>
          <w:szCs w:val="24"/>
        </w:rPr>
        <w:t>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260B7C" w:rsidRPr="001F0CA1" w:rsidTr="00BF599A">
        <w:trPr>
          <w:cantSplit/>
          <w:tblHeader/>
        </w:trPr>
        <w:tc>
          <w:tcPr>
            <w:tcW w:w="2807" w:type="dxa"/>
            <w:tcBorders>
              <w:top w:val="single" w:sz="6" w:space="0" w:color="auto"/>
              <w:bottom w:val="single" w:sz="6" w:space="0" w:color="auto"/>
            </w:tcBorders>
          </w:tcPr>
          <w:p w:rsidR="00260B7C" w:rsidRPr="002D4F50" w:rsidRDefault="00260B7C" w:rsidP="00BF599A">
            <w:pPr>
              <w:rPr>
                <w:rFonts w:ascii="Corbel" w:hAnsi="Corbel"/>
                <w:b/>
                <w:sz w:val="24"/>
                <w:szCs w:val="24"/>
              </w:rPr>
            </w:pPr>
          </w:p>
        </w:tc>
        <w:tc>
          <w:tcPr>
            <w:tcW w:w="2201" w:type="dxa"/>
            <w:tcBorders>
              <w:top w:val="single" w:sz="6" w:space="0" w:color="auto"/>
              <w:bottom w:val="single" w:sz="6" w:space="0" w:color="auto"/>
            </w:tcBorders>
          </w:tcPr>
          <w:p w:rsidR="00260B7C" w:rsidRPr="001F0CA1" w:rsidRDefault="00260B7C" w:rsidP="00BF599A">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260B7C" w:rsidRPr="001F0CA1" w:rsidRDefault="00260B7C" w:rsidP="00BF599A">
            <w:pPr>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260B7C" w:rsidRPr="001F0CA1" w:rsidRDefault="00260B7C" w:rsidP="00BF599A">
            <w:pPr>
              <w:rPr>
                <w:rFonts w:ascii="Corbel" w:hAnsi="Corbel"/>
                <w:sz w:val="24"/>
                <w:szCs w:val="24"/>
              </w:rPr>
            </w:pPr>
            <w:r w:rsidRPr="001F0CA1">
              <w:rPr>
                <w:rFonts w:ascii="Corbel" w:hAnsi="Corbel"/>
                <w:sz w:val="24"/>
                <w:szCs w:val="24"/>
              </w:rPr>
              <w:t>2015-16</w:t>
            </w:r>
          </w:p>
        </w:tc>
      </w:tr>
      <w:tr w:rsidR="00260B7C" w:rsidRPr="001F0CA1" w:rsidTr="00BF599A">
        <w:trPr>
          <w:cantSplit/>
        </w:trPr>
        <w:tc>
          <w:tcPr>
            <w:tcW w:w="2807" w:type="dxa"/>
            <w:tcBorders>
              <w:top w:val="single" w:sz="6" w:space="0" w:color="auto"/>
              <w:bottom w:val="single" w:sz="6" w:space="0" w:color="auto"/>
            </w:tcBorders>
          </w:tcPr>
          <w:p w:rsidR="00260B7C" w:rsidRPr="00060748" w:rsidRDefault="00260B7C" w:rsidP="00C270ED">
            <w:pPr>
              <w:rPr>
                <w:rFonts w:ascii="Corbel" w:hAnsi="Corbel"/>
                <w:sz w:val="24"/>
                <w:szCs w:val="24"/>
              </w:rPr>
            </w:pPr>
            <w:r>
              <w:rPr>
                <w:rFonts w:ascii="Corbel" w:hAnsi="Corbel"/>
                <w:sz w:val="24"/>
                <w:szCs w:val="24"/>
              </w:rPr>
              <w:t>Disability Employment Assistance: Australian Disability Enterprises</w:t>
            </w:r>
          </w:p>
        </w:tc>
        <w:tc>
          <w:tcPr>
            <w:tcW w:w="2201" w:type="dxa"/>
            <w:tcBorders>
              <w:top w:val="single" w:sz="6" w:space="0" w:color="auto"/>
              <w:bottom w:val="single" w:sz="6" w:space="0" w:color="auto"/>
            </w:tcBorders>
          </w:tcPr>
          <w:p w:rsidR="00260B7C" w:rsidRDefault="00260B7C" w:rsidP="000048EC">
            <w:pPr>
              <w:rPr>
                <w:rFonts w:ascii="Corbel" w:hAnsi="Corbel"/>
                <w:sz w:val="24"/>
                <w:szCs w:val="24"/>
              </w:rPr>
            </w:pPr>
            <w:r>
              <w:rPr>
                <w:rFonts w:ascii="Corbel" w:hAnsi="Corbel"/>
                <w:sz w:val="24"/>
                <w:szCs w:val="24"/>
              </w:rPr>
              <w:t>$1.1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0048EC">
            <w:pPr>
              <w:rPr>
                <w:rFonts w:ascii="Corbel" w:hAnsi="Corbel"/>
                <w:sz w:val="24"/>
                <w:szCs w:val="24"/>
              </w:rPr>
            </w:pPr>
            <w:r>
              <w:rPr>
                <w:rFonts w:ascii="Corbel" w:hAnsi="Corbel"/>
                <w:sz w:val="24"/>
                <w:szCs w:val="24"/>
              </w:rPr>
              <w:t>$2.9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0048EC">
            <w:pPr>
              <w:rPr>
                <w:rFonts w:ascii="Corbel" w:hAnsi="Corbel"/>
                <w:sz w:val="24"/>
                <w:szCs w:val="24"/>
              </w:rPr>
            </w:pPr>
            <w:r>
              <w:rPr>
                <w:rFonts w:ascii="Corbel" w:hAnsi="Corbel"/>
                <w:sz w:val="24"/>
                <w:szCs w:val="24"/>
              </w:rPr>
              <w:t>$5.6</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C270ED">
            <w:pPr>
              <w:rPr>
                <w:rFonts w:ascii="Corbel" w:hAnsi="Corbel"/>
                <w:sz w:val="24"/>
                <w:szCs w:val="24"/>
              </w:rPr>
            </w:pPr>
            <w:r>
              <w:rPr>
                <w:rFonts w:ascii="Corbel" w:hAnsi="Corbel"/>
                <w:sz w:val="24"/>
                <w:szCs w:val="24"/>
              </w:rPr>
              <w:t>Targeted Community Care: Mental Health Respite Carer Support</w:t>
            </w:r>
          </w:p>
        </w:tc>
        <w:tc>
          <w:tcPr>
            <w:tcW w:w="2201"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$0.5</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C270ED">
            <w:pPr>
              <w:rPr>
                <w:rFonts w:ascii="Corbel" w:hAnsi="Corbel"/>
                <w:sz w:val="24"/>
                <w:szCs w:val="24"/>
              </w:rPr>
            </w:pPr>
            <w:r>
              <w:rPr>
                <w:rFonts w:ascii="Corbel" w:hAnsi="Corbel"/>
                <w:sz w:val="24"/>
                <w:szCs w:val="24"/>
              </w:rPr>
              <w:t>Targeted Community Care: Personal Helpers and Mentors Program</w:t>
            </w:r>
          </w:p>
        </w:tc>
        <w:tc>
          <w:tcPr>
            <w:tcW w:w="2201"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$1.4</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$2.8</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C270ED">
            <w:pPr>
              <w:rPr>
                <w:rFonts w:ascii="Corbel" w:hAnsi="Corbel"/>
                <w:sz w:val="24"/>
                <w:szCs w:val="24"/>
              </w:rPr>
            </w:pPr>
            <w:r>
              <w:rPr>
                <w:rFonts w:ascii="Corbel" w:hAnsi="Corbel"/>
                <w:sz w:val="24"/>
                <w:szCs w:val="24"/>
              </w:rPr>
              <w:t>After School Aged Care for Teenagers with Disability</w:t>
            </w:r>
          </w:p>
        </w:tc>
        <w:tc>
          <w:tcPr>
            <w:tcW w:w="2201"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C270ED">
            <w:pPr>
              <w:rPr>
                <w:rFonts w:ascii="Corbel" w:hAnsi="Corbel"/>
                <w:sz w:val="24"/>
                <w:szCs w:val="24"/>
              </w:rPr>
            </w:pPr>
            <w:r>
              <w:rPr>
                <w:rFonts w:ascii="Corbel" w:hAnsi="Corbel"/>
                <w:sz w:val="24"/>
                <w:szCs w:val="24"/>
              </w:rPr>
              <w:t>Respite  Support for Carers of Young People with Severe or Profound Disability &amp; Young Carers Respite and Information Services</w:t>
            </w:r>
          </w:p>
        </w:tc>
        <w:tc>
          <w:tcPr>
            <w:tcW w:w="2201"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B925F9">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2E1656">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r>
      <w:tr w:rsidR="00FC678B" w:rsidRPr="001F0CA1" w:rsidTr="00BF599A">
        <w:trPr>
          <w:cantSplit/>
        </w:trPr>
        <w:tc>
          <w:tcPr>
            <w:tcW w:w="2807" w:type="dxa"/>
            <w:tcBorders>
              <w:top w:val="single" w:sz="6" w:space="0" w:color="auto"/>
              <w:bottom w:val="single" w:sz="6" w:space="0" w:color="auto"/>
            </w:tcBorders>
          </w:tcPr>
          <w:p w:rsidR="00FC678B" w:rsidRDefault="00FC678B" w:rsidP="00C270ED">
            <w:pPr>
              <w:rPr>
                <w:rFonts w:ascii="Corbel" w:hAnsi="Corbel"/>
                <w:sz w:val="24"/>
                <w:szCs w:val="24"/>
              </w:rPr>
            </w:pPr>
            <w:r>
              <w:rPr>
                <w:rFonts w:ascii="Corbel" w:hAnsi="Corbel"/>
                <w:sz w:val="24"/>
                <w:szCs w:val="24"/>
              </w:rPr>
              <w:t>Total</w:t>
            </w:r>
          </w:p>
        </w:tc>
        <w:tc>
          <w:tcPr>
            <w:tcW w:w="2201" w:type="dxa"/>
            <w:tcBorders>
              <w:top w:val="single" w:sz="6" w:space="0" w:color="auto"/>
              <w:bottom w:val="single" w:sz="6" w:space="0" w:color="auto"/>
            </w:tcBorders>
          </w:tcPr>
          <w:p w:rsidR="00FC678B" w:rsidRDefault="00FC678B" w:rsidP="000C5164">
            <w:pPr>
              <w:rPr>
                <w:rFonts w:ascii="Corbel" w:hAnsi="Corbel"/>
                <w:sz w:val="24"/>
                <w:szCs w:val="24"/>
              </w:rPr>
            </w:pPr>
            <w:r>
              <w:rPr>
                <w:rFonts w:ascii="Corbel" w:hAnsi="Corbel"/>
                <w:sz w:val="24"/>
                <w:szCs w:val="24"/>
              </w:rPr>
              <w:t>$1.</w:t>
            </w:r>
            <w:r w:rsidR="000C5164">
              <w:rPr>
                <w:rFonts w:ascii="Corbel" w:hAnsi="Corbel"/>
                <w:sz w:val="24"/>
                <w:szCs w:val="24"/>
              </w:rPr>
              <w:t>8</w:t>
            </w:r>
            <w:r>
              <w:rPr>
                <w:rFonts w:ascii="Corbel" w:hAnsi="Corbel"/>
                <w:sz w:val="24"/>
                <w:szCs w:val="24"/>
              </w:rPr>
              <w:t xml:space="preserve"> million</w:t>
            </w:r>
          </w:p>
        </w:tc>
        <w:tc>
          <w:tcPr>
            <w:tcW w:w="2201" w:type="dxa"/>
            <w:tcBorders>
              <w:top w:val="single" w:sz="6" w:space="0" w:color="auto"/>
              <w:bottom w:val="single" w:sz="6" w:space="0" w:color="auto"/>
            </w:tcBorders>
          </w:tcPr>
          <w:p w:rsidR="00FC678B" w:rsidRDefault="00FC678B" w:rsidP="00B925F9">
            <w:pPr>
              <w:rPr>
                <w:rFonts w:ascii="Corbel" w:hAnsi="Corbel"/>
                <w:sz w:val="24"/>
                <w:szCs w:val="24"/>
              </w:rPr>
            </w:pPr>
            <w:r>
              <w:rPr>
                <w:rFonts w:ascii="Corbel" w:hAnsi="Corbel"/>
                <w:sz w:val="24"/>
                <w:szCs w:val="24"/>
              </w:rPr>
              <w:t>$4.9 million</w:t>
            </w:r>
          </w:p>
        </w:tc>
        <w:tc>
          <w:tcPr>
            <w:tcW w:w="2202" w:type="dxa"/>
            <w:tcBorders>
              <w:top w:val="single" w:sz="6" w:space="0" w:color="auto"/>
              <w:bottom w:val="single" w:sz="6" w:space="0" w:color="auto"/>
            </w:tcBorders>
          </w:tcPr>
          <w:p w:rsidR="00FC678B" w:rsidRDefault="00FC678B" w:rsidP="002E1656">
            <w:pPr>
              <w:rPr>
                <w:rFonts w:ascii="Corbel" w:hAnsi="Corbel"/>
                <w:sz w:val="24"/>
                <w:szCs w:val="24"/>
              </w:rPr>
            </w:pPr>
            <w:r>
              <w:rPr>
                <w:rFonts w:ascii="Corbel" w:hAnsi="Corbel"/>
                <w:sz w:val="24"/>
                <w:szCs w:val="24"/>
              </w:rPr>
              <w:t>$9.5 million</w:t>
            </w:r>
          </w:p>
        </w:tc>
      </w:tr>
    </w:tbl>
    <w:p w:rsidR="00260B7C" w:rsidRDefault="00260B7C" w:rsidP="00413D15">
      <w:pPr>
        <w:ind w:left="720"/>
        <w:rPr>
          <w:rFonts w:ascii="Corbel" w:hAnsi="Corbel"/>
          <w:sz w:val="24"/>
          <w:szCs w:val="24"/>
        </w:rPr>
      </w:pPr>
    </w:p>
    <w:p w:rsidR="00260B7C" w:rsidRDefault="00260B7C" w:rsidP="00413D15">
      <w:pPr>
        <w:numPr>
          <w:ilvl w:val="0"/>
          <w:numId w:val="9"/>
        </w:numPr>
        <w:rPr>
          <w:rFonts w:ascii="Corbel" w:hAnsi="Corbel"/>
          <w:sz w:val="24"/>
          <w:szCs w:val="24"/>
        </w:rPr>
      </w:pPr>
      <w:r>
        <w:rPr>
          <w:rFonts w:ascii="Corbel" w:hAnsi="Corbel"/>
          <w:sz w:val="24"/>
          <w:szCs w:val="24"/>
        </w:rPr>
        <w:t>The following Commonwealth disability services/programs set out in Table 3 will remain as in-kind subject to transition strategies, developed by the Commonwealth in consultation with the Agency.</w:t>
      </w:r>
    </w:p>
    <w:p w:rsidR="00260B7C" w:rsidRPr="00E35EBE" w:rsidRDefault="00260B7C" w:rsidP="00B8358C">
      <w:pPr>
        <w:keepNext/>
        <w:ind w:left="360"/>
        <w:rPr>
          <w:rFonts w:ascii="Corbel" w:hAnsi="Corbel"/>
          <w:b/>
          <w:sz w:val="24"/>
          <w:szCs w:val="24"/>
        </w:rPr>
      </w:pPr>
      <w:r w:rsidRPr="00E35EBE">
        <w:rPr>
          <w:rFonts w:ascii="Corbel" w:hAnsi="Corbel"/>
          <w:b/>
          <w:sz w:val="24"/>
          <w:szCs w:val="24"/>
        </w:rPr>
        <w:lastRenderedPageBreak/>
        <w:t>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260B7C" w:rsidRPr="001F0CA1" w:rsidTr="00BF599A">
        <w:trPr>
          <w:cantSplit/>
          <w:tblHeader/>
        </w:trPr>
        <w:tc>
          <w:tcPr>
            <w:tcW w:w="2807" w:type="dxa"/>
            <w:tcBorders>
              <w:top w:val="single" w:sz="6" w:space="0" w:color="auto"/>
              <w:bottom w:val="single" w:sz="6" w:space="0" w:color="auto"/>
            </w:tcBorders>
          </w:tcPr>
          <w:p w:rsidR="00260B7C" w:rsidRPr="002D4F50" w:rsidRDefault="00260B7C" w:rsidP="00B8358C">
            <w:pPr>
              <w:keepNext/>
              <w:rPr>
                <w:rFonts w:ascii="Corbel" w:hAnsi="Corbel"/>
                <w:b/>
                <w:sz w:val="24"/>
                <w:szCs w:val="24"/>
              </w:rPr>
            </w:pPr>
          </w:p>
        </w:tc>
        <w:tc>
          <w:tcPr>
            <w:tcW w:w="2201" w:type="dxa"/>
            <w:tcBorders>
              <w:top w:val="single" w:sz="6" w:space="0" w:color="auto"/>
              <w:bottom w:val="single" w:sz="6" w:space="0" w:color="auto"/>
            </w:tcBorders>
          </w:tcPr>
          <w:p w:rsidR="00260B7C" w:rsidRPr="001F0CA1" w:rsidRDefault="00260B7C" w:rsidP="00B8358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260B7C" w:rsidRPr="001F0CA1" w:rsidRDefault="00260B7C" w:rsidP="00B8358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260B7C" w:rsidRPr="001F0CA1" w:rsidRDefault="00260B7C" w:rsidP="00B8358C">
            <w:pPr>
              <w:keepNext/>
              <w:rPr>
                <w:rFonts w:ascii="Corbel" w:hAnsi="Corbel"/>
                <w:sz w:val="24"/>
                <w:szCs w:val="24"/>
              </w:rPr>
            </w:pPr>
            <w:r w:rsidRPr="001F0CA1">
              <w:rPr>
                <w:rFonts w:ascii="Corbel" w:hAnsi="Corbel"/>
                <w:sz w:val="24"/>
                <w:szCs w:val="24"/>
              </w:rPr>
              <w:t>2015-16</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B8358C">
            <w:pPr>
              <w:keepNext/>
              <w:rPr>
                <w:rFonts w:ascii="Corbel" w:hAnsi="Corbel"/>
                <w:sz w:val="24"/>
                <w:szCs w:val="24"/>
              </w:rPr>
            </w:pPr>
            <w:r>
              <w:rPr>
                <w:rFonts w:ascii="Corbel" w:hAnsi="Corbel"/>
                <w:sz w:val="24"/>
                <w:szCs w:val="24"/>
              </w:rPr>
              <w:t>Partners in Recovery: Coordinated Support and Flexible Funding for people with severe and persistent mental illness</w:t>
            </w:r>
          </w:p>
        </w:tc>
        <w:tc>
          <w:tcPr>
            <w:tcW w:w="2201" w:type="dxa"/>
            <w:tcBorders>
              <w:top w:val="single" w:sz="6" w:space="0" w:color="auto"/>
              <w:bottom w:val="single" w:sz="6" w:space="0" w:color="auto"/>
            </w:tcBorders>
          </w:tcPr>
          <w:p w:rsidR="00260B7C" w:rsidRDefault="00260B7C" w:rsidP="00B8358C">
            <w:pPr>
              <w:keepNext/>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B8358C">
            <w:pPr>
              <w:keepNext/>
              <w:rPr>
                <w:rFonts w:ascii="Corbel" w:hAnsi="Corbel"/>
                <w:sz w:val="24"/>
                <w:szCs w:val="24"/>
              </w:rPr>
            </w:pPr>
            <w:r>
              <w:rPr>
                <w:rFonts w:ascii="Corbel" w:hAnsi="Corbel"/>
                <w:sz w:val="24"/>
                <w:szCs w:val="24"/>
              </w:rPr>
              <w:t>$1.4</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B8358C">
            <w:pPr>
              <w:keepNext/>
              <w:rPr>
                <w:rFonts w:ascii="Corbel" w:hAnsi="Corbel"/>
                <w:sz w:val="24"/>
                <w:szCs w:val="24"/>
              </w:rPr>
            </w:pPr>
            <w:r>
              <w:rPr>
                <w:rFonts w:ascii="Corbel" w:hAnsi="Corbel"/>
                <w:sz w:val="24"/>
                <w:szCs w:val="24"/>
              </w:rPr>
              <w:t>$1.9</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Improved Support for people with younger onset dementia</w:t>
            </w:r>
          </w:p>
        </w:tc>
        <w:tc>
          <w:tcPr>
            <w:tcW w:w="2201"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w:t>
            </w:r>
          </w:p>
        </w:tc>
        <w:tc>
          <w:tcPr>
            <w:tcW w:w="2201"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260B7C" w:rsidRDefault="00260B7C" w:rsidP="00391AC7">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r>
      <w:tr w:rsidR="00260B7C" w:rsidRPr="001F0CA1" w:rsidTr="00BF599A">
        <w:trPr>
          <w:cantSplit/>
        </w:trPr>
        <w:tc>
          <w:tcPr>
            <w:tcW w:w="2807"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Hearing Services Program &amp; National Auslan Booking Service</w:t>
            </w:r>
          </w:p>
        </w:tc>
        <w:tc>
          <w:tcPr>
            <w:tcW w:w="2201" w:type="dxa"/>
            <w:tcBorders>
              <w:top w:val="single" w:sz="6" w:space="0" w:color="auto"/>
              <w:bottom w:val="single" w:sz="6" w:space="0" w:color="auto"/>
            </w:tcBorders>
          </w:tcPr>
          <w:p w:rsidR="00260B7C" w:rsidRDefault="00260B7C" w:rsidP="00391AC7">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391AC7">
            <w:pPr>
              <w:rPr>
                <w:rFonts w:ascii="Corbel" w:hAnsi="Corbel"/>
                <w:sz w:val="24"/>
                <w:szCs w:val="24"/>
              </w:rPr>
            </w:pPr>
            <w:r>
              <w:rPr>
                <w:rFonts w:ascii="Corbel" w:hAnsi="Corbel"/>
                <w:sz w:val="24"/>
                <w:szCs w:val="24"/>
              </w:rPr>
              <w:t>$0.7</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B925F9">
            <w:pPr>
              <w:rPr>
                <w:rFonts w:ascii="Corbel" w:hAnsi="Corbel"/>
                <w:sz w:val="24"/>
                <w:szCs w:val="24"/>
              </w:rPr>
            </w:pPr>
            <w:r>
              <w:rPr>
                <w:rFonts w:ascii="Corbel" w:hAnsi="Corbel"/>
                <w:sz w:val="24"/>
                <w:szCs w:val="24"/>
              </w:rPr>
              <w:t>$1.3</w:t>
            </w:r>
            <w:r w:rsidRPr="001F0CA1">
              <w:rPr>
                <w:rFonts w:ascii="Corbel" w:hAnsi="Corbel"/>
                <w:sz w:val="24"/>
                <w:szCs w:val="24"/>
              </w:rPr>
              <w:t xml:space="preserve"> million</w:t>
            </w:r>
          </w:p>
        </w:tc>
      </w:tr>
      <w:tr w:rsidR="00260B7C" w:rsidRPr="001F0CA1" w:rsidTr="00B02FB1">
        <w:trPr>
          <w:cantSplit/>
        </w:trPr>
        <w:tc>
          <w:tcPr>
            <w:tcW w:w="2807" w:type="dxa"/>
            <w:tcBorders>
              <w:top w:val="single" w:sz="6" w:space="0" w:color="auto"/>
              <w:bottom w:val="single" w:sz="6" w:space="0" w:color="auto"/>
            </w:tcBorders>
          </w:tcPr>
          <w:p w:rsidR="00260B7C" w:rsidRDefault="00260B7C" w:rsidP="0053039A">
            <w:pPr>
              <w:rPr>
                <w:rFonts w:ascii="Corbel" w:hAnsi="Corbel"/>
                <w:sz w:val="24"/>
                <w:szCs w:val="24"/>
              </w:rPr>
            </w:pPr>
            <w:r>
              <w:rPr>
                <w:rFonts w:ascii="Corbel" w:hAnsi="Corbel"/>
                <w:sz w:val="24"/>
                <w:szCs w:val="24"/>
              </w:rPr>
              <w:t>Support for Day to Day Living in the Community: A structured activity program</w:t>
            </w:r>
          </w:p>
        </w:tc>
        <w:tc>
          <w:tcPr>
            <w:tcW w:w="2201" w:type="dxa"/>
            <w:tcBorders>
              <w:top w:val="single" w:sz="6" w:space="0" w:color="auto"/>
              <w:bottom w:val="single" w:sz="6" w:space="0" w:color="auto"/>
            </w:tcBorders>
          </w:tcPr>
          <w:p w:rsidR="00260B7C" w:rsidRDefault="00260B7C" w:rsidP="0053039A">
            <w:pPr>
              <w:rPr>
                <w:rFonts w:ascii="Corbel" w:hAnsi="Corbel"/>
                <w:sz w:val="24"/>
                <w:szCs w:val="24"/>
              </w:rPr>
            </w:pPr>
            <w:r>
              <w:rPr>
                <w:rFonts w:ascii="Corbel" w:hAnsi="Corbel"/>
                <w:sz w:val="24"/>
                <w:szCs w:val="24"/>
              </w:rPr>
              <w:t>..</w:t>
            </w:r>
          </w:p>
        </w:tc>
        <w:tc>
          <w:tcPr>
            <w:tcW w:w="2201" w:type="dxa"/>
            <w:tcBorders>
              <w:top w:val="single" w:sz="6" w:space="0" w:color="auto"/>
              <w:bottom w:val="single" w:sz="6" w:space="0" w:color="auto"/>
            </w:tcBorders>
          </w:tcPr>
          <w:p w:rsidR="00260B7C" w:rsidRDefault="00260B7C" w:rsidP="0053039A">
            <w:pPr>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260B7C" w:rsidRDefault="00260B7C" w:rsidP="0053039A">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r>
      <w:tr w:rsidR="00FC678B" w:rsidRPr="001F0CA1" w:rsidTr="00B02FB1">
        <w:trPr>
          <w:cantSplit/>
        </w:trPr>
        <w:tc>
          <w:tcPr>
            <w:tcW w:w="2807" w:type="dxa"/>
            <w:tcBorders>
              <w:top w:val="single" w:sz="6" w:space="0" w:color="auto"/>
              <w:bottom w:val="single" w:sz="6" w:space="0" w:color="auto"/>
            </w:tcBorders>
          </w:tcPr>
          <w:p w:rsidR="00FC678B" w:rsidRDefault="00FC678B" w:rsidP="0053039A">
            <w:pPr>
              <w:rPr>
                <w:rFonts w:ascii="Corbel" w:hAnsi="Corbel"/>
                <w:sz w:val="24"/>
                <w:szCs w:val="24"/>
              </w:rPr>
            </w:pPr>
            <w:r>
              <w:rPr>
                <w:rFonts w:ascii="Corbel" w:hAnsi="Corbel"/>
                <w:sz w:val="24"/>
                <w:szCs w:val="24"/>
              </w:rPr>
              <w:t>Total</w:t>
            </w:r>
          </w:p>
        </w:tc>
        <w:tc>
          <w:tcPr>
            <w:tcW w:w="2201" w:type="dxa"/>
            <w:tcBorders>
              <w:top w:val="single" w:sz="6" w:space="0" w:color="auto"/>
              <w:bottom w:val="single" w:sz="6" w:space="0" w:color="auto"/>
            </w:tcBorders>
          </w:tcPr>
          <w:p w:rsidR="00FC678B" w:rsidRDefault="00FC678B" w:rsidP="0053039A">
            <w:pPr>
              <w:rPr>
                <w:rFonts w:ascii="Corbel" w:hAnsi="Corbel"/>
                <w:sz w:val="24"/>
                <w:szCs w:val="24"/>
              </w:rPr>
            </w:pPr>
            <w:r>
              <w:rPr>
                <w:rFonts w:ascii="Corbel" w:hAnsi="Corbel"/>
                <w:sz w:val="24"/>
                <w:szCs w:val="24"/>
              </w:rPr>
              <w:t>$0.5 million</w:t>
            </w:r>
          </w:p>
        </w:tc>
        <w:tc>
          <w:tcPr>
            <w:tcW w:w="2201" w:type="dxa"/>
            <w:tcBorders>
              <w:top w:val="single" w:sz="6" w:space="0" w:color="auto"/>
              <w:bottom w:val="single" w:sz="6" w:space="0" w:color="auto"/>
            </w:tcBorders>
          </w:tcPr>
          <w:p w:rsidR="00FC678B" w:rsidRDefault="00FC678B" w:rsidP="0053039A">
            <w:pPr>
              <w:rPr>
                <w:rFonts w:ascii="Corbel" w:hAnsi="Corbel"/>
                <w:sz w:val="24"/>
                <w:szCs w:val="24"/>
              </w:rPr>
            </w:pPr>
            <w:r>
              <w:rPr>
                <w:rFonts w:ascii="Corbel" w:hAnsi="Corbel"/>
                <w:sz w:val="24"/>
                <w:szCs w:val="24"/>
              </w:rPr>
              <w:t>$2.1 million</w:t>
            </w:r>
          </w:p>
        </w:tc>
        <w:tc>
          <w:tcPr>
            <w:tcW w:w="2202" w:type="dxa"/>
            <w:tcBorders>
              <w:top w:val="single" w:sz="6" w:space="0" w:color="auto"/>
              <w:bottom w:val="single" w:sz="6" w:space="0" w:color="auto"/>
            </w:tcBorders>
          </w:tcPr>
          <w:p w:rsidR="00FC678B" w:rsidRDefault="00FC678B" w:rsidP="000C5164">
            <w:pPr>
              <w:rPr>
                <w:rFonts w:ascii="Corbel" w:hAnsi="Corbel"/>
                <w:sz w:val="24"/>
                <w:szCs w:val="24"/>
              </w:rPr>
            </w:pPr>
            <w:r>
              <w:rPr>
                <w:rFonts w:ascii="Corbel" w:hAnsi="Corbel"/>
                <w:sz w:val="24"/>
                <w:szCs w:val="24"/>
              </w:rPr>
              <w:t>$3.</w:t>
            </w:r>
            <w:r w:rsidR="000C5164">
              <w:rPr>
                <w:rFonts w:ascii="Corbel" w:hAnsi="Corbel"/>
                <w:sz w:val="24"/>
                <w:szCs w:val="24"/>
              </w:rPr>
              <w:t>3</w:t>
            </w:r>
            <w:r>
              <w:rPr>
                <w:rFonts w:ascii="Corbel" w:hAnsi="Corbel"/>
                <w:sz w:val="24"/>
                <w:szCs w:val="24"/>
              </w:rPr>
              <w:t xml:space="preserve"> million</w:t>
            </w:r>
          </w:p>
        </w:tc>
      </w:tr>
    </w:tbl>
    <w:p w:rsidR="00260B7C" w:rsidRDefault="00260B7C" w:rsidP="00B8358C">
      <w:pPr>
        <w:rPr>
          <w:rFonts w:ascii="Corbel" w:hAnsi="Corbel"/>
          <w:sz w:val="24"/>
          <w:szCs w:val="24"/>
        </w:rPr>
      </w:pPr>
      <w:r w:rsidRPr="00404213">
        <w:rPr>
          <w:rFonts w:ascii="Corbel" w:hAnsi="Corbel"/>
          <w:sz w:val="20"/>
          <w:szCs w:val="24"/>
        </w:rPr>
        <w:t>‘.. ‘ represents an amount of less than $50,000.</w:t>
      </w:r>
    </w:p>
    <w:p w:rsidR="00260B7C" w:rsidRDefault="00260B7C" w:rsidP="00413D15">
      <w:pPr>
        <w:numPr>
          <w:ilvl w:val="0"/>
          <w:numId w:val="9"/>
        </w:numPr>
        <w:rPr>
          <w:rFonts w:ascii="Corbel" w:hAnsi="Corbel"/>
          <w:sz w:val="24"/>
          <w:szCs w:val="24"/>
        </w:rPr>
      </w:pPr>
      <w:r>
        <w:rPr>
          <w:rFonts w:ascii="Corbel" w:hAnsi="Corbel"/>
          <w:sz w:val="24"/>
          <w:szCs w:val="24"/>
        </w:rPr>
        <w:t>The updated Commonwealth share of funding for NDIS funded supports (updated from Table 3, Appendix A) that is estimated to be provided in cash and through direct provision of services is shown in Table 4.</w:t>
      </w:r>
    </w:p>
    <w:p w:rsidR="00260B7C" w:rsidRPr="00E35EBE" w:rsidRDefault="00260B7C" w:rsidP="00E35EBE">
      <w:pPr>
        <w:ind w:left="360"/>
        <w:rPr>
          <w:rFonts w:ascii="Corbel" w:hAnsi="Corbel"/>
          <w:b/>
          <w:sz w:val="24"/>
          <w:szCs w:val="24"/>
        </w:rPr>
      </w:pPr>
      <w:r w:rsidRPr="00E35EBE">
        <w:rPr>
          <w:rFonts w:ascii="Corbel" w:hAnsi="Corbel"/>
          <w:b/>
          <w:sz w:val="24"/>
          <w:szCs w:val="24"/>
        </w:rPr>
        <w:t>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260B7C" w:rsidRPr="001F0CA1" w:rsidTr="00BF599A">
        <w:trPr>
          <w:cantSplit/>
          <w:tblHeader/>
        </w:trPr>
        <w:tc>
          <w:tcPr>
            <w:tcW w:w="2807" w:type="dxa"/>
            <w:tcBorders>
              <w:top w:val="single" w:sz="6" w:space="0" w:color="auto"/>
              <w:bottom w:val="single" w:sz="6" w:space="0" w:color="auto"/>
            </w:tcBorders>
          </w:tcPr>
          <w:p w:rsidR="00260B7C" w:rsidRPr="002D4F50" w:rsidRDefault="00260B7C" w:rsidP="00BF599A">
            <w:pPr>
              <w:rPr>
                <w:rFonts w:ascii="Corbel" w:hAnsi="Corbel"/>
                <w:b/>
                <w:sz w:val="24"/>
                <w:szCs w:val="24"/>
              </w:rPr>
            </w:pPr>
          </w:p>
        </w:tc>
        <w:tc>
          <w:tcPr>
            <w:tcW w:w="2201" w:type="dxa"/>
            <w:tcBorders>
              <w:top w:val="single" w:sz="6" w:space="0" w:color="auto"/>
              <w:bottom w:val="single" w:sz="6" w:space="0" w:color="auto"/>
            </w:tcBorders>
          </w:tcPr>
          <w:p w:rsidR="00260B7C" w:rsidRPr="001F0CA1" w:rsidRDefault="00260B7C" w:rsidP="00BF599A">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260B7C" w:rsidRPr="001F0CA1" w:rsidRDefault="00260B7C" w:rsidP="00BF599A">
            <w:pPr>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260B7C" w:rsidRPr="001F0CA1" w:rsidRDefault="00260B7C" w:rsidP="00BF599A">
            <w:pPr>
              <w:rPr>
                <w:rFonts w:ascii="Corbel" w:hAnsi="Corbel"/>
                <w:sz w:val="24"/>
                <w:szCs w:val="24"/>
              </w:rPr>
            </w:pPr>
            <w:r w:rsidRPr="001F0CA1">
              <w:rPr>
                <w:rFonts w:ascii="Corbel" w:hAnsi="Corbel"/>
                <w:sz w:val="24"/>
                <w:szCs w:val="24"/>
              </w:rPr>
              <w:t>2015-16</w:t>
            </w:r>
          </w:p>
        </w:tc>
      </w:tr>
      <w:tr w:rsidR="00260B7C" w:rsidRPr="001F0CA1" w:rsidTr="00BF599A">
        <w:trPr>
          <w:cantSplit/>
        </w:trPr>
        <w:tc>
          <w:tcPr>
            <w:tcW w:w="2807" w:type="dxa"/>
            <w:tcBorders>
              <w:top w:val="single" w:sz="6" w:space="0" w:color="auto"/>
              <w:bottom w:val="single" w:sz="6" w:space="0" w:color="auto"/>
            </w:tcBorders>
          </w:tcPr>
          <w:p w:rsidR="00260B7C" w:rsidRPr="00D50B7F" w:rsidRDefault="00260B7C" w:rsidP="00BF599A">
            <w:pPr>
              <w:rPr>
                <w:rFonts w:ascii="Corbel" w:hAnsi="Corbel"/>
                <w:sz w:val="24"/>
                <w:szCs w:val="24"/>
              </w:rPr>
            </w:pPr>
            <w:r>
              <w:rPr>
                <w:rFonts w:ascii="Corbel" w:hAnsi="Corbel"/>
                <w:sz w:val="24"/>
                <w:szCs w:val="24"/>
              </w:rPr>
              <w:t>Commonwealth cash contribution to the NDIS</w:t>
            </w:r>
          </w:p>
        </w:tc>
        <w:tc>
          <w:tcPr>
            <w:tcW w:w="2201" w:type="dxa"/>
            <w:tcBorders>
              <w:top w:val="single" w:sz="6" w:space="0" w:color="auto"/>
              <w:bottom w:val="single" w:sz="6" w:space="0" w:color="auto"/>
            </w:tcBorders>
          </w:tcPr>
          <w:p w:rsidR="00260B7C" w:rsidRPr="001F0CA1" w:rsidRDefault="00260B7C" w:rsidP="00B925F9">
            <w:pPr>
              <w:rPr>
                <w:rFonts w:ascii="Corbel" w:hAnsi="Corbel"/>
                <w:sz w:val="24"/>
                <w:szCs w:val="24"/>
              </w:rPr>
            </w:pPr>
            <w:r>
              <w:rPr>
                <w:rFonts w:ascii="Corbel" w:hAnsi="Corbel"/>
                <w:sz w:val="24"/>
                <w:szCs w:val="24"/>
              </w:rPr>
              <w:t>$13.5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Pr="001F0CA1" w:rsidRDefault="00260B7C" w:rsidP="00B925F9">
            <w:pPr>
              <w:rPr>
                <w:rFonts w:ascii="Corbel" w:hAnsi="Corbel"/>
                <w:sz w:val="24"/>
                <w:szCs w:val="24"/>
              </w:rPr>
            </w:pPr>
            <w:r>
              <w:rPr>
                <w:rFonts w:ascii="Corbel" w:hAnsi="Corbel"/>
                <w:sz w:val="24"/>
                <w:szCs w:val="24"/>
              </w:rPr>
              <w:t>$37.2</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Pr="001F0CA1" w:rsidRDefault="00260B7C" w:rsidP="00B925F9">
            <w:pPr>
              <w:rPr>
                <w:rFonts w:ascii="Corbel" w:hAnsi="Corbel"/>
                <w:sz w:val="24"/>
                <w:szCs w:val="24"/>
              </w:rPr>
            </w:pPr>
            <w:r>
              <w:rPr>
                <w:rFonts w:ascii="Corbel" w:hAnsi="Corbel"/>
                <w:sz w:val="24"/>
                <w:szCs w:val="24"/>
              </w:rPr>
              <w:t>$83.3</w:t>
            </w:r>
            <w:r w:rsidRPr="001F0CA1">
              <w:rPr>
                <w:rFonts w:ascii="Corbel" w:hAnsi="Corbel"/>
                <w:sz w:val="24"/>
                <w:szCs w:val="24"/>
              </w:rPr>
              <w:t xml:space="preserve"> million</w:t>
            </w:r>
          </w:p>
        </w:tc>
      </w:tr>
      <w:tr w:rsidR="00260B7C" w:rsidTr="00BF599A">
        <w:trPr>
          <w:cantSplit/>
        </w:trPr>
        <w:tc>
          <w:tcPr>
            <w:tcW w:w="2807" w:type="dxa"/>
            <w:tcBorders>
              <w:top w:val="single" w:sz="6" w:space="0" w:color="auto"/>
              <w:bottom w:val="single" w:sz="6" w:space="0" w:color="auto"/>
            </w:tcBorders>
          </w:tcPr>
          <w:p w:rsidR="00260B7C" w:rsidRPr="00060748" w:rsidRDefault="00260B7C" w:rsidP="00BF599A">
            <w:pPr>
              <w:rPr>
                <w:rFonts w:ascii="Corbel" w:hAnsi="Corbel"/>
                <w:sz w:val="24"/>
                <w:szCs w:val="24"/>
              </w:rPr>
            </w:pPr>
            <w:r>
              <w:rPr>
                <w:rFonts w:ascii="Corbel" w:hAnsi="Corbel"/>
                <w:sz w:val="24"/>
                <w:szCs w:val="24"/>
              </w:rPr>
              <w:t>Commonwealth in-kind contribution to the NDIS</w:t>
            </w:r>
          </w:p>
        </w:tc>
        <w:tc>
          <w:tcPr>
            <w:tcW w:w="2201" w:type="dxa"/>
            <w:tcBorders>
              <w:top w:val="single" w:sz="6" w:space="0" w:color="auto"/>
              <w:bottom w:val="single" w:sz="6" w:space="0" w:color="auto"/>
            </w:tcBorders>
          </w:tcPr>
          <w:p w:rsidR="00260B7C" w:rsidRDefault="00260B7C" w:rsidP="00B925F9">
            <w:pPr>
              <w:rPr>
                <w:rFonts w:ascii="Corbel" w:hAnsi="Corbel"/>
                <w:sz w:val="24"/>
                <w:szCs w:val="24"/>
              </w:rPr>
            </w:pPr>
            <w:r>
              <w:rPr>
                <w:rFonts w:ascii="Corbel" w:hAnsi="Corbel"/>
                <w:sz w:val="24"/>
                <w:szCs w:val="24"/>
              </w:rPr>
              <w:t>$2.3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B925F9">
            <w:pPr>
              <w:rPr>
                <w:rFonts w:ascii="Corbel" w:hAnsi="Corbel"/>
                <w:sz w:val="24"/>
                <w:szCs w:val="24"/>
              </w:rPr>
            </w:pPr>
            <w:r>
              <w:rPr>
                <w:rFonts w:ascii="Corbel" w:hAnsi="Corbel"/>
                <w:sz w:val="24"/>
                <w:szCs w:val="24"/>
              </w:rPr>
              <w:t>$6.8</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B925F9">
            <w:pPr>
              <w:rPr>
                <w:rFonts w:ascii="Corbel" w:hAnsi="Corbel"/>
                <w:sz w:val="24"/>
                <w:szCs w:val="24"/>
              </w:rPr>
            </w:pPr>
            <w:r>
              <w:rPr>
                <w:rFonts w:ascii="Corbel" w:hAnsi="Corbel"/>
                <w:sz w:val="24"/>
                <w:szCs w:val="24"/>
              </w:rPr>
              <w:t>$3.3</w:t>
            </w:r>
            <w:r w:rsidRPr="001F0CA1">
              <w:rPr>
                <w:rFonts w:ascii="Corbel" w:hAnsi="Corbel"/>
                <w:sz w:val="24"/>
                <w:szCs w:val="24"/>
              </w:rPr>
              <w:t xml:space="preserve"> million</w:t>
            </w:r>
          </w:p>
        </w:tc>
      </w:tr>
      <w:tr w:rsidR="00260B7C" w:rsidTr="00BF599A">
        <w:trPr>
          <w:cantSplit/>
        </w:trPr>
        <w:tc>
          <w:tcPr>
            <w:tcW w:w="2807" w:type="dxa"/>
            <w:tcBorders>
              <w:top w:val="single" w:sz="6" w:space="0" w:color="auto"/>
              <w:bottom w:val="single" w:sz="6" w:space="0" w:color="auto"/>
            </w:tcBorders>
          </w:tcPr>
          <w:p w:rsidR="00260B7C" w:rsidRDefault="00260B7C" w:rsidP="00DD0354">
            <w:pPr>
              <w:rPr>
                <w:rFonts w:ascii="Corbel" w:hAnsi="Corbel"/>
                <w:sz w:val="24"/>
                <w:szCs w:val="24"/>
              </w:rPr>
            </w:pPr>
            <w:r w:rsidRPr="00717578">
              <w:rPr>
                <w:rFonts w:ascii="Corbel" w:hAnsi="Corbel"/>
                <w:sz w:val="24"/>
                <w:szCs w:val="24"/>
              </w:rPr>
              <w:t>Repayment of Commonwealth grants</w:t>
            </w:r>
            <w:r w:rsidR="00C45E7C" w:rsidRPr="00C45E7C">
              <w:rPr>
                <w:rFonts w:ascii="Corbel" w:hAnsi="Corbel"/>
                <w:sz w:val="24"/>
                <w:szCs w:val="24"/>
                <w:vertAlign w:val="superscript"/>
              </w:rPr>
              <w:t>*</w:t>
            </w:r>
          </w:p>
        </w:tc>
        <w:tc>
          <w:tcPr>
            <w:tcW w:w="2201" w:type="dxa"/>
            <w:tcBorders>
              <w:top w:val="single" w:sz="6" w:space="0" w:color="auto"/>
              <w:bottom w:val="single" w:sz="6" w:space="0" w:color="auto"/>
            </w:tcBorders>
          </w:tcPr>
          <w:p w:rsidR="00260B7C" w:rsidRDefault="00260B7C" w:rsidP="00CD0BDF">
            <w:pPr>
              <w:rPr>
                <w:rFonts w:ascii="Corbel" w:hAnsi="Corbel"/>
                <w:sz w:val="24"/>
                <w:szCs w:val="24"/>
              </w:rPr>
            </w:pPr>
            <w:r>
              <w:rPr>
                <w:rFonts w:ascii="Corbel" w:hAnsi="Corbel"/>
                <w:sz w:val="24"/>
                <w:szCs w:val="24"/>
              </w:rPr>
              <w:t>$</w:t>
            </w:r>
            <w:r w:rsidR="000C5164">
              <w:rPr>
                <w:rFonts w:ascii="Corbel" w:hAnsi="Corbel"/>
                <w:sz w:val="24"/>
                <w:szCs w:val="24"/>
              </w:rPr>
              <w:t>5.5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0C5164">
            <w:pPr>
              <w:rPr>
                <w:rFonts w:ascii="Corbel" w:hAnsi="Corbel"/>
                <w:sz w:val="24"/>
                <w:szCs w:val="24"/>
              </w:rPr>
            </w:pPr>
            <w:r>
              <w:rPr>
                <w:rFonts w:ascii="Corbel" w:hAnsi="Corbel"/>
                <w:sz w:val="24"/>
                <w:szCs w:val="24"/>
              </w:rPr>
              <w:t>$</w:t>
            </w:r>
            <w:r w:rsidR="000C5164">
              <w:rPr>
                <w:rFonts w:ascii="Corbel" w:hAnsi="Corbel"/>
                <w:sz w:val="24"/>
                <w:szCs w:val="24"/>
              </w:rPr>
              <w:t>15.9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0C5164">
            <w:pPr>
              <w:rPr>
                <w:rFonts w:ascii="Corbel" w:hAnsi="Corbel"/>
                <w:sz w:val="24"/>
                <w:szCs w:val="24"/>
              </w:rPr>
            </w:pPr>
            <w:r>
              <w:rPr>
                <w:rFonts w:ascii="Corbel" w:hAnsi="Corbel"/>
                <w:sz w:val="24"/>
                <w:szCs w:val="24"/>
              </w:rPr>
              <w:t>$</w:t>
            </w:r>
            <w:r w:rsidR="000C5164">
              <w:rPr>
                <w:rFonts w:ascii="Corbel" w:hAnsi="Corbel"/>
                <w:sz w:val="24"/>
                <w:szCs w:val="24"/>
              </w:rPr>
              <w:t>32.2</w:t>
            </w:r>
            <w:r w:rsidRPr="001F0CA1">
              <w:rPr>
                <w:rFonts w:ascii="Corbel" w:hAnsi="Corbel"/>
                <w:sz w:val="24"/>
                <w:szCs w:val="24"/>
              </w:rPr>
              <w:t xml:space="preserve"> million</w:t>
            </w:r>
          </w:p>
        </w:tc>
      </w:tr>
      <w:tr w:rsidR="00260B7C" w:rsidTr="00BF599A">
        <w:trPr>
          <w:cantSplit/>
        </w:trPr>
        <w:tc>
          <w:tcPr>
            <w:tcW w:w="2807" w:type="dxa"/>
            <w:tcBorders>
              <w:top w:val="single" w:sz="6" w:space="0" w:color="auto"/>
              <w:bottom w:val="single" w:sz="6" w:space="0" w:color="auto"/>
            </w:tcBorders>
          </w:tcPr>
          <w:p w:rsidR="00260B7C" w:rsidRDefault="00260B7C" w:rsidP="00BF599A">
            <w:pPr>
              <w:rPr>
                <w:rFonts w:ascii="Corbel" w:hAnsi="Corbel"/>
                <w:sz w:val="24"/>
                <w:szCs w:val="24"/>
              </w:rPr>
            </w:pPr>
            <w:r>
              <w:rPr>
                <w:rFonts w:ascii="Corbel" w:hAnsi="Corbel"/>
                <w:sz w:val="24"/>
                <w:szCs w:val="24"/>
              </w:rPr>
              <w:t>TOTAL</w:t>
            </w:r>
          </w:p>
        </w:tc>
        <w:tc>
          <w:tcPr>
            <w:tcW w:w="2201" w:type="dxa"/>
            <w:tcBorders>
              <w:top w:val="single" w:sz="6" w:space="0" w:color="auto"/>
              <w:bottom w:val="single" w:sz="6" w:space="0" w:color="auto"/>
            </w:tcBorders>
          </w:tcPr>
          <w:p w:rsidR="00260B7C" w:rsidRDefault="00260B7C" w:rsidP="000C5164">
            <w:pPr>
              <w:rPr>
                <w:rFonts w:ascii="Corbel" w:hAnsi="Corbel"/>
                <w:sz w:val="24"/>
                <w:szCs w:val="24"/>
              </w:rPr>
            </w:pPr>
            <w:r>
              <w:rPr>
                <w:rFonts w:ascii="Corbel" w:hAnsi="Corbel"/>
                <w:sz w:val="24"/>
                <w:szCs w:val="24"/>
              </w:rPr>
              <w:t>$</w:t>
            </w:r>
            <w:r w:rsidR="000C5164">
              <w:rPr>
                <w:rFonts w:ascii="Corbel" w:hAnsi="Corbel"/>
                <w:sz w:val="24"/>
                <w:szCs w:val="24"/>
              </w:rPr>
              <w:t>21.3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260B7C" w:rsidRDefault="00260B7C" w:rsidP="000C5164">
            <w:pPr>
              <w:rPr>
                <w:rFonts w:ascii="Corbel" w:hAnsi="Corbel"/>
                <w:sz w:val="24"/>
                <w:szCs w:val="24"/>
              </w:rPr>
            </w:pPr>
            <w:r>
              <w:rPr>
                <w:rFonts w:ascii="Corbel" w:hAnsi="Corbel"/>
                <w:sz w:val="24"/>
                <w:szCs w:val="24"/>
              </w:rPr>
              <w:t>$</w:t>
            </w:r>
            <w:r w:rsidR="000C5164">
              <w:rPr>
                <w:rFonts w:ascii="Corbel" w:hAnsi="Corbel"/>
                <w:sz w:val="24"/>
                <w:szCs w:val="24"/>
              </w:rPr>
              <w:t>59.9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260B7C" w:rsidRDefault="00260B7C" w:rsidP="000C5164">
            <w:pPr>
              <w:rPr>
                <w:rFonts w:ascii="Corbel" w:hAnsi="Corbel"/>
                <w:sz w:val="24"/>
                <w:szCs w:val="24"/>
              </w:rPr>
            </w:pPr>
            <w:r>
              <w:rPr>
                <w:rFonts w:ascii="Corbel" w:hAnsi="Corbel"/>
                <w:sz w:val="24"/>
                <w:szCs w:val="24"/>
              </w:rPr>
              <w:t>$</w:t>
            </w:r>
            <w:r w:rsidR="000C5164">
              <w:rPr>
                <w:rFonts w:ascii="Corbel" w:hAnsi="Corbel"/>
                <w:sz w:val="24"/>
                <w:szCs w:val="24"/>
              </w:rPr>
              <w:t>118.8</w:t>
            </w:r>
            <w:r w:rsidRPr="001F0CA1">
              <w:rPr>
                <w:rFonts w:ascii="Corbel" w:hAnsi="Corbel"/>
                <w:sz w:val="24"/>
                <w:szCs w:val="24"/>
              </w:rPr>
              <w:t xml:space="preserve"> million</w:t>
            </w:r>
          </w:p>
        </w:tc>
      </w:tr>
    </w:tbl>
    <w:p w:rsidR="00260B7C" w:rsidRDefault="00C45E7C" w:rsidP="00B8358C">
      <w:pPr>
        <w:ind w:left="360"/>
        <w:rPr>
          <w:rFonts w:ascii="Corbel" w:hAnsi="Corbel"/>
          <w:sz w:val="24"/>
          <w:szCs w:val="24"/>
        </w:rPr>
      </w:pPr>
      <w:r w:rsidRPr="00100764">
        <w:rPr>
          <w:rFonts w:ascii="Corbel" w:hAnsi="Corbel"/>
          <w:sz w:val="20"/>
          <w:szCs w:val="24"/>
          <w:vertAlign w:val="superscript"/>
        </w:rPr>
        <w:lastRenderedPageBreak/>
        <w:t>*</w:t>
      </w:r>
      <w:r w:rsidRPr="00100764">
        <w:rPr>
          <w:rFonts w:ascii="Corbel" w:hAnsi="Corbel"/>
          <w:sz w:val="20"/>
          <w:szCs w:val="24"/>
        </w:rPr>
        <w:t>Repayment</w:t>
      </w:r>
      <w:r>
        <w:rPr>
          <w:rFonts w:ascii="Corbel" w:hAnsi="Corbel"/>
          <w:sz w:val="20"/>
          <w:szCs w:val="24"/>
        </w:rPr>
        <w:t xml:space="preserve"> of Commonwealth grants includes funding transferred from NSW to the Commonwealth for clients ageing over 65 in the scheme.</w:t>
      </w:r>
    </w:p>
    <w:p w:rsidR="00260B7C" w:rsidRPr="00363528" w:rsidRDefault="00260B7C" w:rsidP="004534D9">
      <w:pPr>
        <w:keepNext/>
        <w:ind w:firstLine="360"/>
        <w:rPr>
          <w:rFonts w:ascii="Corbel" w:hAnsi="Corbel"/>
          <w:b/>
          <w:sz w:val="24"/>
          <w:szCs w:val="24"/>
        </w:rPr>
      </w:pPr>
      <w:smartTag w:uri="urn:schemas-microsoft-com:office:smarttags" w:element="place">
        <w:smartTag w:uri="urn:schemas-microsoft-com:office:smarttags" w:element="State">
          <w:r>
            <w:rPr>
              <w:rFonts w:ascii="Corbel" w:hAnsi="Corbel"/>
              <w:b/>
              <w:sz w:val="24"/>
              <w:szCs w:val="24"/>
            </w:rPr>
            <w:t>New South Wales</w:t>
          </w:r>
        </w:smartTag>
      </w:smartTag>
      <w:r>
        <w:rPr>
          <w:rFonts w:ascii="Corbel" w:hAnsi="Corbel"/>
          <w:b/>
          <w:sz w:val="24"/>
          <w:szCs w:val="24"/>
        </w:rPr>
        <w:t xml:space="preserve"> cash and in-kind contributions</w:t>
      </w:r>
    </w:p>
    <w:p w:rsidR="00260B7C" w:rsidRDefault="00260B7C" w:rsidP="004534D9">
      <w:pPr>
        <w:keepNext/>
        <w:numPr>
          <w:ilvl w:val="0"/>
          <w:numId w:val="9"/>
        </w:numPr>
        <w:rPr>
          <w:rFonts w:ascii="Corbel" w:hAnsi="Corbel"/>
          <w:sz w:val="24"/>
          <w:szCs w:val="24"/>
        </w:rPr>
      </w:pPr>
      <w:bookmarkStart w:id="1" w:name="OLE_LINK5"/>
      <w:bookmarkStart w:id="2" w:name="OLE_LINK6"/>
      <w:r>
        <w:rPr>
          <w:rFonts w:ascii="Corbel" w:hAnsi="Corbel"/>
          <w:sz w:val="24"/>
          <w:szCs w:val="24"/>
        </w:rPr>
        <w:t>NSW has one disability services program that encompasses all disability service types.</w:t>
      </w:r>
    </w:p>
    <w:p w:rsidR="00260B7C" w:rsidRPr="00C905EA" w:rsidRDefault="00260B7C" w:rsidP="00F70219">
      <w:pPr>
        <w:numPr>
          <w:ilvl w:val="0"/>
          <w:numId w:val="9"/>
        </w:numPr>
        <w:rPr>
          <w:rFonts w:ascii="Corbel" w:hAnsi="Corbel"/>
          <w:sz w:val="24"/>
          <w:szCs w:val="24"/>
        </w:rPr>
      </w:pPr>
      <w:r>
        <w:rPr>
          <w:rFonts w:ascii="Corbel" w:hAnsi="Corbel"/>
          <w:sz w:val="24"/>
          <w:szCs w:val="24"/>
        </w:rPr>
        <w:t xml:space="preserve">The </w:t>
      </w:r>
      <w:r w:rsidRPr="00C905EA">
        <w:rPr>
          <w:rFonts w:ascii="Corbel" w:hAnsi="Corbel"/>
          <w:sz w:val="24"/>
          <w:szCs w:val="24"/>
        </w:rPr>
        <w:t>approach to transition</w:t>
      </w:r>
      <w:r w:rsidR="00B8358C">
        <w:rPr>
          <w:rFonts w:ascii="Corbel" w:hAnsi="Corbel"/>
          <w:sz w:val="24"/>
          <w:szCs w:val="24"/>
        </w:rPr>
        <w:t>ing</w:t>
      </w:r>
      <w:r w:rsidRPr="00C905EA">
        <w:rPr>
          <w:rFonts w:ascii="Corbel" w:hAnsi="Corbel"/>
          <w:sz w:val="24"/>
          <w:szCs w:val="24"/>
        </w:rPr>
        <w:t xml:space="preserve"> NSW’s existing disability program is outlined below:</w:t>
      </w:r>
    </w:p>
    <w:p w:rsidR="00260B7C" w:rsidRPr="00C905EA" w:rsidRDefault="00260B7C" w:rsidP="00F70219">
      <w:pPr>
        <w:numPr>
          <w:ilvl w:val="0"/>
          <w:numId w:val="17"/>
        </w:numPr>
        <w:rPr>
          <w:rFonts w:ascii="Corbel" w:hAnsi="Corbel"/>
          <w:sz w:val="24"/>
          <w:szCs w:val="24"/>
        </w:rPr>
      </w:pPr>
      <w:r w:rsidRPr="00C905EA">
        <w:rPr>
          <w:rFonts w:ascii="Corbel" w:hAnsi="Corbel"/>
          <w:sz w:val="24"/>
          <w:szCs w:val="24"/>
        </w:rPr>
        <w:t xml:space="preserve">Transition of existing </w:t>
      </w:r>
      <w:r>
        <w:rPr>
          <w:rFonts w:ascii="Corbel" w:hAnsi="Corbel"/>
          <w:sz w:val="24"/>
          <w:szCs w:val="24"/>
        </w:rPr>
        <w:t>services</w:t>
      </w:r>
      <w:r w:rsidRPr="00C905EA">
        <w:rPr>
          <w:rFonts w:ascii="Corbel" w:hAnsi="Corbel"/>
          <w:sz w:val="24"/>
          <w:szCs w:val="24"/>
        </w:rPr>
        <w:t xml:space="preserve"> into cash contribution</w:t>
      </w:r>
      <w:r>
        <w:rPr>
          <w:rFonts w:ascii="Corbel" w:hAnsi="Corbel"/>
          <w:sz w:val="24"/>
          <w:szCs w:val="24"/>
        </w:rPr>
        <w:t>s</w:t>
      </w:r>
      <w:r w:rsidRPr="00C905EA">
        <w:rPr>
          <w:rFonts w:ascii="Corbel" w:hAnsi="Corbel"/>
          <w:sz w:val="24"/>
          <w:szCs w:val="24"/>
        </w:rPr>
        <w:t xml:space="preserve"> will be on a service provider basis and will align with the rollout of the NDIS for each LGA and the </w:t>
      </w:r>
      <w:r>
        <w:rPr>
          <w:rFonts w:ascii="Corbel" w:hAnsi="Corbel"/>
          <w:sz w:val="24"/>
          <w:szCs w:val="24"/>
        </w:rPr>
        <w:t>participant</w:t>
      </w:r>
      <w:r w:rsidRPr="00C905EA">
        <w:rPr>
          <w:rFonts w:ascii="Corbel" w:hAnsi="Corbel"/>
          <w:sz w:val="24"/>
          <w:szCs w:val="24"/>
        </w:rPr>
        <w:t xml:space="preserve"> </w:t>
      </w:r>
      <w:r>
        <w:rPr>
          <w:rFonts w:ascii="Corbel" w:hAnsi="Corbel"/>
          <w:sz w:val="24"/>
          <w:szCs w:val="24"/>
        </w:rPr>
        <w:t>flow arrangements</w:t>
      </w:r>
      <w:r w:rsidRPr="00C905EA">
        <w:rPr>
          <w:rFonts w:ascii="Corbel" w:hAnsi="Corbel"/>
          <w:sz w:val="24"/>
          <w:szCs w:val="24"/>
        </w:rPr>
        <w:t>, as outlined in Appendix C</w:t>
      </w:r>
      <w:r>
        <w:rPr>
          <w:rFonts w:ascii="Corbel" w:hAnsi="Corbel"/>
          <w:sz w:val="24"/>
          <w:szCs w:val="24"/>
        </w:rPr>
        <w:t>.</w:t>
      </w:r>
    </w:p>
    <w:p w:rsidR="00260B7C" w:rsidRPr="00C905EA" w:rsidRDefault="00260B7C" w:rsidP="00F70219">
      <w:pPr>
        <w:numPr>
          <w:ilvl w:val="0"/>
          <w:numId w:val="17"/>
        </w:numPr>
        <w:rPr>
          <w:rFonts w:ascii="Corbel" w:hAnsi="Corbel"/>
          <w:sz w:val="24"/>
          <w:szCs w:val="24"/>
        </w:rPr>
      </w:pPr>
      <w:r w:rsidRPr="00C905EA">
        <w:rPr>
          <w:rFonts w:ascii="Corbel" w:hAnsi="Corbel"/>
          <w:sz w:val="24"/>
          <w:szCs w:val="24"/>
        </w:rPr>
        <w:t xml:space="preserve">Transition arrangements will take account of </w:t>
      </w:r>
      <w:r>
        <w:rPr>
          <w:rFonts w:ascii="Corbel" w:hAnsi="Corbel"/>
          <w:sz w:val="24"/>
          <w:szCs w:val="24"/>
        </w:rPr>
        <w:t>the need to ensure continuity for existing participants</w:t>
      </w:r>
      <w:r w:rsidR="00FC678B">
        <w:rPr>
          <w:rFonts w:ascii="Corbel" w:hAnsi="Corbel"/>
          <w:sz w:val="24"/>
          <w:szCs w:val="24"/>
        </w:rPr>
        <w:t xml:space="preserve"> (or transitioning to alternative arrangements where relevant)</w:t>
      </w:r>
      <w:r>
        <w:rPr>
          <w:rFonts w:ascii="Corbel" w:hAnsi="Corbel"/>
          <w:sz w:val="24"/>
          <w:szCs w:val="24"/>
        </w:rPr>
        <w:t>, including participants that reside outside of launch area.</w:t>
      </w:r>
    </w:p>
    <w:p w:rsidR="00260B7C" w:rsidRPr="00C905EA" w:rsidRDefault="00260B7C" w:rsidP="00F70219">
      <w:pPr>
        <w:numPr>
          <w:ilvl w:val="0"/>
          <w:numId w:val="17"/>
        </w:numPr>
        <w:rPr>
          <w:rFonts w:ascii="Corbel" w:hAnsi="Corbel"/>
          <w:sz w:val="24"/>
          <w:szCs w:val="24"/>
        </w:rPr>
      </w:pPr>
      <w:r>
        <w:rPr>
          <w:rFonts w:ascii="Corbel" w:hAnsi="Corbel"/>
          <w:sz w:val="24"/>
          <w:szCs w:val="24"/>
        </w:rPr>
        <w:t>Transition arrangements will take account of the readiness of existing providers to transition to new financing arrangements. This includes</w:t>
      </w:r>
      <w:r w:rsidRPr="00054A43">
        <w:rPr>
          <w:rFonts w:ascii="Corbel" w:hAnsi="Corbel"/>
          <w:sz w:val="24"/>
          <w:szCs w:val="24"/>
        </w:rPr>
        <w:t xml:space="preserve"> </w:t>
      </w:r>
      <w:r w:rsidRPr="00C905EA">
        <w:rPr>
          <w:rFonts w:ascii="Corbel" w:hAnsi="Corbel"/>
          <w:sz w:val="24"/>
          <w:szCs w:val="24"/>
        </w:rPr>
        <w:t xml:space="preserve">NSW’s contractual </w:t>
      </w:r>
      <w:r>
        <w:rPr>
          <w:rFonts w:ascii="Corbel" w:hAnsi="Corbel"/>
          <w:sz w:val="24"/>
          <w:szCs w:val="24"/>
        </w:rPr>
        <w:t>requirements</w:t>
      </w:r>
      <w:r w:rsidRPr="00C905EA">
        <w:rPr>
          <w:rFonts w:ascii="Corbel" w:hAnsi="Corbel"/>
          <w:sz w:val="24"/>
          <w:szCs w:val="24"/>
        </w:rPr>
        <w:t xml:space="preserve"> </w:t>
      </w:r>
      <w:r>
        <w:rPr>
          <w:rFonts w:ascii="Corbel" w:hAnsi="Corbel"/>
          <w:sz w:val="24"/>
          <w:szCs w:val="24"/>
        </w:rPr>
        <w:t xml:space="preserve">which include </w:t>
      </w:r>
      <w:r w:rsidRPr="00C905EA">
        <w:rPr>
          <w:rFonts w:ascii="Corbel" w:hAnsi="Corbel"/>
          <w:sz w:val="24"/>
          <w:szCs w:val="24"/>
        </w:rPr>
        <w:t>three month</w:t>
      </w:r>
      <w:r>
        <w:rPr>
          <w:rFonts w:ascii="Corbel" w:hAnsi="Corbel"/>
          <w:sz w:val="24"/>
          <w:szCs w:val="24"/>
        </w:rPr>
        <w:t>s’</w:t>
      </w:r>
      <w:r w:rsidRPr="00C905EA">
        <w:rPr>
          <w:rFonts w:ascii="Corbel" w:hAnsi="Corbel"/>
          <w:sz w:val="24"/>
          <w:szCs w:val="24"/>
        </w:rPr>
        <w:t xml:space="preserve"> notice for renegotiation of contract</w:t>
      </w:r>
      <w:r>
        <w:rPr>
          <w:rFonts w:ascii="Corbel" w:hAnsi="Corbel"/>
          <w:sz w:val="24"/>
          <w:szCs w:val="24"/>
        </w:rPr>
        <w:t>s.</w:t>
      </w:r>
    </w:p>
    <w:p w:rsidR="00260B7C" w:rsidRDefault="00260B7C" w:rsidP="00F70219">
      <w:pPr>
        <w:numPr>
          <w:ilvl w:val="0"/>
          <w:numId w:val="17"/>
        </w:numPr>
        <w:rPr>
          <w:rFonts w:ascii="Corbel" w:hAnsi="Corbel"/>
          <w:sz w:val="24"/>
          <w:szCs w:val="24"/>
        </w:rPr>
      </w:pPr>
      <w:r w:rsidRPr="00C905EA">
        <w:rPr>
          <w:rFonts w:ascii="Corbel" w:hAnsi="Corbel"/>
          <w:sz w:val="24"/>
          <w:szCs w:val="24"/>
        </w:rPr>
        <w:t xml:space="preserve">A service provider’s funding </w:t>
      </w:r>
      <w:r>
        <w:rPr>
          <w:rFonts w:ascii="Corbel" w:hAnsi="Corbel"/>
          <w:sz w:val="24"/>
          <w:szCs w:val="24"/>
        </w:rPr>
        <w:t xml:space="preserve">that transitions to cash </w:t>
      </w:r>
      <w:r w:rsidRPr="00C905EA">
        <w:rPr>
          <w:rFonts w:ascii="Corbel" w:hAnsi="Corbel"/>
          <w:sz w:val="24"/>
          <w:szCs w:val="24"/>
        </w:rPr>
        <w:t xml:space="preserve">will </w:t>
      </w:r>
      <w:r>
        <w:rPr>
          <w:rFonts w:ascii="Corbel" w:hAnsi="Corbel"/>
          <w:sz w:val="24"/>
          <w:szCs w:val="24"/>
        </w:rPr>
        <w:t xml:space="preserve">only </w:t>
      </w:r>
      <w:r w:rsidRPr="00C905EA">
        <w:rPr>
          <w:rFonts w:ascii="Corbel" w:hAnsi="Corbel"/>
          <w:sz w:val="24"/>
          <w:szCs w:val="24"/>
        </w:rPr>
        <w:t xml:space="preserve">be subject to transition once the </w:t>
      </w:r>
      <w:r>
        <w:rPr>
          <w:rFonts w:ascii="Corbel" w:hAnsi="Corbel"/>
          <w:sz w:val="24"/>
          <w:szCs w:val="24"/>
        </w:rPr>
        <w:t>bulk</w:t>
      </w:r>
      <w:r w:rsidRPr="00C905EA">
        <w:rPr>
          <w:rFonts w:ascii="Corbel" w:hAnsi="Corbel"/>
          <w:sz w:val="24"/>
          <w:szCs w:val="24"/>
        </w:rPr>
        <w:t xml:space="preserve"> of its eligible </w:t>
      </w:r>
      <w:r>
        <w:rPr>
          <w:rFonts w:ascii="Corbel" w:hAnsi="Corbel"/>
          <w:sz w:val="24"/>
          <w:szCs w:val="24"/>
        </w:rPr>
        <w:t>participan</w:t>
      </w:r>
      <w:r w:rsidRPr="00C905EA">
        <w:rPr>
          <w:rFonts w:ascii="Corbel" w:hAnsi="Corbel"/>
          <w:sz w:val="24"/>
          <w:szCs w:val="24"/>
        </w:rPr>
        <w:t>ts have entered</w:t>
      </w:r>
      <w:r>
        <w:rPr>
          <w:rFonts w:ascii="Corbel" w:hAnsi="Corbel"/>
          <w:sz w:val="24"/>
          <w:szCs w:val="24"/>
        </w:rPr>
        <w:t xml:space="preserve"> into the NDIS.</w:t>
      </w:r>
    </w:p>
    <w:p w:rsidR="00260B7C" w:rsidRDefault="00260B7C" w:rsidP="00F70219">
      <w:pPr>
        <w:numPr>
          <w:ilvl w:val="0"/>
          <w:numId w:val="17"/>
        </w:numPr>
        <w:rPr>
          <w:rFonts w:ascii="Corbel" w:hAnsi="Corbel"/>
          <w:sz w:val="24"/>
          <w:szCs w:val="24"/>
        </w:rPr>
      </w:pPr>
      <w:r w:rsidRPr="00C905EA">
        <w:rPr>
          <w:rFonts w:ascii="Corbel" w:hAnsi="Corbel"/>
          <w:sz w:val="24"/>
          <w:szCs w:val="24"/>
        </w:rPr>
        <w:t>If the contractual scope of a service provider is</w:t>
      </w:r>
      <w:r>
        <w:rPr>
          <w:rFonts w:ascii="Corbel" w:hAnsi="Corbel"/>
          <w:sz w:val="24"/>
          <w:szCs w:val="24"/>
        </w:rPr>
        <w:t xml:space="preserve"> substantially</w:t>
      </w:r>
      <w:r w:rsidRPr="00C905EA">
        <w:rPr>
          <w:rFonts w:ascii="Corbel" w:hAnsi="Corbel"/>
          <w:sz w:val="24"/>
          <w:szCs w:val="24"/>
        </w:rPr>
        <w:t xml:space="preserve"> beyond the boundaries of a launch site, only the launch site portion of total funding will be transitioned into the NDIS, taking into account any residual funding requirements to ensure continuity of services outside of the launch site.</w:t>
      </w:r>
    </w:p>
    <w:p w:rsidR="00260B7C" w:rsidRDefault="00260B7C" w:rsidP="00F70219">
      <w:pPr>
        <w:numPr>
          <w:ilvl w:val="0"/>
          <w:numId w:val="17"/>
        </w:numPr>
        <w:rPr>
          <w:rFonts w:ascii="Corbel" w:hAnsi="Corbel"/>
          <w:sz w:val="24"/>
          <w:szCs w:val="24"/>
        </w:rPr>
      </w:pPr>
      <w:r>
        <w:rPr>
          <w:rFonts w:ascii="Corbel" w:hAnsi="Corbel"/>
          <w:sz w:val="24"/>
          <w:szCs w:val="24"/>
        </w:rPr>
        <w:t>Transition arrangements will also take account of the complexities of individualising NSW’s direct service delivery.</w:t>
      </w:r>
    </w:p>
    <w:p w:rsidR="00260B7C" w:rsidRDefault="00260B7C" w:rsidP="00F70219">
      <w:pPr>
        <w:numPr>
          <w:ilvl w:val="0"/>
          <w:numId w:val="17"/>
        </w:numPr>
        <w:rPr>
          <w:rFonts w:ascii="Corbel" w:hAnsi="Corbel"/>
          <w:sz w:val="24"/>
          <w:szCs w:val="24"/>
        </w:rPr>
      </w:pPr>
      <w:r>
        <w:rPr>
          <w:rFonts w:ascii="Corbel" w:hAnsi="Corbel"/>
          <w:sz w:val="24"/>
          <w:szCs w:val="24"/>
        </w:rPr>
        <w:t>It is understood that NSW will not have residual responsibilities for younger people accessing residential and packaged aged care services as they transition to the NDIS.</w:t>
      </w:r>
    </w:p>
    <w:p w:rsidR="00260B7C" w:rsidRDefault="00260B7C" w:rsidP="00F70219">
      <w:pPr>
        <w:numPr>
          <w:ilvl w:val="0"/>
          <w:numId w:val="17"/>
        </w:numPr>
        <w:rPr>
          <w:rFonts w:ascii="Corbel" w:hAnsi="Corbel"/>
          <w:sz w:val="24"/>
          <w:szCs w:val="24"/>
        </w:rPr>
      </w:pPr>
      <w:r>
        <w:rPr>
          <w:rFonts w:ascii="Corbel" w:hAnsi="Corbel"/>
          <w:sz w:val="24"/>
          <w:szCs w:val="24"/>
        </w:rPr>
        <w:t>The Commonwealth will ensure that there is a simultaneous transition for NDIS Participants and people aged over 65 currently in disability services that allows both groups to transition at the same time and preserve existing shared accommodation and shared services where appropriate.</w:t>
      </w:r>
    </w:p>
    <w:bookmarkEnd w:id="1"/>
    <w:bookmarkEnd w:id="2"/>
    <w:p w:rsidR="00260B7C" w:rsidRPr="00443209" w:rsidRDefault="00260B7C" w:rsidP="00F70219">
      <w:pPr>
        <w:numPr>
          <w:ilvl w:val="0"/>
          <w:numId w:val="9"/>
        </w:numPr>
        <w:spacing w:before="200"/>
        <w:ind w:left="714" w:hanging="357"/>
        <w:rPr>
          <w:rFonts w:ascii="Corbel" w:hAnsi="Corbel"/>
          <w:sz w:val="24"/>
          <w:szCs w:val="24"/>
        </w:rPr>
      </w:pPr>
      <w:r w:rsidRPr="00443209">
        <w:rPr>
          <w:rFonts w:ascii="Corbel" w:hAnsi="Corbel"/>
          <w:sz w:val="24"/>
          <w:szCs w:val="24"/>
        </w:rPr>
        <w:t>The extent to which NSW’s existing disability services in launch site can transition from in-kind to cash contributions will depend on several factors including:</w:t>
      </w:r>
    </w:p>
    <w:p w:rsidR="00260B7C" w:rsidRPr="00443209" w:rsidRDefault="00260B7C" w:rsidP="00F70219">
      <w:pPr>
        <w:numPr>
          <w:ilvl w:val="0"/>
          <w:numId w:val="18"/>
        </w:numPr>
        <w:spacing w:before="200"/>
        <w:rPr>
          <w:rFonts w:ascii="Corbel" w:hAnsi="Corbel"/>
          <w:sz w:val="24"/>
          <w:szCs w:val="24"/>
        </w:rPr>
      </w:pPr>
      <w:r w:rsidRPr="00443209">
        <w:rPr>
          <w:rFonts w:ascii="Corbel" w:hAnsi="Corbel"/>
          <w:sz w:val="24"/>
          <w:szCs w:val="24"/>
        </w:rPr>
        <w:t>Finalisation by the Design Working Group of the NDIS policy framework, including eligibility, Tier 2 services, interfaces with other service systems, and determination of Tier 3 block services;</w:t>
      </w:r>
    </w:p>
    <w:p w:rsidR="00260B7C" w:rsidRPr="00443209" w:rsidRDefault="00260B7C" w:rsidP="00F70219">
      <w:pPr>
        <w:numPr>
          <w:ilvl w:val="0"/>
          <w:numId w:val="18"/>
        </w:numPr>
        <w:spacing w:before="200"/>
        <w:rPr>
          <w:rFonts w:ascii="Corbel" w:hAnsi="Corbel"/>
          <w:sz w:val="24"/>
          <w:szCs w:val="24"/>
        </w:rPr>
      </w:pPr>
      <w:r w:rsidRPr="00443209">
        <w:rPr>
          <w:rFonts w:ascii="Corbel" w:hAnsi="Corbel"/>
          <w:sz w:val="24"/>
          <w:szCs w:val="24"/>
        </w:rPr>
        <w:t>Development of operational arrangements for the individualising of existing service provider contracts;</w:t>
      </w:r>
    </w:p>
    <w:p w:rsidR="00260B7C" w:rsidRPr="00443209" w:rsidRDefault="00260B7C" w:rsidP="00F70219">
      <w:pPr>
        <w:numPr>
          <w:ilvl w:val="0"/>
          <w:numId w:val="18"/>
        </w:numPr>
        <w:spacing w:before="200"/>
        <w:rPr>
          <w:rFonts w:ascii="Corbel" w:hAnsi="Corbel"/>
          <w:sz w:val="24"/>
          <w:szCs w:val="24"/>
        </w:rPr>
      </w:pPr>
      <w:r w:rsidRPr="00443209">
        <w:rPr>
          <w:rFonts w:ascii="Corbel" w:hAnsi="Corbel"/>
          <w:sz w:val="24"/>
          <w:szCs w:val="24"/>
        </w:rPr>
        <w:t>Engagement with existing service providers on the new funding arrangements; and</w:t>
      </w:r>
    </w:p>
    <w:p w:rsidR="00260B7C" w:rsidRDefault="00260B7C" w:rsidP="00F70219">
      <w:pPr>
        <w:numPr>
          <w:ilvl w:val="0"/>
          <w:numId w:val="18"/>
        </w:numPr>
        <w:spacing w:before="200"/>
        <w:rPr>
          <w:rFonts w:ascii="Corbel" w:hAnsi="Corbel"/>
          <w:sz w:val="24"/>
          <w:szCs w:val="24"/>
        </w:rPr>
      </w:pPr>
      <w:r w:rsidRPr="00443209">
        <w:rPr>
          <w:rFonts w:ascii="Corbel" w:hAnsi="Corbel"/>
          <w:sz w:val="24"/>
          <w:szCs w:val="24"/>
        </w:rPr>
        <w:t>Agency operational capacity.</w:t>
      </w:r>
    </w:p>
    <w:p w:rsidR="00260B7C" w:rsidRDefault="00260B7C" w:rsidP="00F70219">
      <w:pPr>
        <w:numPr>
          <w:ilvl w:val="0"/>
          <w:numId w:val="9"/>
        </w:numPr>
        <w:rPr>
          <w:rFonts w:ascii="Corbel" w:hAnsi="Corbel"/>
          <w:sz w:val="24"/>
          <w:szCs w:val="24"/>
        </w:rPr>
      </w:pPr>
      <w:r>
        <w:rPr>
          <w:rFonts w:ascii="Corbel" w:hAnsi="Corbel"/>
          <w:sz w:val="24"/>
          <w:szCs w:val="24"/>
        </w:rPr>
        <w:t xml:space="preserve">Large residential centres are expected to remain as an in-kind contribution to the NDIS </w:t>
      </w:r>
      <w:r w:rsidR="007636FD">
        <w:rPr>
          <w:rFonts w:ascii="Corbel" w:hAnsi="Corbel"/>
          <w:sz w:val="24"/>
          <w:szCs w:val="24"/>
        </w:rPr>
        <w:t xml:space="preserve">in recognition of their fixed cost, and </w:t>
      </w:r>
      <w:r>
        <w:rPr>
          <w:rFonts w:ascii="Corbel" w:hAnsi="Corbel"/>
          <w:sz w:val="24"/>
          <w:szCs w:val="24"/>
        </w:rPr>
        <w:t>to ensure that the current redevelopment timetable for these facilities is retained</w:t>
      </w:r>
      <w:r w:rsidR="00CB08E5">
        <w:rPr>
          <w:rFonts w:ascii="Corbel" w:hAnsi="Corbel"/>
          <w:sz w:val="24"/>
          <w:szCs w:val="24"/>
        </w:rPr>
        <w:t xml:space="preserve">.  </w:t>
      </w:r>
      <w:r w:rsidR="007636FD">
        <w:rPr>
          <w:rFonts w:ascii="Corbel" w:hAnsi="Corbel"/>
          <w:sz w:val="24"/>
          <w:szCs w:val="24"/>
        </w:rPr>
        <w:t>Similarly, o</w:t>
      </w:r>
      <w:r>
        <w:rPr>
          <w:rFonts w:ascii="Corbel" w:hAnsi="Corbel"/>
          <w:sz w:val="24"/>
          <w:szCs w:val="24"/>
        </w:rPr>
        <w:t xml:space="preserve">ther government-operated supported accommodation services </w:t>
      </w:r>
      <w:r w:rsidR="007636FD">
        <w:rPr>
          <w:rFonts w:ascii="Corbel" w:hAnsi="Corbel"/>
          <w:sz w:val="24"/>
          <w:szCs w:val="24"/>
        </w:rPr>
        <w:t xml:space="preserve">(such as group homes) </w:t>
      </w:r>
      <w:r>
        <w:rPr>
          <w:rFonts w:ascii="Corbel" w:hAnsi="Corbel"/>
          <w:sz w:val="24"/>
          <w:szCs w:val="24"/>
        </w:rPr>
        <w:t>are also expected to remain as in-kind contributions</w:t>
      </w:r>
      <w:r w:rsidR="003E780E">
        <w:rPr>
          <w:rFonts w:ascii="Corbel" w:hAnsi="Corbel"/>
          <w:sz w:val="24"/>
          <w:szCs w:val="24"/>
        </w:rPr>
        <w:t>.</w:t>
      </w:r>
    </w:p>
    <w:p w:rsidR="00260B7C" w:rsidRDefault="00260B7C" w:rsidP="00F70219">
      <w:pPr>
        <w:numPr>
          <w:ilvl w:val="0"/>
          <w:numId w:val="9"/>
        </w:numPr>
        <w:rPr>
          <w:rFonts w:ascii="Corbel" w:hAnsi="Corbel"/>
          <w:sz w:val="24"/>
          <w:szCs w:val="24"/>
        </w:rPr>
      </w:pPr>
      <w:r>
        <w:rPr>
          <w:rFonts w:ascii="Corbel" w:hAnsi="Corbel"/>
          <w:sz w:val="24"/>
          <w:szCs w:val="24"/>
        </w:rPr>
        <w:t>Some cashing out of large residential centres and government-operated supported accommodation services may occur depending on residents’ decisions regarding future support</w:t>
      </w:r>
      <w:r w:rsidR="007636FD">
        <w:rPr>
          <w:rFonts w:ascii="Corbel" w:hAnsi="Corbel"/>
          <w:sz w:val="24"/>
          <w:szCs w:val="24"/>
        </w:rPr>
        <w:t xml:space="preserve"> and </w:t>
      </w:r>
      <w:r>
        <w:rPr>
          <w:rFonts w:ascii="Corbel" w:hAnsi="Corbel"/>
          <w:sz w:val="24"/>
          <w:szCs w:val="24"/>
        </w:rPr>
        <w:t>the availability of appropriate alternatives.</w:t>
      </w:r>
    </w:p>
    <w:p w:rsidR="007636FD" w:rsidRDefault="007636FD" w:rsidP="007636FD">
      <w:pPr>
        <w:numPr>
          <w:ilvl w:val="0"/>
          <w:numId w:val="9"/>
        </w:numPr>
        <w:rPr>
          <w:rFonts w:ascii="Corbel" w:hAnsi="Corbel"/>
          <w:sz w:val="24"/>
          <w:szCs w:val="24"/>
        </w:rPr>
      </w:pPr>
      <w:r>
        <w:rPr>
          <w:rFonts w:ascii="Corbel" w:hAnsi="Corbel"/>
          <w:sz w:val="24"/>
          <w:szCs w:val="24"/>
        </w:rPr>
        <w:t xml:space="preserve">NSW’s contributions to the NDIS and the continuation of existing state services are outlined in Table 5 below. </w:t>
      </w:r>
      <w:r w:rsidR="000C5164">
        <w:rPr>
          <w:rFonts w:ascii="Corbel" w:hAnsi="Corbel"/>
          <w:sz w:val="24"/>
          <w:szCs w:val="24"/>
        </w:rPr>
        <w:t>This includes repayment of Commonwealth grants (including a repayment for those who turn 65 in the scheme).</w:t>
      </w:r>
    </w:p>
    <w:p w:rsidR="001161C0" w:rsidRPr="007D6BF1" w:rsidRDefault="001161C0" w:rsidP="007D6BF1">
      <w:pPr>
        <w:pStyle w:val="Normalnumbered"/>
        <w:numPr>
          <w:ilvl w:val="0"/>
          <w:numId w:val="9"/>
        </w:numPr>
        <w:spacing w:line="276" w:lineRule="auto"/>
        <w:ind w:left="714" w:hanging="357"/>
        <w:rPr>
          <w:rFonts w:eastAsia="Calibri"/>
          <w:color w:val="auto"/>
          <w:sz w:val="24"/>
          <w:szCs w:val="24"/>
          <w:lang w:eastAsia="en-US"/>
        </w:rPr>
      </w:pPr>
      <w:r w:rsidRPr="007D6BF1">
        <w:rPr>
          <w:rFonts w:eastAsia="Calibri"/>
          <w:color w:val="auto"/>
          <w:sz w:val="24"/>
          <w:szCs w:val="24"/>
          <w:lang w:eastAsia="en-US"/>
        </w:rPr>
        <w:t>NSW funding is capped at $550 million over three years, plus $35 million over four years. Total expenditure each year will either be cash or in-kind contributions associated with participants transferred or entering the NDIS, or associated with service provision to existing clients in the launch site yet to be transitioned from state administered services.</w:t>
      </w:r>
    </w:p>
    <w:p w:rsidR="001161C0" w:rsidRDefault="001161C0" w:rsidP="001161C0">
      <w:pPr>
        <w:numPr>
          <w:ilvl w:val="0"/>
          <w:numId w:val="9"/>
        </w:numPr>
        <w:rPr>
          <w:rFonts w:ascii="Corbel" w:hAnsi="Corbel"/>
          <w:sz w:val="24"/>
          <w:szCs w:val="24"/>
        </w:rPr>
      </w:pPr>
      <w:r w:rsidRPr="00943B21">
        <w:rPr>
          <w:rFonts w:ascii="Corbel" w:hAnsi="Corbel"/>
          <w:sz w:val="24"/>
          <w:szCs w:val="24"/>
        </w:rPr>
        <w:t>While the total contribution will not change, a</w:t>
      </w:r>
      <w:r>
        <w:rPr>
          <w:rFonts w:ascii="Corbel" w:hAnsi="Corbel"/>
          <w:sz w:val="24"/>
          <w:szCs w:val="24"/>
        </w:rPr>
        <w:t>s per clause 29 of the IGA, i</w:t>
      </w:r>
      <w:r w:rsidRPr="002F6B50">
        <w:rPr>
          <w:rFonts w:ascii="Corbel" w:hAnsi="Corbel"/>
          <w:sz w:val="24"/>
          <w:szCs w:val="24"/>
        </w:rPr>
        <w:t xml:space="preserve">t is recognised that </w:t>
      </w:r>
      <w:r>
        <w:rPr>
          <w:rFonts w:ascii="Corbel" w:hAnsi="Corbel"/>
          <w:sz w:val="24"/>
          <w:szCs w:val="24"/>
        </w:rPr>
        <w:t>the estimated mix and balance of in-kind and cash contribution may vary due to actual implementation factors</w:t>
      </w:r>
      <w:r w:rsidR="00723D9F">
        <w:rPr>
          <w:rFonts w:ascii="Corbel" w:hAnsi="Corbel"/>
          <w:sz w:val="24"/>
          <w:szCs w:val="24"/>
        </w:rPr>
        <w:t xml:space="preserve">. Consistent with the IGA, this appendix may be </w:t>
      </w:r>
      <w:r>
        <w:rPr>
          <w:rFonts w:ascii="Corbel" w:hAnsi="Corbel"/>
          <w:sz w:val="24"/>
          <w:szCs w:val="24"/>
        </w:rPr>
        <w:t xml:space="preserve">updated </w:t>
      </w:r>
      <w:r w:rsidR="00723D9F">
        <w:rPr>
          <w:rFonts w:ascii="Corbel" w:hAnsi="Corbel"/>
          <w:sz w:val="24"/>
          <w:szCs w:val="24"/>
        </w:rPr>
        <w:t>at any</w:t>
      </w:r>
      <w:r w:rsidR="007267CB">
        <w:rPr>
          <w:rFonts w:ascii="Corbel" w:hAnsi="Corbel"/>
          <w:sz w:val="24"/>
          <w:szCs w:val="24"/>
        </w:rPr>
        <w:t xml:space="preserve"> </w:t>
      </w:r>
      <w:r w:rsidR="00723D9F">
        <w:rPr>
          <w:rFonts w:ascii="Corbel" w:hAnsi="Corbel"/>
          <w:sz w:val="24"/>
          <w:szCs w:val="24"/>
        </w:rPr>
        <w:t xml:space="preserve">time on an ongoing basis </w:t>
      </w:r>
      <w:r>
        <w:rPr>
          <w:rFonts w:ascii="Corbel" w:hAnsi="Corbel"/>
          <w:sz w:val="24"/>
          <w:szCs w:val="24"/>
        </w:rPr>
        <w:t xml:space="preserve">with agreement between NSW and the Commonwealth, who are required to provide </w:t>
      </w:r>
      <w:r w:rsidRPr="00943B21">
        <w:rPr>
          <w:rFonts w:ascii="Corbel" w:hAnsi="Corbel"/>
          <w:sz w:val="24"/>
          <w:szCs w:val="24"/>
        </w:rPr>
        <w:t>at least one month's notice to the Agency of any such change</w:t>
      </w:r>
      <w:r>
        <w:rPr>
          <w:rFonts w:ascii="Corbel" w:hAnsi="Corbel"/>
          <w:sz w:val="24"/>
          <w:szCs w:val="24"/>
        </w:rPr>
        <w:t xml:space="preserve">. </w:t>
      </w:r>
    </w:p>
    <w:p w:rsidR="00260B7C" w:rsidRPr="00E35EBE" w:rsidRDefault="00260B7C" w:rsidP="00D11202">
      <w:pPr>
        <w:keepNext/>
        <w:ind w:left="360"/>
        <w:rPr>
          <w:rFonts w:ascii="Corbel" w:hAnsi="Corbel"/>
          <w:b/>
          <w:sz w:val="24"/>
          <w:szCs w:val="24"/>
        </w:rPr>
      </w:pPr>
      <w:r w:rsidRPr="00E35EBE">
        <w:rPr>
          <w:rFonts w:ascii="Corbel" w:hAnsi="Corbel"/>
          <w:b/>
          <w:sz w:val="24"/>
          <w:szCs w:val="24"/>
        </w:rPr>
        <w:t>Table 5</w:t>
      </w:r>
    </w:p>
    <w:tbl>
      <w:tblPr>
        <w:tblW w:w="0" w:type="auto"/>
        <w:tblInd w:w="562" w:type="dxa"/>
        <w:tblBorders>
          <w:top w:val="single" w:sz="6" w:space="0" w:color="auto"/>
          <w:left w:val="single" w:sz="4" w:space="0" w:color="auto"/>
          <w:bottom w:val="single" w:sz="6" w:space="0" w:color="auto"/>
          <w:right w:val="single" w:sz="4" w:space="0" w:color="auto"/>
          <w:insideH w:val="single" w:sz="6" w:space="0" w:color="auto"/>
          <w:insideV w:val="single" w:sz="4" w:space="0" w:color="auto"/>
        </w:tblBorders>
        <w:shd w:val="clear" w:color="auto" w:fill="FFFFFF"/>
        <w:tblLook w:val="00A0" w:firstRow="1" w:lastRow="0" w:firstColumn="1" w:lastColumn="0" w:noHBand="0" w:noVBand="0"/>
      </w:tblPr>
      <w:tblGrid>
        <w:gridCol w:w="2807"/>
        <w:gridCol w:w="2201"/>
        <w:gridCol w:w="2201"/>
        <w:gridCol w:w="2202"/>
      </w:tblGrid>
      <w:tr w:rsidR="00260B7C" w:rsidRPr="001F0CA1" w:rsidTr="002E476B">
        <w:trPr>
          <w:tblHeader/>
        </w:trPr>
        <w:tc>
          <w:tcPr>
            <w:tcW w:w="2807" w:type="dxa"/>
            <w:shd w:val="clear" w:color="auto" w:fill="FFFFFF"/>
          </w:tcPr>
          <w:p w:rsidR="00260B7C" w:rsidRPr="002D4F50" w:rsidRDefault="00260B7C" w:rsidP="00D11202">
            <w:pPr>
              <w:keepNext/>
              <w:rPr>
                <w:rFonts w:ascii="Corbel" w:hAnsi="Corbel"/>
                <w:b/>
                <w:sz w:val="24"/>
                <w:szCs w:val="24"/>
              </w:rPr>
            </w:pPr>
            <w:bookmarkStart w:id="3" w:name="OLE_LINK2"/>
            <w:bookmarkStart w:id="4" w:name="OLE_LINK3"/>
          </w:p>
        </w:tc>
        <w:tc>
          <w:tcPr>
            <w:tcW w:w="2201" w:type="dxa"/>
            <w:shd w:val="clear" w:color="auto" w:fill="FFFFFF"/>
          </w:tcPr>
          <w:p w:rsidR="00260B7C" w:rsidRPr="001F0CA1" w:rsidRDefault="00260B7C" w:rsidP="00D11202">
            <w:pPr>
              <w:keepNext/>
              <w:rPr>
                <w:rFonts w:ascii="Corbel" w:hAnsi="Corbel"/>
                <w:sz w:val="24"/>
                <w:szCs w:val="24"/>
              </w:rPr>
            </w:pPr>
            <w:r>
              <w:rPr>
                <w:rFonts w:ascii="Corbel" w:hAnsi="Corbel"/>
                <w:sz w:val="24"/>
                <w:szCs w:val="24"/>
              </w:rPr>
              <w:t>2013-14</w:t>
            </w:r>
          </w:p>
        </w:tc>
        <w:tc>
          <w:tcPr>
            <w:tcW w:w="2201" w:type="dxa"/>
            <w:shd w:val="clear" w:color="auto" w:fill="FFFFFF"/>
          </w:tcPr>
          <w:p w:rsidR="00260B7C" w:rsidRPr="001F0CA1" w:rsidRDefault="00260B7C" w:rsidP="00D11202">
            <w:pPr>
              <w:keepNext/>
              <w:rPr>
                <w:rFonts w:ascii="Corbel" w:hAnsi="Corbel"/>
                <w:sz w:val="24"/>
                <w:szCs w:val="24"/>
              </w:rPr>
            </w:pPr>
            <w:r w:rsidRPr="001F0CA1">
              <w:rPr>
                <w:rFonts w:ascii="Corbel" w:hAnsi="Corbel"/>
                <w:sz w:val="24"/>
                <w:szCs w:val="24"/>
              </w:rPr>
              <w:t>2014-15</w:t>
            </w:r>
            <w:r>
              <w:rPr>
                <w:rFonts w:ascii="Corbel" w:hAnsi="Corbel"/>
                <w:sz w:val="24"/>
                <w:szCs w:val="24"/>
              </w:rPr>
              <w:t xml:space="preserve"> </w:t>
            </w:r>
          </w:p>
        </w:tc>
        <w:tc>
          <w:tcPr>
            <w:tcW w:w="2202" w:type="dxa"/>
            <w:shd w:val="clear" w:color="auto" w:fill="FFFFFF"/>
          </w:tcPr>
          <w:p w:rsidR="00260B7C" w:rsidRPr="001F0CA1" w:rsidRDefault="00260B7C" w:rsidP="00D11202">
            <w:pPr>
              <w:keepNext/>
              <w:rPr>
                <w:rFonts w:ascii="Corbel" w:hAnsi="Corbel"/>
                <w:sz w:val="24"/>
                <w:szCs w:val="24"/>
              </w:rPr>
            </w:pPr>
            <w:r w:rsidRPr="001F0CA1">
              <w:rPr>
                <w:rFonts w:ascii="Corbel" w:hAnsi="Corbel"/>
                <w:sz w:val="24"/>
                <w:szCs w:val="24"/>
              </w:rPr>
              <w:t>2015-16</w:t>
            </w:r>
            <w:r>
              <w:rPr>
                <w:rFonts w:ascii="Corbel" w:hAnsi="Corbel"/>
                <w:sz w:val="24"/>
                <w:szCs w:val="24"/>
              </w:rPr>
              <w:t xml:space="preserve"> </w:t>
            </w:r>
          </w:p>
        </w:tc>
      </w:tr>
      <w:tr w:rsidR="00AD6D36" w:rsidRPr="001F0CA1" w:rsidTr="002E476B">
        <w:tc>
          <w:tcPr>
            <w:tcW w:w="2807" w:type="dxa"/>
            <w:shd w:val="clear" w:color="auto" w:fill="FFFFFF"/>
          </w:tcPr>
          <w:p w:rsidR="00AD6D36" w:rsidRPr="00D50B7F" w:rsidRDefault="00AD6D36" w:rsidP="00D11202">
            <w:pPr>
              <w:keepNext/>
              <w:rPr>
                <w:rFonts w:ascii="Corbel" w:hAnsi="Corbel"/>
                <w:sz w:val="24"/>
                <w:szCs w:val="24"/>
              </w:rPr>
            </w:pPr>
            <w:r>
              <w:rPr>
                <w:rFonts w:ascii="Corbel" w:hAnsi="Corbel"/>
                <w:sz w:val="24"/>
                <w:szCs w:val="24"/>
              </w:rPr>
              <w:t xml:space="preserve">NSW expected cash contribution to the NDIS </w:t>
            </w:r>
            <w:r w:rsidR="000C5164">
              <w:rPr>
                <w:rFonts w:ascii="Corbel" w:hAnsi="Corbel"/>
                <w:sz w:val="24"/>
                <w:szCs w:val="24"/>
              </w:rPr>
              <w:t xml:space="preserve">plus repayment of Commonwealth grants </w:t>
            </w:r>
            <w:r>
              <w:rPr>
                <w:rFonts w:ascii="Corbel" w:hAnsi="Corbel"/>
                <w:sz w:val="24"/>
                <w:szCs w:val="24"/>
              </w:rPr>
              <w:t>[A]</w:t>
            </w:r>
          </w:p>
        </w:tc>
        <w:tc>
          <w:tcPr>
            <w:tcW w:w="2201" w:type="dxa"/>
            <w:shd w:val="clear" w:color="auto" w:fill="FFFFFF"/>
          </w:tcPr>
          <w:p w:rsidR="00AD6D36" w:rsidRPr="001F0CA1" w:rsidRDefault="00AD6D36" w:rsidP="00343303">
            <w:pPr>
              <w:keepNext/>
              <w:rPr>
                <w:rFonts w:ascii="Corbel" w:hAnsi="Corbel"/>
                <w:sz w:val="24"/>
                <w:szCs w:val="24"/>
              </w:rPr>
            </w:pPr>
            <w:r>
              <w:rPr>
                <w:rFonts w:ascii="Corbel" w:hAnsi="Corbel"/>
                <w:sz w:val="24"/>
                <w:szCs w:val="24"/>
              </w:rPr>
              <w:t>$</w:t>
            </w:r>
            <w:r w:rsidR="000C5164">
              <w:rPr>
                <w:rFonts w:ascii="Corbel" w:hAnsi="Corbel"/>
                <w:sz w:val="24"/>
                <w:szCs w:val="24"/>
              </w:rPr>
              <w:t>2</w:t>
            </w:r>
            <w:r w:rsidR="002E4444">
              <w:rPr>
                <w:rFonts w:ascii="Corbel" w:hAnsi="Corbel"/>
                <w:sz w:val="24"/>
                <w:szCs w:val="24"/>
              </w:rPr>
              <w:t>6.0</w:t>
            </w:r>
            <w:r>
              <w:rPr>
                <w:rFonts w:ascii="Corbel" w:hAnsi="Corbel"/>
                <w:sz w:val="24"/>
                <w:szCs w:val="24"/>
              </w:rPr>
              <w:t xml:space="preserve"> million</w:t>
            </w:r>
          </w:p>
        </w:tc>
        <w:tc>
          <w:tcPr>
            <w:tcW w:w="2201" w:type="dxa"/>
            <w:shd w:val="clear" w:color="auto" w:fill="FFFFFF"/>
          </w:tcPr>
          <w:p w:rsidR="00AD6D36" w:rsidRPr="001F0CA1" w:rsidRDefault="00AD6D36" w:rsidP="00CD0BDF">
            <w:pPr>
              <w:keepNext/>
              <w:rPr>
                <w:rFonts w:ascii="Corbel" w:hAnsi="Corbel"/>
                <w:sz w:val="24"/>
                <w:szCs w:val="24"/>
              </w:rPr>
            </w:pPr>
            <w:r>
              <w:rPr>
                <w:rFonts w:ascii="Corbel" w:hAnsi="Corbel"/>
                <w:sz w:val="24"/>
                <w:szCs w:val="24"/>
              </w:rPr>
              <w:t>$</w:t>
            </w:r>
            <w:r w:rsidR="002E4444">
              <w:rPr>
                <w:rFonts w:ascii="Corbel" w:hAnsi="Corbel"/>
                <w:sz w:val="24"/>
                <w:szCs w:val="24"/>
              </w:rPr>
              <w:t>42.0</w:t>
            </w:r>
            <w:r>
              <w:rPr>
                <w:rFonts w:ascii="Corbel" w:hAnsi="Corbel"/>
                <w:sz w:val="24"/>
                <w:szCs w:val="24"/>
              </w:rPr>
              <w:t xml:space="preserve"> million</w:t>
            </w:r>
          </w:p>
        </w:tc>
        <w:tc>
          <w:tcPr>
            <w:tcW w:w="2202" w:type="dxa"/>
            <w:shd w:val="clear" w:color="auto" w:fill="FFFFFF"/>
          </w:tcPr>
          <w:p w:rsidR="00AD6D36" w:rsidRPr="001F0CA1" w:rsidRDefault="00AD6D36" w:rsidP="00856D98">
            <w:pPr>
              <w:keepNext/>
              <w:rPr>
                <w:rFonts w:ascii="Corbel" w:hAnsi="Corbel"/>
                <w:sz w:val="24"/>
                <w:szCs w:val="24"/>
              </w:rPr>
            </w:pPr>
            <w:r>
              <w:rPr>
                <w:rFonts w:ascii="Corbel" w:hAnsi="Corbel"/>
                <w:sz w:val="24"/>
                <w:szCs w:val="24"/>
              </w:rPr>
              <w:t>$</w:t>
            </w:r>
            <w:r w:rsidR="002E4444">
              <w:rPr>
                <w:rFonts w:ascii="Corbel" w:hAnsi="Corbel"/>
                <w:sz w:val="24"/>
                <w:szCs w:val="24"/>
              </w:rPr>
              <w:t>115.8</w:t>
            </w:r>
            <w:r>
              <w:rPr>
                <w:rFonts w:ascii="Corbel" w:hAnsi="Corbel"/>
                <w:sz w:val="24"/>
                <w:szCs w:val="24"/>
              </w:rPr>
              <w:t xml:space="preserve"> million</w:t>
            </w:r>
          </w:p>
        </w:tc>
      </w:tr>
      <w:tr w:rsidR="00AD6D36" w:rsidTr="002E476B">
        <w:tc>
          <w:tcPr>
            <w:tcW w:w="2807" w:type="dxa"/>
            <w:shd w:val="clear" w:color="auto" w:fill="FFFFFF"/>
          </w:tcPr>
          <w:p w:rsidR="00AD6D36" w:rsidRDefault="00AD6D36" w:rsidP="00D11202">
            <w:pPr>
              <w:keepNext/>
              <w:rPr>
                <w:rFonts w:ascii="Corbel" w:hAnsi="Corbel"/>
                <w:sz w:val="24"/>
                <w:szCs w:val="24"/>
              </w:rPr>
            </w:pPr>
            <w:r>
              <w:rPr>
                <w:rFonts w:ascii="Corbel" w:hAnsi="Corbel"/>
                <w:sz w:val="24"/>
                <w:szCs w:val="24"/>
              </w:rPr>
              <w:t xml:space="preserve">In-kind contribution to individual support packages </w:t>
            </w:r>
            <w:r w:rsidR="00EA2AC7">
              <w:rPr>
                <w:rFonts w:ascii="Corbel" w:hAnsi="Corbel"/>
                <w:sz w:val="24"/>
                <w:szCs w:val="24"/>
              </w:rPr>
              <w:t xml:space="preserve">and local support coordination </w:t>
            </w:r>
            <w:r>
              <w:rPr>
                <w:rFonts w:ascii="Corbel" w:hAnsi="Corbel"/>
                <w:sz w:val="24"/>
                <w:szCs w:val="24"/>
              </w:rPr>
              <w:t>[B]</w:t>
            </w:r>
          </w:p>
          <w:p w:rsidR="00CB08E5" w:rsidRDefault="00CB08E5" w:rsidP="00D11202">
            <w:pPr>
              <w:keepNext/>
              <w:rPr>
                <w:rFonts w:ascii="Corbel" w:hAnsi="Corbel"/>
                <w:sz w:val="24"/>
                <w:szCs w:val="24"/>
              </w:rPr>
            </w:pPr>
            <w:r>
              <w:rPr>
                <w:rFonts w:ascii="Corbel" w:hAnsi="Corbel"/>
                <w:sz w:val="24"/>
                <w:szCs w:val="24"/>
              </w:rPr>
              <w:t xml:space="preserve">*see clause 12 and note </w:t>
            </w:r>
            <w:r w:rsidR="00D76539">
              <w:rPr>
                <w:rFonts w:ascii="Corbel" w:hAnsi="Corbel"/>
                <w:sz w:val="24"/>
                <w:szCs w:val="24"/>
              </w:rPr>
              <w:t xml:space="preserve">some of </w:t>
            </w:r>
            <w:r>
              <w:rPr>
                <w:rFonts w:ascii="Corbel" w:hAnsi="Corbel"/>
                <w:sz w:val="24"/>
                <w:szCs w:val="24"/>
              </w:rPr>
              <w:t xml:space="preserve">the amounts in years 2 and 3 may transfer to cash as clients choose alternative responses </w:t>
            </w:r>
          </w:p>
        </w:tc>
        <w:tc>
          <w:tcPr>
            <w:tcW w:w="2201" w:type="dxa"/>
            <w:shd w:val="clear" w:color="auto" w:fill="FFFFFF"/>
          </w:tcPr>
          <w:p w:rsidR="00AD6D36" w:rsidRDefault="00AD6D36" w:rsidP="00D11202">
            <w:pPr>
              <w:keepNext/>
              <w:rPr>
                <w:rFonts w:ascii="Corbel" w:hAnsi="Corbel"/>
                <w:sz w:val="24"/>
                <w:szCs w:val="24"/>
              </w:rPr>
            </w:pPr>
            <w:r>
              <w:rPr>
                <w:rFonts w:ascii="Corbel" w:hAnsi="Corbel"/>
                <w:sz w:val="24"/>
                <w:szCs w:val="24"/>
              </w:rPr>
              <w:t>$</w:t>
            </w:r>
            <w:r w:rsidR="002E4444">
              <w:rPr>
                <w:rFonts w:ascii="Corbel" w:hAnsi="Corbel"/>
                <w:sz w:val="24"/>
                <w:szCs w:val="24"/>
              </w:rPr>
              <w:t>10</w:t>
            </w:r>
            <w:r w:rsidR="00807EDB">
              <w:rPr>
                <w:rFonts w:ascii="Corbel" w:hAnsi="Corbel"/>
                <w:sz w:val="24"/>
                <w:szCs w:val="24"/>
              </w:rPr>
              <w:t>.7</w:t>
            </w:r>
            <w:r>
              <w:rPr>
                <w:rFonts w:ascii="Corbel" w:hAnsi="Corbel"/>
                <w:sz w:val="24"/>
                <w:szCs w:val="24"/>
              </w:rPr>
              <w:t xml:space="preserve"> million</w:t>
            </w:r>
          </w:p>
        </w:tc>
        <w:tc>
          <w:tcPr>
            <w:tcW w:w="2201" w:type="dxa"/>
            <w:shd w:val="clear" w:color="auto" w:fill="FFFFFF"/>
          </w:tcPr>
          <w:p w:rsidR="00AD6D36" w:rsidRDefault="00AD6D36" w:rsidP="00CD0BDF">
            <w:pPr>
              <w:keepNext/>
              <w:rPr>
                <w:rFonts w:ascii="Corbel" w:hAnsi="Corbel"/>
                <w:sz w:val="24"/>
                <w:szCs w:val="24"/>
              </w:rPr>
            </w:pPr>
            <w:r>
              <w:rPr>
                <w:rFonts w:ascii="Corbel" w:hAnsi="Corbel"/>
                <w:sz w:val="24"/>
                <w:szCs w:val="24"/>
              </w:rPr>
              <w:t>$</w:t>
            </w:r>
            <w:r w:rsidR="002E4444">
              <w:rPr>
                <w:rFonts w:ascii="Corbel" w:hAnsi="Corbel"/>
                <w:sz w:val="24"/>
                <w:szCs w:val="24"/>
              </w:rPr>
              <w:t>61.6</w:t>
            </w:r>
            <w:r>
              <w:rPr>
                <w:rFonts w:ascii="Corbel" w:hAnsi="Corbel"/>
                <w:sz w:val="24"/>
                <w:szCs w:val="24"/>
              </w:rPr>
              <w:t xml:space="preserve"> million</w:t>
            </w:r>
            <w:r w:rsidR="00CB08E5">
              <w:rPr>
                <w:rFonts w:ascii="Corbel" w:hAnsi="Corbel"/>
                <w:sz w:val="24"/>
                <w:szCs w:val="24"/>
              </w:rPr>
              <w:t>*</w:t>
            </w:r>
          </w:p>
        </w:tc>
        <w:tc>
          <w:tcPr>
            <w:tcW w:w="2202" w:type="dxa"/>
            <w:shd w:val="clear" w:color="auto" w:fill="FFFFFF"/>
          </w:tcPr>
          <w:p w:rsidR="00AD6D36" w:rsidRDefault="00AD6D36" w:rsidP="00856D98">
            <w:pPr>
              <w:keepNext/>
              <w:rPr>
                <w:rFonts w:ascii="Corbel" w:hAnsi="Corbel"/>
                <w:sz w:val="24"/>
                <w:szCs w:val="24"/>
              </w:rPr>
            </w:pPr>
            <w:r>
              <w:rPr>
                <w:rFonts w:ascii="Corbel" w:hAnsi="Corbel"/>
                <w:sz w:val="24"/>
                <w:szCs w:val="24"/>
              </w:rPr>
              <w:t>$</w:t>
            </w:r>
            <w:r w:rsidR="002E4444">
              <w:rPr>
                <w:rFonts w:ascii="Corbel" w:hAnsi="Corbel"/>
                <w:sz w:val="24"/>
                <w:szCs w:val="24"/>
              </w:rPr>
              <w:t>90.4</w:t>
            </w:r>
            <w:r>
              <w:rPr>
                <w:rFonts w:ascii="Corbel" w:hAnsi="Corbel"/>
                <w:sz w:val="24"/>
                <w:szCs w:val="24"/>
              </w:rPr>
              <w:t xml:space="preserve"> million</w:t>
            </w:r>
            <w:r w:rsidR="00CB08E5">
              <w:rPr>
                <w:rFonts w:ascii="Corbel" w:hAnsi="Corbel"/>
                <w:sz w:val="24"/>
                <w:szCs w:val="24"/>
              </w:rPr>
              <w:t>*</w:t>
            </w:r>
          </w:p>
        </w:tc>
      </w:tr>
      <w:tr w:rsidR="000C5164" w:rsidTr="000C5164">
        <w:tblPrEx>
          <w:tblBorders>
            <w:top w:val="single" w:sz="4" w:space="0" w:color="auto"/>
            <w:bottom w:val="single" w:sz="4" w:space="0" w:color="auto"/>
            <w:insideH w:val="single" w:sz="4" w:space="0" w:color="auto"/>
          </w:tblBorders>
          <w:shd w:val="clear" w:color="auto" w:fill="auto"/>
        </w:tblPrEx>
        <w:trPr>
          <w:cantSplit/>
        </w:trPr>
        <w:tc>
          <w:tcPr>
            <w:tcW w:w="2807" w:type="dxa"/>
            <w:tcBorders>
              <w:top w:val="single" w:sz="6" w:space="0" w:color="auto"/>
              <w:bottom w:val="single" w:sz="6" w:space="0" w:color="auto"/>
            </w:tcBorders>
          </w:tcPr>
          <w:p w:rsidR="000C5164" w:rsidRDefault="000C5164" w:rsidP="000C5164">
            <w:pPr>
              <w:rPr>
                <w:rFonts w:ascii="Corbel" w:hAnsi="Corbel"/>
                <w:sz w:val="24"/>
                <w:szCs w:val="24"/>
              </w:rPr>
            </w:pPr>
            <w:r w:rsidRPr="00717578">
              <w:rPr>
                <w:rFonts w:ascii="Corbel" w:hAnsi="Corbel"/>
                <w:sz w:val="24"/>
                <w:szCs w:val="24"/>
              </w:rPr>
              <w:t>Repayment of Commonwealth grants</w:t>
            </w:r>
            <w:r>
              <w:rPr>
                <w:rFonts w:ascii="Corbel" w:hAnsi="Corbel"/>
                <w:sz w:val="24"/>
                <w:szCs w:val="24"/>
              </w:rPr>
              <w:t xml:space="preserve"> [C]</w:t>
            </w:r>
          </w:p>
        </w:tc>
        <w:tc>
          <w:tcPr>
            <w:tcW w:w="2201"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$5.5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$15.9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$32.2</w:t>
            </w:r>
            <w:r w:rsidRPr="001F0CA1">
              <w:rPr>
                <w:rFonts w:ascii="Corbel" w:hAnsi="Corbel"/>
                <w:sz w:val="24"/>
                <w:szCs w:val="24"/>
              </w:rPr>
              <w:t xml:space="preserve"> million</w:t>
            </w:r>
          </w:p>
        </w:tc>
      </w:tr>
      <w:tr w:rsidR="000C5164" w:rsidTr="00C45E7C">
        <w:tblPrEx>
          <w:tblBorders>
            <w:top w:val="single" w:sz="4" w:space="0" w:color="auto"/>
            <w:bottom w:val="single" w:sz="4" w:space="0" w:color="auto"/>
            <w:insideH w:val="single" w:sz="4" w:space="0" w:color="auto"/>
          </w:tblBorders>
          <w:shd w:val="clear" w:color="auto" w:fill="auto"/>
        </w:tblPrEx>
        <w:tc>
          <w:tcPr>
            <w:tcW w:w="2807"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SUB-TOTAL (NSW funding for individual support packages</w:t>
            </w:r>
            <w:r w:rsidR="00EA2AC7">
              <w:rPr>
                <w:rFonts w:ascii="Corbel" w:hAnsi="Corbel"/>
                <w:sz w:val="24"/>
                <w:szCs w:val="24"/>
              </w:rPr>
              <w:t xml:space="preserve"> and local support coordination</w:t>
            </w:r>
            <w:r>
              <w:rPr>
                <w:rFonts w:ascii="Corbel" w:hAnsi="Corbel"/>
                <w:sz w:val="24"/>
                <w:szCs w:val="24"/>
              </w:rPr>
              <w:t>) [A + B- C = D]</w:t>
            </w:r>
          </w:p>
        </w:tc>
        <w:tc>
          <w:tcPr>
            <w:tcW w:w="2201"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$31.2 million</w:t>
            </w:r>
          </w:p>
        </w:tc>
        <w:tc>
          <w:tcPr>
            <w:tcW w:w="2201"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$87.7 million</w:t>
            </w:r>
          </w:p>
        </w:tc>
        <w:tc>
          <w:tcPr>
            <w:tcW w:w="2202" w:type="dxa"/>
            <w:tcBorders>
              <w:top w:val="single" w:sz="6" w:space="0" w:color="auto"/>
              <w:bottom w:val="single" w:sz="6" w:space="0" w:color="auto"/>
            </w:tcBorders>
          </w:tcPr>
          <w:p w:rsidR="000C5164" w:rsidRDefault="000C5164" w:rsidP="000C5164">
            <w:pPr>
              <w:rPr>
                <w:rFonts w:ascii="Corbel" w:hAnsi="Corbel"/>
                <w:sz w:val="24"/>
                <w:szCs w:val="24"/>
              </w:rPr>
            </w:pPr>
            <w:r>
              <w:rPr>
                <w:rFonts w:ascii="Corbel" w:hAnsi="Corbel"/>
                <w:sz w:val="24"/>
                <w:szCs w:val="24"/>
              </w:rPr>
              <w:t>$174.0 million</w:t>
            </w:r>
          </w:p>
        </w:tc>
      </w:tr>
      <w:tr w:rsidR="00C45E7C" w:rsidTr="00C45E7C">
        <w:tblPrEx>
          <w:tblBorders>
            <w:top w:val="single" w:sz="4" w:space="0" w:color="auto"/>
            <w:bottom w:val="single" w:sz="4" w:space="0" w:color="auto"/>
            <w:insideH w:val="single" w:sz="4" w:space="0" w:color="auto"/>
          </w:tblBorders>
          <w:shd w:val="clear" w:color="auto" w:fill="auto"/>
        </w:tblPrEx>
        <w:trPr>
          <w:cantSplit/>
        </w:trPr>
        <w:tc>
          <w:tcPr>
            <w:tcW w:w="2807" w:type="dxa"/>
            <w:tcBorders>
              <w:top w:val="single" w:sz="6" w:space="0" w:color="auto"/>
              <w:bottom w:val="single" w:sz="6" w:space="0" w:color="auto"/>
            </w:tcBorders>
          </w:tcPr>
          <w:p w:rsidR="00C45E7C" w:rsidRDefault="00C45E7C" w:rsidP="00C45E7C">
            <w:pPr>
              <w:rPr>
                <w:rFonts w:ascii="Corbel" w:hAnsi="Corbel"/>
                <w:sz w:val="24"/>
                <w:szCs w:val="24"/>
              </w:rPr>
            </w:pPr>
            <w:r>
              <w:rPr>
                <w:rFonts w:ascii="Corbel" w:hAnsi="Corbel"/>
                <w:sz w:val="24"/>
                <w:szCs w:val="24"/>
              </w:rPr>
              <w:t>Additional in-kind contribution (including  local area coordination) and costs associated with provision of support for clients not yet transitioned [E]</w:t>
            </w:r>
          </w:p>
        </w:tc>
        <w:tc>
          <w:tcPr>
            <w:tcW w:w="2201" w:type="dxa"/>
            <w:tcBorders>
              <w:top w:val="single" w:sz="6" w:space="0" w:color="auto"/>
              <w:bottom w:val="single" w:sz="6" w:space="0" w:color="auto"/>
            </w:tcBorders>
          </w:tcPr>
          <w:p w:rsidR="00C45E7C" w:rsidRDefault="00C45E7C" w:rsidP="00CD0BDF">
            <w:pPr>
              <w:rPr>
                <w:rFonts w:ascii="Corbel" w:hAnsi="Corbel"/>
                <w:sz w:val="24"/>
                <w:szCs w:val="24"/>
              </w:rPr>
            </w:pPr>
            <w:r>
              <w:rPr>
                <w:rFonts w:ascii="Corbel" w:hAnsi="Corbel"/>
                <w:sz w:val="24"/>
                <w:szCs w:val="24"/>
              </w:rPr>
              <w:t>$135.</w:t>
            </w:r>
            <w:r w:rsidR="00B06632">
              <w:rPr>
                <w:rFonts w:ascii="Corbel" w:hAnsi="Corbel"/>
                <w:sz w:val="24"/>
                <w:szCs w:val="24"/>
              </w:rPr>
              <w:t>7</w:t>
            </w:r>
            <w:r>
              <w:rPr>
                <w:rFonts w:ascii="Corbel" w:hAnsi="Corbel"/>
                <w:sz w:val="24"/>
                <w:szCs w:val="24"/>
              </w:rPr>
              <w:t xml:space="preserve"> million</w:t>
            </w:r>
          </w:p>
        </w:tc>
        <w:tc>
          <w:tcPr>
            <w:tcW w:w="2201" w:type="dxa"/>
            <w:tcBorders>
              <w:top w:val="single" w:sz="6" w:space="0" w:color="auto"/>
              <w:bottom w:val="single" w:sz="6" w:space="0" w:color="auto"/>
            </w:tcBorders>
          </w:tcPr>
          <w:p w:rsidR="00C45E7C" w:rsidRDefault="00C45E7C" w:rsidP="00856D98">
            <w:pPr>
              <w:rPr>
                <w:rFonts w:ascii="Corbel" w:hAnsi="Corbel"/>
                <w:sz w:val="24"/>
                <w:szCs w:val="24"/>
              </w:rPr>
            </w:pPr>
            <w:r>
              <w:rPr>
                <w:rFonts w:ascii="Corbel" w:hAnsi="Corbel"/>
                <w:sz w:val="24"/>
                <w:szCs w:val="24"/>
              </w:rPr>
              <w:t>$94.</w:t>
            </w:r>
            <w:r w:rsidR="00B06632">
              <w:rPr>
                <w:rFonts w:ascii="Corbel" w:hAnsi="Corbel"/>
                <w:sz w:val="24"/>
                <w:szCs w:val="24"/>
              </w:rPr>
              <w:t>2</w:t>
            </w:r>
            <w:r>
              <w:rPr>
                <w:rFonts w:ascii="Corbel" w:hAnsi="Corbel"/>
                <w:sz w:val="24"/>
                <w:szCs w:val="24"/>
              </w:rPr>
              <w:t xml:space="preserve"> million</w:t>
            </w:r>
          </w:p>
        </w:tc>
        <w:tc>
          <w:tcPr>
            <w:tcW w:w="2202" w:type="dxa"/>
            <w:tcBorders>
              <w:top w:val="single" w:sz="6" w:space="0" w:color="auto"/>
              <w:bottom w:val="single" w:sz="6" w:space="0" w:color="auto"/>
            </w:tcBorders>
          </w:tcPr>
          <w:p w:rsidR="00C45E7C" w:rsidRDefault="00C45E7C" w:rsidP="002E4444">
            <w:pPr>
              <w:rPr>
                <w:rFonts w:ascii="Corbel" w:hAnsi="Corbel"/>
                <w:sz w:val="24"/>
                <w:szCs w:val="24"/>
              </w:rPr>
            </w:pPr>
            <w:r>
              <w:rPr>
                <w:rFonts w:ascii="Corbel" w:hAnsi="Corbel"/>
                <w:sz w:val="24"/>
                <w:szCs w:val="24"/>
              </w:rPr>
              <w:t>$2</w:t>
            </w:r>
            <w:r w:rsidR="00B06632">
              <w:rPr>
                <w:rFonts w:ascii="Corbel" w:hAnsi="Corbel"/>
                <w:sz w:val="24"/>
                <w:szCs w:val="24"/>
              </w:rPr>
              <w:t>3.9</w:t>
            </w:r>
            <w:r>
              <w:rPr>
                <w:rFonts w:ascii="Corbel" w:hAnsi="Corbel"/>
                <w:sz w:val="24"/>
                <w:szCs w:val="24"/>
              </w:rPr>
              <w:t xml:space="preserve"> million</w:t>
            </w:r>
          </w:p>
        </w:tc>
      </w:tr>
      <w:tr w:rsidR="00AD6D36" w:rsidTr="002E476B">
        <w:tc>
          <w:tcPr>
            <w:tcW w:w="2807" w:type="dxa"/>
            <w:shd w:val="clear" w:color="auto" w:fill="FFFFFF"/>
          </w:tcPr>
          <w:p w:rsidR="00AD6D36" w:rsidRDefault="00AD6D36" w:rsidP="00C45E7C">
            <w:pPr>
              <w:keepNext/>
              <w:rPr>
                <w:rFonts w:ascii="Corbel" w:hAnsi="Corbel"/>
                <w:sz w:val="24"/>
                <w:szCs w:val="24"/>
              </w:rPr>
            </w:pPr>
            <w:r>
              <w:rPr>
                <w:rFonts w:ascii="Corbel" w:hAnsi="Corbel"/>
                <w:sz w:val="24"/>
                <w:szCs w:val="24"/>
              </w:rPr>
              <w:t>TOTAL NSW contribution [</w:t>
            </w:r>
            <w:r w:rsidR="00C45E7C">
              <w:rPr>
                <w:rFonts w:ascii="Corbel" w:hAnsi="Corbel"/>
                <w:sz w:val="24"/>
                <w:szCs w:val="24"/>
              </w:rPr>
              <w:t>D + E = G</w:t>
            </w:r>
            <w:r>
              <w:rPr>
                <w:rFonts w:ascii="Corbel" w:hAnsi="Corbel"/>
                <w:sz w:val="24"/>
                <w:szCs w:val="24"/>
              </w:rPr>
              <w:t>]</w:t>
            </w:r>
          </w:p>
        </w:tc>
        <w:tc>
          <w:tcPr>
            <w:tcW w:w="2201" w:type="dxa"/>
            <w:shd w:val="clear" w:color="auto" w:fill="FFFFFF"/>
          </w:tcPr>
          <w:p w:rsidR="00AD6D36" w:rsidRDefault="00AD6D36" w:rsidP="00CD0BDF">
            <w:pPr>
              <w:keepNext/>
              <w:rPr>
                <w:rFonts w:ascii="Corbel" w:hAnsi="Corbel"/>
                <w:sz w:val="24"/>
                <w:szCs w:val="24"/>
              </w:rPr>
            </w:pPr>
            <w:r>
              <w:rPr>
                <w:rFonts w:ascii="Corbel" w:hAnsi="Corbel"/>
                <w:sz w:val="24"/>
                <w:szCs w:val="24"/>
              </w:rPr>
              <w:t>$16</w:t>
            </w:r>
            <w:r w:rsidR="00B06632">
              <w:rPr>
                <w:rFonts w:ascii="Corbel" w:hAnsi="Corbel"/>
                <w:sz w:val="24"/>
                <w:szCs w:val="24"/>
              </w:rPr>
              <w:t>6.9</w:t>
            </w:r>
            <w:r w:rsidRPr="001F0CA1">
              <w:rPr>
                <w:rFonts w:ascii="Corbel" w:hAnsi="Corbel"/>
                <w:sz w:val="24"/>
                <w:szCs w:val="24"/>
              </w:rPr>
              <w:t xml:space="preserve"> million</w:t>
            </w:r>
          </w:p>
        </w:tc>
        <w:tc>
          <w:tcPr>
            <w:tcW w:w="2201" w:type="dxa"/>
            <w:shd w:val="clear" w:color="auto" w:fill="FFFFFF"/>
          </w:tcPr>
          <w:p w:rsidR="00AD6D36" w:rsidRDefault="00AD6D36" w:rsidP="00856D98">
            <w:pPr>
              <w:keepNext/>
              <w:rPr>
                <w:rFonts w:ascii="Corbel" w:hAnsi="Corbel"/>
                <w:sz w:val="24"/>
                <w:szCs w:val="24"/>
              </w:rPr>
            </w:pPr>
            <w:r>
              <w:rPr>
                <w:rFonts w:ascii="Corbel" w:hAnsi="Corbel"/>
                <w:sz w:val="24"/>
                <w:szCs w:val="24"/>
              </w:rPr>
              <w:t>$18</w:t>
            </w:r>
            <w:r w:rsidR="00B06632">
              <w:rPr>
                <w:rFonts w:ascii="Corbel" w:hAnsi="Corbel"/>
                <w:sz w:val="24"/>
                <w:szCs w:val="24"/>
              </w:rPr>
              <w:t>1.9</w:t>
            </w:r>
            <w:r>
              <w:rPr>
                <w:rFonts w:ascii="Corbel" w:hAnsi="Corbel"/>
                <w:sz w:val="24"/>
                <w:szCs w:val="24"/>
              </w:rPr>
              <w:t xml:space="preserve"> million</w:t>
            </w:r>
          </w:p>
        </w:tc>
        <w:tc>
          <w:tcPr>
            <w:tcW w:w="2202" w:type="dxa"/>
            <w:shd w:val="clear" w:color="auto" w:fill="FFFFFF"/>
          </w:tcPr>
          <w:p w:rsidR="00AD6D36" w:rsidRDefault="00AD6D36" w:rsidP="00B06632">
            <w:pPr>
              <w:keepNext/>
              <w:rPr>
                <w:rFonts w:ascii="Corbel" w:hAnsi="Corbel"/>
                <w:sz w:val="24"/>
                <w:szCs w:val="24"/>
              </w:rPr>
            </w:pPr>
            <w:r>
              <w:rPr>
                <w:rFonts w:ascii="Corbel" w:hAnsi="Corbel"/>
                <w:sz w:val="24"/>
                <w:szCs w:val="24"/>
              </w:rPr>
              <w:t>$</w:t>
            </w:r>
            <w:r w:rsidR="002E4444">
              <w:rPr>
                <w:rFonts w:ascii="Corbel" w:hAnsi="Corbel"/>
                <w:sz w:val="24"/>
                <w:szCs w:val="24"/>
              </w:rPr>
              <w:t>19</w:t>
            </w:r>
            <w:r w:rsidR="00B06632">
              <w:rPr>
                <w:rFonts w:ascii="Corbel" w:hAnsi="Corbel"/>
                <w:sz w:val="24"/>
                <w:szCs w:val="24"/>
              </w:rPr>
              <w:t>7.9</w:t>
            </w:r>
            <w:r w:rsidRPr="001F0CA1">
              <w:rPr>
                <w:rFonts w:ascii="Corbel" w:hAnsi="Corbel"/>
                <w:sz w:val="24"/>
                <w:szCs w:val="24"/>
              </w:rPr>
              <w:t xml:space="preserve"> million</w:t>
            </w:r>
          </w:p>
        </w:tc>
      </w:tr>
      <w:bookmarkEnd w:id="3"/>
      <w:bookmarkEnd w:id="4"/>
    </w:tbl>
    <w:p w:rsidR="00414532" w:rsidRDefault="00414532" w:rsidP="00414532">
      <w:pPr>
        <w:pStyle w:val="Normalnumbered"/>
        <w:numPr>
          <w:ilvl w:val="0"/>
          <w:numId w:val="0"/>
        </w:numPr>
        <w:ind w:left="687" w:hanging="567"/>
        <w:rPr>
          <w:rFonts w:ascii="Calibri" w:hAnsi="Calibri" w:cs="Calibri"/>
          <w:color w:val="auto"/>
          <w:sz w:val="24"/>
          <w:szCs w:val="24"/>
        </w:rPr>
      </w:pPr>
    </w:p>
    <w:p w:rsidR="00873774" w:rsidRPr="00FF2DE1" w:rsidRDefault="00873774" w:rsidP="00CF2620">
      <w:pPr>
        <w:numPr>
          <w:ilvl w:val="0"/>
          <w:numId w:val="9"/>
        </w:numPr>
        <w:rPr>
          <w:rFonts w:ascii="Corbel" w:hAnsi="Corbel"/>
          <w:sz w:val="24"/>
          <w:szCs w:val="24"/>
        </w:rPr>
      </w:pPr>
      <w:bookmarkStart w:id="5" w:name="OLE_LINK1"/>
      <w:bookmarkStart w:id="6" w:name="OLE_LINK8"/>
      <w:r w:rsidRPr="00FF2DE1">
        <w:rPr>
          <w:rFonts w:ascii="Corbel" w:hAnsi="Corbel"/>
          <w:sz w:val="24"/>
          <w:szCs w:val="24"/>
        </w:rPr>
        <w:t>NSW’s contribution to launch includes funding for</w:t>
      </w:r>
      <w:r>
        <w:rPr>
          <w:rFonts w:ascii="Corbel" w:hAnsi="Corbel"/>
          <w:sz w:val="24"/>
          <w:szCs w:val="24"/>
        </w:rPr>
        <w:t xml:space="preserve"> </w:t>
      </w:r>
      <w:r w:rsidRPr="00FF2DE1">
        <w:rPr>
          <w:rFonts w:ascii="Corbel" w:hAnsi="Corbel"/>
          <w:sz w:val="24"/>
          <w:szCs w:val="24"/>
        </w:rPr>
        <w:t>Ability Links NSW and</w:t>
      </w:r>
      <w:r>
        <w:rPr>
          <w:rFonts w:ascii="Corbel" w:hAnsi="Corbel"/>
          <w:sz w:val="24"/>
          <w:szCs w:val="24"/>
        </w:rPr>
        <w:t xml:space="preserve"> o</w:t>
      </w:r>
      <w:r w:rsidRPr="00FF2DE1">
        <w:rPr>
          <w:rFonts w:ascii="Corbel" w:hAnsi="Corbel"/>
          <w:sz w:val="24"/>
          <w:szCs w:val="24"/>
        </w:rPr>
        <w:t>ther local area coordination a</w:t>
      </w:r>
      <w:r>
        <w:rPr>
          <w:rFonts w:ascii="Corbel" w:hAnsi="Corbel"/>
          <w:sz w:val="24"/>
          <w:szCs w:val="24"/>
        </w:rPr>
        <w:t xml:space="preserve">nd decision support functions (LAC component) – refer table </w:t>
      </w:r>
      <w:r w:rsidR="00C45E7C">
        <w:rPr>
          <w:rFonts w:ascii="Corbel" w:hAnsi="Corbel"/>
          <w:sz w:val="24"/>
          <w:szCs w:val="24"/>
        </w:rPr>
        <w:t>6</w:t>
      </w:r>
      <w:r>
        <w:rPr>
          <w:rFonts w:ascii="Corbel" w:hAnsi="Corbel"/>
          <w:sz w:val="24"/>
          <w:szCs w:val="24"/>
        </w:rPr>
        <w:t xml:space="preserve"> below. </w:t>
      </w:r>
      <w:r w:rsidRPr="00FF2DE1">
        <w:rPr>
          <w:rFonts w:ascii="Corbel" w:hAnsi="Corbel"/>
          <w:sz w:val="24"/>
          <w:szCs w:val="24"/>
        </w:rPr>
        <w:t>These services will likely remain as an in-kind contribution.</w:t>
      </w:r>
    </w:p>
    <w:p w:rsidR="00873774" w:rsidRDefault="001161C0" w:rsidP="00CF2620">
      <w:pPr>
        <w:keepNext/>
        <w:ind w:left="360"/>
        <w:rPr>
          <w:rFonts w:cs="Calibri"/>
          <w:sz w:val="24"/>
          <w:szCs w:val="24"/>
        </w:rPr>
      </w:pPr>
      <w:r>
        <w:rPr>
          <w:rFonts w:ascii="Corbel" w:hAnsi="Corbel"/>
          <w:b/>
          <w:sz w:val="24"/>
          <w:szCs w:val="24"/>
        </w:rPr>
        <w:t xml:space="preserve">Table </w:t>
      </w:r>
      <w:r w:rsidR="00C45E7C">
        <w:rPr>
          <w:rFonts w:ascii="Corbel" w:hAnsi="Corbel"/>
          <w:b/>
          <w:sz w:val="24"/>
          <w:szCs w:val="24"/>
        </w:rPr>
        <w:t>6</w:t>
      </w:r>
    </w:p>
    <w:tbl>
      <w:tblPr>
        <w:tblW w:w="0" w:type="auto"/>
        <w:tblInd w:w="562" w:type="dxa"/>
        <w:tblBorders>
          <w:top w:val="single" w:sz="6" w:space="0" w:color="auto"/>
          <w:left w:val="single" w:sz="4" w:space="0" w:color="auto"/>
          <w:bottom w:val="single" w:sz="6" w:space="0" w:color="auto"/>
          <w:right w:val="single" w:sz="4" w:space="0" w:color="auto"/>
          <w:insideH w:val="single" w:sz="6" w:space="0" w:color="auto"/>
          <w:insideV w:val="single" w:sz="4" w:space="0" w:color="auto"/>
        </w:tblBorders>
        <w:shd w:val="clear" w:color="auto" w:fill="FFFFFF"/>
        <w:tblLook w:val="00A0" w:firstRow="1" w:lastRow="0" w:firstColumn="1" w:lastColumn="0" w:noHBand="0" w:noVBand="0"/>
      </w:tblPr>
      <w:tblGrid>
        <w:gridCol w:w="2807"/>
        <w:gridCol w:w="2201"/>
        <w:gridCol w:w="2201"/>
        <w:gridCol w:w="2202"/>
      </w:tblGrid>
      <w:tr w:rsidR="001161C0" w:rsidRPr="001F0CA1" w:rsidTr="001161C0">
        <w:trPr>
          <w:cantSplit/>
          <w:tblHeader/>
        </w:trPr>
        <w:tc>
          <w:tcPr>
            <w:tcW w:w="2807" w:type="dxa"/>
            <w:shd w:val="clear" w:color="auto" w:fill="FFFFFF"/>
          </w:tcPr>
          <w:p w:rsidR="001161C0" w:rsidRPr="002D4F50" w:rsidRDefault="001161C0" w:rsidP="002E476B">
            <w:pPr>
              <w:keepNext/>
              <w:rPr>
                <w:rFonts w:ascii="Corbel" w:hAnsi="Corbel"/>
                <w:b/>
                <w:sz w:val="24"/>
                <w:szCs w:val="24"/>
              </w:rPr>
            </w:pPr>
          </w:p>
        </w:tc>
        <w:tc>
          <w:tcPr>
            <w:tcW w:w="2201" w:type="dxa"/>
            <w:shd w:val="clear" w:color="auto" w:fill="FFFFFF"/>
          </w:tcPr>
          <w:p w:rsidR="001161C0" w:rsidRPr="001F0CA1" w:rsidRDefault="001161C0" w:rsidP="002E476B">
            <w:pPr>
              <w:keepNext/>
              <w:rPr>
                <w:rFonts w:ascii="Corbel" w:hAnsi="Corbel"/>
                <w:sz w:val="24"/>
                <w:szCs w:val="24"/>
              </w:rPr>
            </w:pPr>
            <w:r>
              <w:rPr>
                <w:rFonts w:ascii="Corbel" w:hAnsi="Corbel"/>
                <w:sz w:val="24"/>
                <w:szCs w:val="24"/>
              </w:rPr>
              <w:t>2013-14</w:t>
            </w:r>
          </w:p>
        </w:tc>
        <w:tc>
          <w:tcPr>
            <w:tcW w:w="2201" w:type="dxa"/>
            <w:shd w:val="clear" w:color="auto" w:fill="FFFFFF"/>
          </w:tcPr>
          <w:p w:rsidR="001161C0" w:rsidRPr="001F0CA1" w:rsidRDefault="001161C0" w:rsidP="002E476B">
            <w:pPr>
              <w:keepNext/>
              <w:rPr>
                <w:rFonts w:ascii="Corbel" w:hAnsi="Corbel"/>
                <w:sz w:val="24"/>
                <w:szCs w:val="24"/>
              </w:rPr>
            </w:pPr>
            <w:r w:rsidRPr="001F0CA1">
              <w:rPr>
                <w:rFonts w:ascii="Corbel" w:hAnsi="Corbel"/>
                <w:sz w:val="24"/>
                <w:szCs w:val="24"/>
              </w:rPr>
              <w:t>2014-15</w:t>
            </w:r>
            <w:r>
              <w:rPr>
                <w:rFonts w:ascii="Corbel" w:hAnsi="Corbel"/>
                <w:sz w:val="24"/>
                <w:szCs w:val="24"/>
              </w:rPr>
              <w:t xml:space="preserve"> </w:t>
            </w:r>
          </w:p>
        </w:tc>
        <w:tc>
          <w:tcPr>
            <w:tcW w:w="2202" w:type="dxa"/>
            <w:shd w:val="clear" w:color="auto" w:fill="FFFFFF"/>
          </w:tcPr>
          <w:p w:rsidR="001161C0" w:rsidRPr="001F0CA1" w:rsidRDefault="001161C0" w:rsidP="002E476B">
            <w:pPr>
              <w:keepNext/>
              <w:rPr>
                <w:rFonts w:ascii="Corbel" w:hAnsi="Corbel"/>
                <w:sz w:val="24"/>
                <w:szCs w:val="24"/>
              </w:rPr>
            </w:pPr>
            <w:r w:rsidRPr="001F0CA1">
              <w:rPr>
                <w:rFonts w:ascii="Corbel" w:hAnsi="Corbel"/>
                <w:sz w:val="24"/>
                <w:szCs w:val="24"/>
              </w:rPr>
              <w:t>2015-16</w:t>
            </w:r>
            <w:r>
              <w:rPr>
                <w:rFonts w:ascii="Corbel" w:hAnsi="Corbel"/>
                <w:sz w:val="24"/>
                <w:szCs w:val="24"/>
              </w:rPr>
              <w:t xml:space="preserve"> </w:t>
            </w:r>
          </w:p>
        </w:tc>
      </w:tr>
      <w:tr w:rsidR="001161C0" w:rsidRPr="001A46E0" w:rsidTr="001161C0">
        <w:trPr>
          <w:cantSplit/>
        </w:trPr>
        <w:tc>
          <w:tcPr>
            <w:tcW w:w="2807"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Ability Links</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14</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14</w:t>
            </w:r>
          </w:p>
        </w:tc>
        <w:tc>
          <w:tcPr>
            <w:tcW w:w="2202"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14</w:t>
            </w:r>
          </w:p>
        </w:tc>
      </w:tr>
      <w:tr w:rsidR="001161C0" w:rsidRPr="001A46E0" w:rsidTr="001161C0">
        <w:trPr>
          <w:cantSplit/>
        </w:trPr>
        <w:tc>
          <w:tcPr>
            <w:tcW w:w="2807"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Aboriginal Ability Links</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2</w:t>
            </w:r>
          </w:p>
        </w:tc>
        <w:tc>
          <w:tcPr>
            <w:tcW w:w="2202"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2</w:t>
            </w:r>
          </w:p>
        </w:tc>
      </w:tr>
      <w:tr w:rsidR="001161C0" w:rsidRPr="001A46E0" w:rsidTr="001161C0">
        <w:trPr>
          <w:cantSplit/>
        </w:trPr>
        <w:tc>
          <w:tcPr>
            <w:tcW w:w="2807"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Diagnosis Support Workers</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4</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4</w:t>
            </w:r>
          </w:p>
        </w:tc>
        <w:tc>
          <w:tcPr>
            <w:tcW w:w="2202"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4</w:t>
            </w:r>
          </w:p>
        </w:tc>
      </w:tr>
      <w:tr w:rsidR="001161C0" w:rsidRPr="001A46E0" w:rsidTr="001161C0">
        <w:trPr>
          <w:cantSplit/>
        </w:trPr>
        <w:tc>
          <w:tcPr>
            <w:tcW w:w="2807"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Other NSW LAC capacity</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14</w:t>
            </w:r>
          </w:p>
        </w:tc>
        <w:tc>
          <w:tcPr>
            <w:tcW w:w="2202"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30</w:t>
            </w:r>
          </w:p>
        </w:tc>
      </w:tr>
      <w:tr w:rsidR="001161C0" w:rsidRPr="001A46E0" w:rsidTr="001161C0">
        <w:trPr>
          <w:cantSplit/>
        </w:trPr>
        <w:tc>
          <w:tcPr>
            <w:tcW w:w="2807"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Total</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18</w:t>
            </w:r>
          </w:p>
        </w:tc>
        <w:tc>
          <w:tcPr>
            <w:tcW w:w="2201"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34</w:t>
            </w:r>
          </w:p>
        </w:tc>
        <w:tc>
          <w:tcPr>
            <w:tcW w:w="2202" w:type="dxa"/>
            <w:shd w:val="clear" w:color="auto" w:fill="FFFFFF"/>
          </w:tcPr>
          <w:p w:rsidR="001161C0" w:rsidRPr="001A46E0" w:rsidRDefault="001161C0" w:rsidP="002E476B">
            <w:pPr>
              <w:keepNext/>
              <w:rPr>
                <w:rFonts w:ascii="Corbel" w:hAnsi="Corbel"/>
                <w:sz w:val="24"/>
                <w:szCs w:val="24"/>
              </w:rPr>
            </w:pPr>
            <w:r>
              <w:rPr>
                <w:rFonts w:ascii="Corbel" w:hAnsi="Corbel"/>
                <w:sz w:val="24"/>
                <w:szCs w:val="24"/>
              </w:rPr>
              <w:t>50</w:t>
            </w:r>
          </w:p>
        </w:tc>
      </w:tr>
      <w:tr w:rsidR="001161C0" w:rsidRPr="001A46E0" w:rsidTr="001161C0">
        <w:trPr>
          <w:cantSplit/>
        </w:trPr>
        <w:tc>
          <w:tcPr>
            <w:tcW w:w="2807" w:type="dxa"/>
            <w:shd w:val="clear" w:color="auto" w:fill="FFFFFF"/>
          </w:tcPr>
          <w:p w:rsidR="001161C0" w:rsidRPr="009B6B71" w:rsidRDefault="001161C0" w:rsidP="002E476B">
            <w:pPr>
              <w:keepNext/>
              <w:rPr>
                <w:rFonts w:ascii="Corbel" w:hAnsi="Corbel"/>
                <w:sz w:val="24"/>
                <w:szCs w:val="24"/>
              </w:rPr>
            </w:pPr>
            <w:r w:rsidRPr="009B6B71">
              <w:rPr>
                <w:rFonts w:ascii="Corbel" w:hAnsi="Corbel"/>
                <w:sz w:val="24"/>
                <w:szCs w:val="24"/>
              </w:rPr>
              <w:t>Value</w:t>
            </w:r>
          </w:p>
        </w:tc>
        <w:tc>
          <w:tcPr>
            <w:tcW w:w="2201" w:type="dxa"/>
            <w:shd w:val="clear" w:color="auto" w:fill="FFFFFF"/>
          </w:tcPr>
          <w:p w:rsidR="001161C0" w:rsidRPr="009B6B71" w:rsidRDefault="001161C0" w:rsidP="00EE7487">
            <w:pPr>
              <w:keepNext/>
              <w:rPr>
                <w:rFonts w:ascii="Corbel" w:hAnsi="Corbel"/>
                <w:sz w:val="24"/>
                <w:szCs w:val="24"/>
              </w:rPr>
            </w:pPr>
            <w:r w:rsidRPr="009B6B71">
              <w:rPr>
                <w:rFonts w:ascii="Corbel" w:hAnsi="Corbel"/>
                <w:sz w:val="24"/>
                <w:szCs w:val="24"/>
              </w:rPr>
              <w:t>$</w:t>
            </w:r>
            <w:r w:rsidR="002E4444">
              <w:rPr>
                <w:rFonts w:ascii="Corbel" w:hAnsi="Corbel"/>
                <w:sz w:val="24"/>
                <w:szCs w:val="24"/>
              </w:rPr>
              <w:t>1.9</w:t>
            </w:r>
            <w:r w:rsidR="00EA2AC7">
              <w:rPr>
                <w:rFonts w:ascii="Corbel" w:hAnsi="Corbel"/>
                <w:sz w:val="24"/>
                <w:szCs w:val="24"/>
              </w:rPr>
              <w:t xml:space="preserve"> </w:t>
            </w:r>
            <w:r w:rsidRPr="009B6B71">
              <w:rPr>
                <w:rFonts w:ascii="Corbel" w:hAnsi="Corbel"/>
                <w:sz w:val="24"/>
                <w:szCs w:val="24"/>
              </w:rPr>
              <w:t>million</w:t>
            </w:r>
          </w:p>
        </w:tc>
        <w:tc>
          <w:tcPr>
            <w:tcW w:w="2201" w:type="dxa"/>
            <w:shd w:val="clear" w:color="auto" w:fill="FFFFFF"/>
          </w:tcPr>
          <w:p w:rsidR="001161C0" w:rsidRPr="009B6B71" w:rsidRDefault="001161C0" w:rsidP="002F1146">
            <w:pPr>
              <w:keepNext/>
              <w:rPr>
                <w:rFonts w:ascii="Corbel" w:hAnsi="Corbel"/>
                <w:sz w:val="24"/>
                <w:szCs w:val="24"/>
              </w:rPr>
            </w:pPr>
            <w:r w:rsidRPr="009B6B71">
              <w:rPr>
                <w:rFonts w:ascii="Corbel" w:hAnsi="Corbel"/>
                <w:sz w:val="24"/>
                <w:szCs w:val="24"/>
              </w:rPr>
              <w:t>$</w:t>
            </w:r>
            <w:r w:rsidR="002E4444">
              <w:rPr>
                <w:rFonts w:ascii="Corbel" w:hAnsi="Corbel"/>
                <w:sz w:val="24"/>
                <w:szCs w:val="24"/>
              </w:rPr>
              <w:t>3.7</w:t>
            </w:r>
            <w:r w:rsidRPr="009B6B71">
              <w:rPr>
                <w:rFonts w:ascii="Corbel" w:hAnsi="Corbel"/>
                <w:sz w:val="24"/>
                <w:szCs w:val="24"/>
              </w:rPr>
              <w:t xml:space="preserve"> million</w:t>
            </w:r>
          </w:p>
        </w:tc>
        <w:tc>
          <w:tcPr>
            <w:tcW w:w="2202" w:type="dxa"/>
            <w:shd w:val="clear" w:color="auto" w:fill="FFFFFF"/>
          </w:tcPr>
          <w:p w:rsidR="001161C0" w:rsidRPr="009B6B71" w:rsidRDefault="001161C0" w:rsidP="002F1146">
            <w:pPr>
              <w:keepNext/>
              <w:rPr>
                <w:rFonts w:ascii="Corbel" w:hAnsi="Corbel"/>
                <w:sz w:val="24"/>
                <w:szCs w:val="24"/>
              </w:rPr>
            </w:pPr>
            <w:r w:rsidRPr="009B6B71">
              <w:rPr>
                <w:rFonts w:ascii="Corbel" w:hAnsi="Corbel"/>
                <w:sz w:val="24"/>
                <w:szCs w:val="24"/>
              </w:rPr>
              <w:t>$</w:t>
            </w:r>
            <w:r w:rsidR="002E4444">
              <w:rPr>
                <w:rFonts w:ascii="Corbel" w:hAnsi="Corbel"/>
                <w:sz w:val="24"/>
                <w:szCs w:val="24"/>
              </w:rPr>
              <w:t>5.7</w:t>
            </w:r>
            <w:r w:rsidRPr="009B6B71">
              <w:rPr>
                <w:rFonts w:ascii="Corbel" w:hAnsi="Corbel"/>
                <w:sz w:val="24"/>
                <w:szCs w:val="24"/>
              </w:rPr>
              <w:t xml:space="preserve"> million</w:t>
            </w:r>
          </w:p>
        </w:tc>
      </w:tr>
    </w:tbl>
    <w:p w:rsidR="001161C0" w:rsidRDefault="001161C0" w:rsidP="00873774">
      <w:pPr>
        <w:pStyle w:val="Normalnumbered"/>
        <w:numPr>
          <w:ilvl w:val="0"/>
          <w:numId w:val="0"/>
        </w:numPr>
        <w:ind w:left="720"/>
        <w:rPr>
          <w:rFonts w:ascii="Calibri" w:hAnsi="Calibri" w:cs="Calibri"/>
          <w:color w:val="auto"/>
          <w:sz w:val="24"/>
          <w:szCs w:val="24"/>
        </w:rPr>
      </w:pPr>
    </w:p>
    <w:p w:rsidR="00873774" w:rsidRDefault="00873774" w:rsidP="00873774">
      <w:pPr>
        <w:pStyle w:val="Normalnumbered"/>
        <w:numPr>
          <w:ilvl w:val="0"/>
          <w:numId w:val="0"/>
        </w:numPr>
        <w:ind w:left="720"/>
        <w:rPr>
          <w:rFonts w:ascii="Calibri" w:hAnsi="Calibri" w:cs="Calibri"/>
          <w:color w:val="auto"/>
          <w:sz w:val="24"/>
          <w:szCs w:val="24"/>
        </w:rPr>
      </w:pPr>
    </w:p>
    <w:p w:rsidR="00873774" w:rsidRDefault="00873774" w:rsidP="00873774">
      <w:pPr>
        <w:pStyle w:val="Normalnumbered"/>
        <w:numPr>
          <w:ilvl w:val="0"/>
          <w:numId w:val="0"/>
        </w:numPr>
        <w:ind w:left="720"/>
        <w:rPr>
          <w:rFonts w:ascii="Calibri" w:hAnsi="Calibri" w:cs="Calibri"/>
          <w:color w:val="auto"/>
          <w:sz w:val="24"/>
          <w:szCs w:val="24"/>
        </w:rPr>
      </w:pPr>
    </w:p>
    <w:p w:rsidR="00873774" w:rsidRPr="00873774" w:rsidRDefault="00873774" w:rsidP="00873774">
      <w:pPr>
        <w:pStyle w:val="Normalnumbered"/>
        <w:numPr>
          <w:ilvl w:val="0"/>
          <w:numId w:val="0"/>
        </w:numPr>
        <w:ind w:left="720"/>
        <w:rPr>
          <w:rFonts w:ascii="Calibri" w:hAnsi="Calibri" w:cs="Calibri"/>
          <w:color w:val="auto"/>
          <w:sz w:val="24"/>
          <w:szCs w:val="24"/>
        </w:rPr>
      </w:pPr>
    </w:p>
    <w:bookmarkEnd w:id="5"/>
    <w:bookmarkEnd w:id="6"/>
    <w:p w:rsidR="00260B7C" w:rsidRPr="002F6B50" w:rsidRDefault="00260B7C" w:rsidP="002F6B50">
      <w:pPr>
        <w:rPr>
          <w:rFonts w:ascii="Corbel" w:hAnsi="Corbel"/>
          <w:sz w:val="24"/>
          <w:szCs w:val="24"/>
        </w:rPr>
      </w:pPr>
    </w:p>
    <w:sectPr w:rsidR="00260B7C" w:rsidRPr="002F6B50" w:rsidSect="00B8358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96" w:rsidRDefault="00954396" w:rsidP="006C211E">
      <w:pPr>
        <w:spacing w:after="0" w:line="240" w:lineRule="auto"/>
      </w:pPr>
      <w:r>
        <w:separator/>
      </w:r>
    </w:p>
  </w:endnote>
  <w:endnote w:type="continuationSeparator" w:id="0">
    <w:p w:rsidR="00954396" w:rsidRDefault="00954396" w:rsidP="006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1" w:rsidRDefault="007D6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1" w:rsidRDefault="00D87033" w:rsidP="00DF0CAD">
    <w:pPr>
      <w:pStyle w:val="Footer"/>
      <w:jc w:val="right"/>
    </w:pPr>
    <w:r>
      <w:rPr>
        <w:rFonts w:ascii="Corbel" w:hAnsi="Corbel" w:cs="Calibri"/>
        <w:sz w:val="24"/>
        <w:szCs w:val="24"/>
      </w:rPr>
      <w:fldChar w:fldCharType="begin"/>
    </w:r>
    <w:r w:rsidR="007D6BF1">
      <w:rPr>
        <w:rFonts w:ascii="Corbel" w:hAnsi="Corbel" w:cs="Calibri"/>
        <w:sz w:val="24"/>
        <w:szCs w:val="24"/>
      </w:rPr>
      <w:instrText xml:space="preserve"> DATE \@ "d/MM/yyyy h:mm am/pm" </w:instrText>
    </w:r>
    <w:r>
      <w:rPr>
        <w:rFonts w:ascii="Corbel" w:hAnsi="Corbel" w:cs="Calibri"/>
        <w:sz w:val="24"/>
        <w:szCs w:val="24"/>
      </w:rPr>
      <w:fldChar w:fldCharType="separate"/>
    </w:r>
    <w:r w:rsidR="00927245">
      <w:rPr>
        <w:rFonts w:ascii="Corbel" w:hAnsi="Corbel" w:cs="Calibri"/>
        <w:noProof/>
        <w:sz w:val="24"/>
        <w:szCs w:val="24"/>
      </w:rPr>
      <w:t>6/12/2016 10:09 AM</w:t>
    </w:r>
    <w:r>
      <w:rPr>
        <w:rFonts w:ascii="Corbel" w:hAnsi="Corbel" w:cs="Calibri"/>
        <w:sz w:val="24"/>
        <w:szCs w:val="24"/>
      </w:rPr>
      <w:fldChar w:fldCharType="end"/>
    </w:r>
  </w:p>
  <w:p w:rsidR="007D6BF1" w:rsidRDefault="007D6BF1" w:rsidP="00DF0CAD">
    <w:pPr>
      <w:pStyle w:val="Footer"/>
      <w:jc w:val="right"/>
    </w:pPr>
    <w:r>
      <w:t xml:space="preserve">Page </w:t>
    </w:r>
    <w:r w:rsidR="00D87033">
      <w:rPr>
        <w:b/>
      </w:rPr>
      <w:fldChar w:fldCharType="begin"/>
    </w:r>
    <w:r>
      <w:rPr>
        <w:b/>
      </w:rPr>
      <w:instrText xml:space="preserve"> PAGE </w:instrText>
    </w:r>
    <w:r w:rsidR="00D87033">
      <w:rPr>
        <w:b/>
      </w:rPr>
      <w:fldChar w:fldCharType="separate"/>
    </w:r>
    <w:r w:rsidR="00927245">
      <w:rPr>
        <w:b/>
        <w:noProof/>
      </w:rPr>
      <w:t>2</w:t>
    </w:r>
    <w:r w:rsidR="00D87033">
      <w:rPr>
        <w:b/>
      </w:rPr>
      <w:fldChar w:fldCharType="end"/>
    </w:r>
    <w:r>
      <w:t xml:space="preserve"> of </w:t>
    </w:r>
    <w:r w:rsidR="00D87033">
      <w:rPr>
        <w:b/>
      </w:rPr>
      <w:fldChar w:fldCharType="begin"/>
    </w:r>
    <w:r>
      <w:rPr>
        <w:b/>
      </w:rPr>
      <w:instrText xml:space="preserve"> NUMPAGES  </w:instrText>
    </w:r>
    <w:r w:rsidR="00D87033">
      <w:rPr>
        <w:b/>
      </w:rPr>
      <w:fldChar w:fldCharType="separate"/>
    </w:r>
    <w:r w:rsidR="00927245">
      <w:rPr>
        <w:b/>
        <w:noProof/>
      </w:rPr>
      <w:t>7</w:t>
    </w:r>
    <w:r w:rsidR="00D87033">
      <w:rPr>
        <w:b/>
      </w:rPr>
      <w:fldChar w:fldCharType="end"/>
    </w:r>
  </w:p>
  <w:p w:rsidR="007D6BF1" w:rsidRDefault="007D6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1" w:rsidRDefault="007D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96" w:rsidRDefault="00954396" w:rsidP="006C211E">
      <w:pPr>
        <w:spacing w:after="0" w:line="240" w:lineRule="auto"/>
      </w:pPr>
      <w:r>
        <w:separator/>
      </w:r>
    </w:p>
  </w:footnote>
  <w:footnote w:type="continuationSeparator" w:id="0">
    <w:p w:rsidR="00954396" w:rsidRDefault="00954396" w:rsidP="006C2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1" w:rsidRDefault="007D6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1" w:rsidRPr="006C211E" w:rsidRDefault="007D6BF1" w:rsidP="006C211E">
    <w:pPr>
      <w:pStyle w:val="Header"/>
      <w:jc w:val="right"/>
      <w:rPr>
        <w:b/>
        <w:lang w:val="en-US"/>
      </w:rPr>
    </w:pPr>
    <w:r w:rsidRPr="006C211E">
      <w:rPr>
        <w:b/>
        <w:lang w:val="en-US"/>
      </w:rPr>
      <w:t>Schedule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F1" w:rsidRDefault="007D6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12E"/>
    <w:multiLevelType w:val="hybridMultilevel"/>
    <w:tmpl w:val="DD0802B2"/>
    <w:lvl w:ilvl="0" w:tplc="0C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4D26554"/>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1DF0094"/>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87A4E5B"/>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8DE6E3E"/>
    <w:multiLevelType w:val="hybridMultilevel"/>
    <w:tmpl w:val="395A838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47B36F1C"/>
    <w:multiLevelType w:val="hybridMultilevel"/>
    <w:tmpl w:val="87986BA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
    <w:nsid w:val="537B52AC"/>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6150115E"/>
    <w:multiLevelType w:val="hybridMultilevel"/>
    <w:tmpl w:val="F65AA6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nsid w:val="634E7D52"/>
    <w:multiLevelType w:val="hybridMultilevel"/>
    <w:tmpl w:val="452282C8"/>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342349"/>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abstractNum w:abstractNumId="18">
    <w:nsid w:val="7D0321B1"/>
    <w:multiLevelType w:val="hybridMultilevel"/>
    <w:tmpl w:val="6B86536E"/>
    <w:lvl w:ilvl="0" w:tplc="69344A12">
      <w:start w:val="1"/>
      <w:numFmt w:val="lowerLetter"/>
      <w:lvlText w:val="%1."/>
      <w:lvlJc w:val="left"/>
      <w:pPr>
        <w:ind w:left="14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5"/>
  </w:num>
  <w:num w:numId="4">
    <w:abstractNumId w:val="11"/>
  </w:num>
  <w:num w:numId="5">
    <w:abstractNumId w:val="14"/>
  </w:num>
  <w:num w:numId="6">
    <w:abstractNumId w:val="1"/>
  </w:num>
  <w:num w:numId="7">
    <w:abstractNumId w:val="3"/>
  </w:num>
  <w:num w:numId="8">
    <w:abstractNumId w:val="8"/>
  </w:num>
  <w:num w:numId="9">
    <w:abstractNumId w:val="13"/>
  </w:num>
  <w:num w:numId="10">
    <w:abstractNumId w:val="7"/>
  </w:num>
  <w:num w:numId="11">
    <w:abstractNumId w:val="9"/>
  </w:num>
  <w:num w:numId="12">
    <w:abstractNumId w:val="12"/>
  </w:num>
  <w:num w:numId="13">
    <w:abstractNumId w:val="6"/>
  </w:num>
  <w:num w:numId="14">
    <w:abstractNumId w:val="4"/>
  </w:num>
  <w:num w:numId="15">
    <w:abstractNumId w:val="10"/>
  </w:num>
  <w:num w:numId="16">
    <w:abstractNumId w:val="16"/>
  </w:num>
  <w:num w:numId="17">
    <w:abstractNumId w:val="1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B"/>
    <w:rsid w:val="0000283A"/>
    <w:rsid w:val="000048EC"/>
    <w:rsid w:val="00007072"/>
    <w:rsid w:val="00032B0D"/>
    <w:rsid w:val="00041192"/>
    <w:rsid w:val="00053E0B"/>
    <w:rsid w:val="00054A43"/>
    <w:rsid w:val="00060748"/>
    <w:rsid w:val="000808CA"/>
    <w:rsid w:val="00083415"/>
    <w:rsid w:val="00097DB8"/>
    <w:rsid w:val="000B1E64"/>
    <w:rsid w:val="000C5164"/>
    <w:rsid w:val="000C6BE1"/>
    <w:rsid w:val="000D4791"/>
    <w:rsid w:val="000D6120"/>
    <w:rsid w:val="000E2A48"/>
    <w:rsid w:val="00112159"/>
    <w:rsid w:val="00112597"/>
    <w:rsid w:val="001161C0"/>
    <w:rsid w:val="001233A1"/>
    <w:rsid w:val="001306F0"/>
    <w:rsid w:val="00130E2A"/>
    <w:rsid w:val="00142CB1"/>
    <w:rsid w:val="001467D0"/>
    <w:rsid w:val="00147B07"/>
    <w:rsid w:val="001839C8"/>
    <w:rsid w:val="0019457F"/>
    <w:rsid w:val="001A0335"/>
    <w:rsid w:val="001A46E0"/>
    <w:rsid w:val="001B3D62"/>
    <w:rsid w:val="001D19E7"/>
    <w:rsid w:val="001D2DA5"/>
    <w:rsid w:val="001E627D"/>
    <w:rsid w:val="001F0CA1"/>
    <w:rsid w:val="001F2A90"/>
    <w:rsid w:val="001F68A2"/>
    <w:rsid w:val="00201718"/>
    <w:rsid w:val="002017AD"/>
    <w:rsid w:val="0021574C"/>
    <w:rsid w:val="00251D82"/>
    <w:rsid w:val="0026058C"/>
    <w:rsid w:val="00260B7C"/>
    <w:rsid w:val="00271D28"/>
    <w:rsid w:val="00295237"/>
    <w:rsid w:val="00297EFC"/>
    <w:rsid w:val="002C0335"/>
    <w:rsid w:val="002C192E"/>
    <w:rsid w:val="002C1F86"/>
    <w:rsid w:val="002D15A1"/>
    <w:rsid w:val="002D415F"/>
    <w:rsid w:val="002D4F50"/>
    <w:rsid w:val="002D5C97"/>
    <w:rsid w:val="002D75AF"/>
    <w:rsid w:val="002E1656"/>
    <w:rsid w:val="002E4444"/>
    <w:rsid w:val="002E476B"/>
    <w:rsid w:val="002F1146"/>
    <w:rsid w:val="002F3038"/>
    <w:rsid w:val="002F6B50"/>
    <w:rsid w:val="00306781"/>
    <w:rsid w:val="00343303"/>
    <w:rsid w:val="0035146D"/>
    <w:rsid w:val="00363528"/>
    <w:rsid w:val="0036523B"/>
    <w:rsid w:val="00365EFF"/>
    <w:rsid w:val="00380966"/>
    <w:rsid w:val="00381A1C"/>
    <w:rsid w:val="0039031C"/>
    <w:rsid w:val="00391AC7"/>
    <w:rsid w:val="003C19A2"/>
    <w:rsid w:val="003C404B"/>
    <w:rsid w:val="003E780E"/>
    <w:rsid w:val="003F31FF"/>
    <w:rsid w:val="003F5705"/>
    <w:rsid w:val="0040328A"/>
    <w:rsid w:val="00404213"/>
    <w:rsid w:val="004106C5"/>
    <w:rsid w:val="00413D15"/>
    <w:rsid w:val="00414532"/>
    <w:rsid w:val="00424832"/>
    <w:rsid w:val="00434BB7"/>
    <w:rsid w:val="004410EC"/>
    <w:rsid w:val="00441B9E"/>
    <w:rsid w:val="00443209"/>
    <w:rsid w:val="004534D9"/>
    <w:rsid w:val="00455FEA"/>
    <w:rsid w:val="004570F4"/>
    <w:rsid w:val="00474335"/>
    <w:rsid w:val="0048469C"/>
    <w:rsid w:val="0048634C"/>
    <w:rsid w:val="00490E40"/>
    <w:rsid w:val="00491B6F"/>
    <w:rsid w:val="004B6441"/>
    <w:rsid w:val="004E3CC7"/>
    <w:rsid w:val="004F267A"/>
    <w:rsid w:val="00503AD3"/>
    <w:rsid w:val="0053039A"/>
    <w:rsid w:val="00560E80"/>
    <w:rsid w:val="005732D6"/>
    <w:rsid w:val="0058003F"/>
    <w:rsid w:val="0058131F"/>
    <w:rsid w:val="005923F4"/>
    <w:rsid w:val="00593C63"/>
    <w:rsid w:val="0059468C"/>
    <w:rsid w:val="005C525A"/>
    <w:rsid w:val="005C791D"/>
    <w:rsid w:val="005D530A"/>
    <w:rsid w:val="005E24DE"/>
    <w:rsid w:val="005E6D4E"/>
    <w:rsid w:val="00614BA7"/>
    <w:rsid w:val="00616F5E"/>
    <w:rsid w:val="0061795F"/>
    <w:rsid w:val="006361D2"/>
    <w:rsid w:val="0064667A"/>
    <w:rsid w:val="00661789"/>
    <w:rsid w:val="00675777"/>
    <w:rsid w:val="006837F1"/>
    <w:rsid w:val="006C1240"/>
    <w:rsid w:val="006C211E"/>
    <w:rsid w:val="006C677D"/>
    <w:rsid w:val="006D0CC7"/>
    <w:rsid w:val="006E5C5C"/>
    <w:rsid w:val="006F2D04"/>
    <w:rsid w:val="00713706"/>
    <w:rsid w:val="007143EC"/>
    <w:rsid w:val="0071747C"/>
    <w:rsid w:val="00717578"/>
    <w:rsid w:val="00723D9F"/>
    <w:rsid w:val="007267CB"/>
    <w:rsid w:val="00730EF6"/>
    <w:rsid w:val="00745B13"/>
    <w:rsid w:val="00750ECE"/>
    <w:rsid w:val="00754103"/>
    <w:rsid w:val="0076118A"/>
    <w:rsid w:val="00762CBD"/>
    <w:rsid w:val="007636FD"/>
    <w:rsid w:val="00771E3E"/>
    <w:rsid w:val="00776896"/>
    <w:rsid w:val="0078528D"/>
    <w:rsid w:val="00785516"/>
    <w:rsid w:val="007864DD"/>
    <w:rsid w:val="00792774"/>
    <w:rsid w:val="007A0059"/>
    <w:rsid w:val="007B4785"/>
    <w:rsid w:val="007B7F7F"/>
    <w:rsid w:val="007C001B"/>
    <w:rsid w:val="007C232D"/>
    <w:rsid w:val="007C5887"/>
    <w:rsid w:val="007D6BF1"/>
    <w:rsid w:val="007D79BE"/>
    <w:rsid w:val="007E2C86"/>
    <w:rsid w:val="007E5B15"/>
    <w:rsid w:val="00803177"/>
    <w:rsid w:val="00807EDB"/>
    <w:rsid w:val="008234AF"/>
    <w:rsid w:val="00831735"/>
    <w:rsid w:val="00837C34"/>
    <w:rsid w:val="00844E03"/>
    <w:rsid w:val="0084560D"/>
    <w:rsid w:val="00856D98"/>
    <w:rsid w:val="008612F3"/>
    <w:rsid w:val="00873774"/>
    <w:rsid w:val="00875F3D"/>
    <w:rsid w:val="008B51DC"/>
    <w:rsid w:val="008E4D9C"/>
    <w:rsid w:val="008F19BF"/>
    <w:rsid w:val="008F4AFC"/>
    <w:rsid w:val="00927245"/>
    <w:rsid w:val="00936312"/>
    <w:rsid w:val="00943B21"/>
    <w:rsid w:val="00954396"/>
    <w:rsid w:val="00954E3C"/>
    <w:rsid w:val="009725CD"/>
    <w:rsid w:val="00985FE4"/>
    <w:rsid w:val="009B6B71"/>
    <w:rsid w:val="009C1971"/>
    <w:rsid w:val="009C67AF"/>
    <w:rsid w:val="009D0C2B"/>
    <w:rsid w:val="00A17F02"/>
    <w:rsid w:val="00A27760"/>
    <w:rsid w:val="00A309C2"/>
    <w:rsid w:val="00A350B2"/>
    <w:rsid w:val="00A513DC"/>
    <w:rsid w:val="00A60CEE"/>
    <w:rsid w:val="00A66D8B"/>
    <w:rsid w:val="00A71AE8"/>
    <w:rsid w:val="00A77BF6"/>
    <w:rsid w:val="00AD6D36"/>
    <w:rsid w:val="00AE620D"/>
    <w:rsid w:val="00AE7B9B"/>
    <w:rsid w:val="00AF4CCC"/>
    <w:rsid w:val="00B018AA"/>
    <w:rsid w:val="00B02FB1"/>
    <w:rsid w:val="00B06632"/>
    <w:rsid w:val="00B406EE"/>
    <w:rsid w:val="00B43BB2"/>
    <w:rsid w:val="00B45337"/>
    <w:rsid w:val="00B6481C"/>
    <w:rsid w:val="00B8358C"/>
    <w:rsid w:val="00B925F9"/>
    <w:rsid w:val="00B95385"/>
    <w:rsid w:val="00B96D62"/>
    <w:rsid w:val="00BA7712"/>
    <w:rsid w:val="00BC1360"/>
    <w:rsid w:val="00BD6BBE"/>
    <w:rsid w:val="00BE50B4"/>
    <w:rsid w:val="00BF2A76"/>
    <w:rsid w:val="00BF599A"/>
    <w:rsid w:val="00C0585C"/>
    <w:rsid w:val="00C20BE8"/>
    <w:rsid w:val="00C270ED"/>
    <w:rsid w:val="00C35984"/>
    <w:rsid w:val="00C45E7C"/>
    <w:rsid w:val="00C546F9"/>
    <w:rsid w:val="00C905EA"/>
    <w:rsid w:val="00C91A02"/>
    <w:rsid w:val="00CB08E5"/>
    <w:rsid w:val="00CC4307"/>
    <w:rsid w:val="00CC7888"/>
    <w:rsid w:val="00CD0BDF"/>
    <w:rsid w:val="00CF2620"/>
    <w:rsid w:val="00CF55E0"/>
    <w:rsid w:val="00CF6944"/>
    <w:rsid w:val="00D01C79"/>
    <w:rsid w:val="00D033DE"/>
    <w:rsid w:val="00D0510B"/>
    <w:rsid w:val="00D11202"/>
    <w:rsid w:val="00D30D97"/>
    <w:rsid w:val="00D50B7F"/>
    <w:rsid w:val="00D517E6"/>
    <w:rsid w:val="00D76539"/>
    <w:rsid w:val="00D80676"/>
    <w:rsid w:val="00D85699"/>
    <w:rsid w:val="00D87033"/>
    <w:rsid w:val="00D96F1E"/>
    <w:rsid w:val="00DA4EE8"/>
    <w:rsid w:val="00DC3BC2"/>
    <w:rsid w:val="00DD0354"/>
    <w:rsid w:val="00DD4282"/>
    <w:rsid w:val="00DF0CAD"/>
    <w:rsid w:val="00DF70FA"/>
    <w:rsid w:val="00E0016C"/>
    <w:rsid w:val="00E0042C"/>
    <w:rsid w:val="00E03524"/>
    <w:rsid w:val="00E03A25"/>
    <w:rsid w:val="00E120AC"/>
    <w:rsid w:val="00E149BE"/>
    <w:rsid w:val="00E301BA"/>
    <w:rsid w:val="00E35EBE"/>
    <w:rsid w:val="00E44C2A"/>
    <w:rsid w:val="00E47198"/>
    <w:rsid w:val="00E51406"/>
    <w:rsid w:val="00E60ACF"/>
    <w:rsid w:val="00E726D5"/>
    <w:rsid w:val="00E7551E"/>
    <w:rsid w:val="00E77359"/>
    <w:rsid w:val="00EA2AC7"/>
    <w:rsid w:val="00EC493F"/>
    <w:rsid w:val="00EE27BB"/>
    <w:rsid w:val="00EE7487"/>
    <w:rsid w:val="00EF0FDF"/>
    <w:rsid w:val="00F15C35"/>
    <w:rsid w:val="00F34F3E"/>
    <w:rsid w:val="00F36925"/>
    <w:rsid w:val="00F4083B"/>
    <w:rsid w:val="00F6043D"/>
    <w:rsid w:val="00F66C14"/>
    <w:rsid w:val="00F66DD6"/>
    <w:rsid w:val="00F70219"/>
    <w:rsid w:val="00F75FB5"/>
    <w:rsid w:val="00F77C3E"/>
    <w:rsid w:val="00F81A6E"/>
    <w:rsid w:val="00F8582F"/>
    <w:rsid w:val="00F973A9"/>
    <w:rsid w:val="00FC678B"/>
    <w:rsid w:val="00FD17B2"/>
    <w:rsid w:val="00FF2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15"/>
    <w:pPr>
      <w:spacing w:after="200" w:line="276" w:lineRule="auto"/>
    </w:pPr>
    <w:rPr>
      <w:sz w:val="22"/>
      <w:szCs w:val="22"/>
      <w:lang w:eastAsia="en-US"/>
    </w:rPr>
  </w:style>
  <w:style w:type="paragraph" w:styleId="Heading1">
    <w:name w:val="heading 1"/>
    <w:basedOn w:val="Normal"/>
    <w:next w:val="Normal"/>
    <w:link w:val="Heading1Char"/>
    <w:qFormat/>
    <w:rsid w:val="00F77C3E"/>
    <w:pPr>
      <w:keepNext/>
      <w:spacing w:before="480" w:after="180" w:line="240" w:lineRule="auto"/>
      <w:outlineLvl w:val="0"/>
    </w:pPr>
    <w:rPr>
      <w:rFonts w:ascii="Consolas" w:hAnsi="Consolas"/>
      <w:caps/>
      <w:color w:val="3D4B67"/>
      <w:kern w:val="3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link w:val="NormalnumberedChar"/>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qFormat/>
    <w:rsid w:val="00AE7B9B"/>
    <w:pPr>
      <w:ind w:left="720"/>
      <w:contextualSpacing/>
    </w:pPr>
  </w:style>
  <w:style w:type="character" w:styleId="BookTitle">
    <w:name w:val="Book Title"/>
    <w:qFormat/>
    <w:rsid w:val="00AE7B9B"/>
    <w:rPr>
      <w:i/>
      <w:smallCaps/>
      <w:spacing w:val="5"/>
    </w:rPr>
  </w:style>
  <w:style w:type="table" w:styleId="TableGrid">
    <w:name w:val="Table Grid"/>
    <w:basedOn w:val="TableNormal"/>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F77C3E"/>
    <w:rPr>
      <w:rFonts w:ascii="Consolas" w:hAnsi="Consolas"/>
      <w:caps/>
      <w:color w:val="3D4B67"/>
      <w:kern w:val="32"/>
      <w:sz w:val="36"/>
    </w:rPr>
  </w:style>
  <w:style w:type="paragraph" w:customStyle="1" w:styleId="TableText">
    <w:name w:val="Table Text"/>
    <w:basedOn w:val="Normal"/>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rsid w:val="00381A1C"/>
    <w:pPr>
      <w:keepNext/>
    </w:pPr>
    <w:rPr>
      <w:b/>
    </w:rPr>
  </w:style>
  <w:style w:type="character" w:styleId="CommentReference">
    <w:name w:val="annotation reference"/>
    <w:semiHidden/>
    <w:rsid w:val="00DD4282"/>
    <w:rPr>
      <w:rFonts w:cs="Times New Roman"/>
      <w:sz w:val="16"/>
    </w:rPr>
  </w:style>
  <w:style w:type="paragraph" w:styleId="CommentText">
    <w:name w:val="annotation text"/>
    <w:basedOn w:val="Normal"/>
    <w:link w:val="CommentTextChar"/>
    <w:rsid w:val="00DD4282"/>
    <w:rPr>
      <w:sz w:val="20"/>
      <w:szCs w:val="20"/>
    </w:rPr>
  </w:style>
  <w:style w:type="character" w:customStyle="1" w:styleId="CommentTextChar">
    <w:name w:val="Comment Text Char"/>
    <w:link w:val="CommentText"/>
    <w:locked/>
    <w:rsid w:val="00DD4282"/>
    <w:rPr>
      <w:lang w:eastAsia="en-US"/>
    </w:rPr>
  </w:style>
  <w:style w:type="paragraph" w:styleId="BalloonText">
    <w:name w:val="Balloon Text"/>
    <w:basedOn w:val="Normal"/>
    <w:link w:val="BalloonTextChar"/>
    <w:semiHidden/>
    <w:rsid w:val="00DD4282"/>
    <w:pPr>
      <w:spacing w:after="0" w:line="240" w:lineRule="auto"/>
    </w:pPr>
    <w:rPr>
      <w:rFonts w:ascii="Tahoma" w:hAnsi="Tahoma"/>
      <w:sz w:val="16"/>
      <w:szCs w:val="20"/>
    </w:rPr>
  </w:style>
  <w:style w:type="character" w:customStyle="1" w:styleId="BalloonTextChar">
    <w:name w:val="Balloon Text Char"/>
    <w:link w:val="BalloonText"/>
    <w:semiHidden/>
    <w:locked/>
    <w:rsid w:val="00DD4282"/>
    <w:rPr>
      <w:rFonts w:ascii="Tahoma" w:hAnsi="Tahoma"/>
      <w:sz w:val="16"/>
      <w:lang w:eastAsia="en-US"/>
    </w:rPr>
  </w:style>
  <w:style w:type="paragraph" w:styleId="Header">
    <w:name w:val="header"/>
    <w:basedOn w:val="Normal"/>
    <w:link w:val="HeaderChar"/>
    <w:semiHidden/>
    <w:rsid w:val="006C211E"/>
    <w:pPr>
      <w:tabs>
        <w:tab w:val="center" w:pos="4513"/>
        <w:tab w:val="right" w:pos="9026"/>
      </w:tabs>
      <w:spacing w:after="0" w:line="240" w:lineRule="auto"/>
    </w:pPr>
  </w:style>
  <w:style w:type="character" w:customStyle="1" w:styleId="HeaderChar">
    <w:name w:val="Header Char"/>
    <w:link w:val="Header"/>
    <w:semiHidden/>
    <w:locked/>
    <w:rsid w:val="006C211E"/>
    <w:rPr>
      <w:rFonts w:cs="Times New Roman"/>
      <w:sz w:val="22"/>
      <w:szCs w:val="22"/>
      <w:lang w:eastAsia="en-US"/>
    </w:rPr>
  </w:style>
  <w:style w:type="paragraph" w:styleId="Footer">
    <w:name w:val="footer"/>
    <w:basedOn w:val="Normal"/>
    <w:link w:val="FooterChar"/>
    <w:semiHidden/>
    <w:rsid w:val="006C211E"/>
    <w:pPr>
      <w:tabs>
        <w:tab w:val="center" w:pos="4513"/>
        <w:tab w:val="right" w:pos="9026"/>
      </w:tabs>
      <w:spacing w:after="0" w:line="240" w:lineRule="auto"/>
    </w:pPr>
  </w:style>
  <w:style w:type="character" w:customStyle="1" w:styleId="FooterChar">
    <w:name w:val="Footer Char"/>
    <w:link w:val="Footer"/>
    <w:semiHidden/>
    <w:locked/>
    <w:rsid w:val="006C211E"/>
    <w:rPr>
      <w:rFonts w:cs="Times New Roman"/>
      <w:sz w:val="22"/>
      <w:szCs w:val="22"/>
      <w:lang w:eastAsia="en-US"/>
    </w:rPr>
  </w:style>
  <w:style w:type="paragraph" w:styleId="CommentSubject">
    <w:name w:val="annotation subject"/>
    <w:basedOn w:val="CommentText"/>
    <w:next w:val="CommentText"/>
    <w:link w:val="CommentSubjectChar"/>
    <w:semiHidden/>
    <w:rsid w:val="002D75AF"/>
    <w:pPr>
      <w:spacing w:line="240" w:lineRule="auto"/>
    </w:pPr>
    <w:rPr>
      <w:b/>
      <w:bCs/>
    </w:rPr>
  </w:style>
  <w:style w:type="character" w:customStyle="1" w:styleId="CommentSubjectChar">
    <w:name w:val="Comment Subject Char"/>
    <w:link w:val="CommentSubject"/>
    <w:semiHidden/>
    <w:locked/>
    <w:rsid w:val="002D75AF"/>
    <w:rPr>
      <w:rFonts w:cs="Times New Roman"/>
      <w:b/>
      <w:bCs/>
      <w:lang w:eastAsia="en-US"/>
    </w:rPr>
  </w:style>
  <w:style w:type="character" w:customStyle="1" w:styleId="NormalnumberedChar">
    <w:name w:val="Normal numbered Char"/>
    <w:link w:val="Normalnumbered"/>
    <w:locked/>
    <w:rsid w:val="0035146D"/>
    <w:rPr>
      <w:rFonts w:ascii="Corbel" w:eastAsia="Times New Roman" w:hAnsi="Corbel" w:cs="Times New Roman"/>
      <w:color w:val="000000"/>
      <w:lang w:val="en-AU" w:eastAsia="en-AU" w:bidi="ar-SA"/>
    </w:rPr>
  </w:style>
  <w:style w:type="paragraph" w:styleId="Revision">
    <w:name w:val="Revision"/>
    <w:hidden/>
    <w:uiPriority w:val="99"/>
    <w:semiHidden/>
    <w:rsid w:val="00FC678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15"/>
    <w:pPr>
      <w:spacing w:after="200" w:line="276" w:lineRule="auto"/>
    </w:pPr>
    <w:rPr>
      <w:sz w:val="22"/>
      <w:szCs w:val="22"/>
      <w:lang w:eastAsia="en-US"/>
    </w:rPr>
  </w:style>
  <w:style w:type="paragraph" w:styleId="Heading1">
    <w:name w:val="heading 1"/>
    <w:basedOn w:val="Normal"/>
    <w:next w:val="Normal"/>
    <w:link w:val="Heading1Char"/>
    <w:qFormat/>
    <w:rsid w:val="00F77C3E"/>
    <w:pPr>
      <w:keepNext/>
      <w:spacing w:before="480" w:after="180" w:line="240" w:lineRule="auto"/>
      <w:outlineLvl w:val="0"/>
    </w:pPr>
    <w:rPr>
      <w:rFonts w:ascii="Consolas" w:hAnsi="Consolas"/>
      <w:caps/>
      <w:color w:val="3D4B67"/>
      <w:kern w:val="3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link w:val="NormalnumberedChar"/>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qFormat/>
    <w:rsid w:val="00AE7B9B"/>
    <w:pPr>
      <w:ind w:left="720"/>
      <w:contextualSpacing/>
    </w:pPr>
  </w:style>
  <w:style w:type="character" w:styleId="BookTitle">
    <w:name w:val="Book Title"/>
    <w:qFormat/>
    <w:rsid w:val="00AE7B9B"/>
    <w:rPr>
      <w:i/>
      <w:smallCaps/>
      <w:spacing w:val="5"/>
    </w:rPr>
  </w:style>
  <w:style w:type="table" w:styleId="TableGrid">
    <w:name w:val="Table Grid"/>
    <w:basedOn w:val="TableNormal"/>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F77C3E"/>
    <w:rPr>
      <w:rFonts w:ascii="Consolas" w:hAnsi="Consolas"/>
      <w:caps/>
      <w:color w:val="3D4B67"/>
      <w:kern w:val="32"/>
      <w:sz w:val="36"/>
    </w:rPr>
  </w:style>
  <w:style w:type="paragraph" w:customStyle="1" w:styleId="TableText">
    <w:name w:val="Table Text"/>
    <w:basedOn w:val="Normal"/>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rsid w:val="00381A1C"/>
    <w:pPr>
      <w:keepNext/>
    </w:pPr>
    <w:rPr>
      <w:b/>
    </w:rPr>
  </w:style>
  <w:style w:type="character" w:styleId="CommentReference">
    <w:name w:val="annotation reference"/>
    <w:semiHidden/>
    <w:rsid w:val="00DD4282"/>
    <w:rPr>
      <w:rFonts w:cs="Times New Roman"/>
      <w:sz w:val="16"/>
    </w:rPr>
  </w:style>
  <w:style w:type="paragraph" w:styleId="CommentText">
    <w:name w:val="annotation text"/>
    <w:basedOn w:val="Normal"/>
    <w:link w:val="CommentTextChar"/>
    <w:rsid w:val="00DD4282"/>
    <w:rPr>
      <w:sz w:val="20"/>
      <w:szCs w:val="20"/>
    </w:rPr>
  </w:style>
  <w:style w:type="character" w:customStyle="1" w:styleId="CommentTextChar">
    <w:name w:val="Comment Text Char"/>
    <w:link w:val="CommentText"/>
    <w:locked/>
    <w:rsid w:val="00DD4282"/>
    <w:rPr>
      <w:lang w:eastAsia="en-US"/>
    </w:rPr>
  </w:style>
  <w:style w:type="paragraph" w:styleId="BalloonText">
    <w:name w:val="Balloon Text"/>
    <w:basedOn w:val="Normal"/>
    <w:link w:val="BalloonTextChar"/>
    <w:semiHidden/>
    <w:rsid w:val="00DD4282"/>
    <w:pPr>
      <w:spacing w:after="0" w:line="240" w:lineRule="auto"/>
    </w:pPr>
    <w:rPr>
      <w:rFonts w:ascii="Tahoma" w:hAnsi="Tahoma"/>
      <w:sz w:val="16"/>
      <w:szCs w:val="20"/>
    </w:rPr>
  </w:style>
  <w:style w:type="character" w:customStyle="1" w:styleId="BalloonTextChar">
    <w:name w:val="Balloon Text Char"/>
    <w:link w:val="BalloonText"/>
    <w:semiHidden/>
    <w:locked/>
    <w:rsid w:val="00DD4282"/>
    <w:rPr>
      <w:rFonts w:ascii="Tahoma" w:hAnsi="Tahoma"/>
      <w:sz w:val="16"/>
      <w:lang w:eastAsia="en-US"/>
    </w:rPr>
  </w:style>
  <w:style w:type="paragraph" w:styleId="Header">
    <w:name w:val="header"/>
    <w:basedOn w:val="Normal"/>
    <w:link w:val="HeaderChar"/>
    <w:semiHidden/>
    <w:rsid w:val="006C211E"/>
    <w:pPr>
      <w:tabs>
        <w:tab w:val="center" w:pos="4513"/>
        <w:tab w:val="right" w:pos="9026"/>
      </w:tabs>
      <w:spacing w:after="0" w:line="240" w:lineRule="auto"/>
    </w:pPr>
  </w:style>
  <w:style w:type="character" w:customStyle="1" w:styleId="HeaderChar">
    <w:name w:val="Header Char"/>
    <w:link w:val="Header"/>
    <w:semiHidden/>
    <w:locked/>
    <w:rsid w:val="006C211E"/>
    <w:rPr>
      <w:rFonts w:cs="Times New Roman"/>
      <w:sz w:val="22"/>
      <w:szCs w:val="22"/>
      <w:lang w:eastAsia="en-US"/>
    </w:rPr>
  </w:style>
  <w:style w:type="paragraph" w:styleId="Footer">
    <w:name w:val="footer"/>
    <w:basedOn w:val="Normal"/>
    <w:link w:val="FooterChar"/>
    <w:semiHidden/>
    <w:rsid w:val="006C211E"/>
    <w:pPr>
      <w:tabs>
        <w:tab w:val="center" w:pos="4513"/>
        <w:tab w:val="right" w:pos="9026"/>
      </w:tabs>
      <w:spacing w:after="0" w:line="240" w:lineRule="auto"/>
    </w:pPr>
  </w:style>
  <w:style w:type="character" w:customStyle="1" w:styleId="FooterChar">
    <w:name w:val="Footer Char"/>
    <w:link w:val="Footer"/>
    <w:semiHidden/>
    <w:locked/>
    <w:rsid w:val="006C211E"/>
    <w:rPr>
      <w:rFonts w:cs="Times New Roman"/>
      <w:sz w:val="22"/>
      <w:szCs w:val="22"/>
      <w:lang w:eastAsia="en-US"/>
    </w:rPr>
  </w:style>
  <w:style w:type="paragraph" w:styleId="CommentSubject">
    <w:name w:val="annotation subject"/>
    <w:basedOn w:val="CommentText"/>
    <w:next w:val="CommentText"/>
    <w:link w:val="CommentSubjectChar"/>
    <w:semiHidden/>
    <w:rsid w:val="002D75AF"/>
    <w:pPr>
      <w:spacing w:line="240" w:lineRule="auto"/>
    </w:pPr>
    <w:rPr>
      <w:b/>
      <w:bCs/>
    </w:rPr>
  </w:style>
  <w:style w:type="character" w:customStyle="1" w:styleId="CommentSubjectChar">
    <w:name w:val="Comment Subject Char"/>
    <w:link w:val="CommentSubject"/>
    <w:semiHidden/>
    <w:locked/>
    <w:rsid w:val="002D75AF"/>
    <w:rPr>
      <w:rFonts w:cs="Times New Roman"/>
      <w:b/>
      <w:bCs/>
      <w:lang w:eastAsia="en-US"/>
    </w:rPr>
  </w:style>
  <w:style w:type="character" w:customStyle="1" w:styleId="NormalnumberedChar">
    <w:name w:val="Normal numbered Char"/>
    <w:link w:val="Normalnumbered"/>
    <w:locked/>
    <w:rsid w:val="0035146D"/>
    <w:rPr>
      <w:rFonts w:ascii="Corbel" w:eastAsia="Times New Roman" w:hAnsi="Corbel" w:cs="Times New Roman"/>
      <w:color w:val="000000"/>
      <w:lang w:val="en-AU" w:eastAsia="en-AU" w:bidi="ar-SA"/>
    </w:rPr>
  </w:style>
  <w:style w:type="paragraph" w:styleId="Revision">
    <w:name w:val="Revision"/>
    <w:hidden/>
    <w:uiPriority w:val="99"/>
    <w:semiHidden/>
    <w:rsid w:val="00FC67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74365145">
      <w:bodyDiv w:val="1"/>
      <w:marLeft w:val="0"/>
      <w:marRight w:val="0"/>
      <w:marTop w:val="0"/>
      <w:marBottom w:val="0"/>
      <w:divBdr>
        <w:top w:val="none" w:sz="0" w:space="0" w:color="auto"/>
        <w:left w:val="none" w:sz="0" w:space="0" w:color="auto"/>
        <w:bottom w:val="none" w:sz="0" w:space="0" w:color="auto"/>
        <w:right w:val="none" w:sz="0" w:space="0" w:color="auto"/>
      </w:divBdr>
    </w:div>
    <w:div w:id="12852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B339-E22A-4073-A681-4B4238EC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0</TotalTime>
  <Pages>7</Pages>
  <Words>1426</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APPENDIX D – BALANCE OF CASH AND IN-KIND CONTRIBUTIONS IN NEW SOUTH WALES</vt:lpstr>
    </vt:vector>
  </TitlesOfParts>
  <Company>Department of the Prime Minister and Cabinet</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BALANCE OF CASH AND IN-KIND CONTRIBUTIONS IN NEW SOUTH WALES</dc:title>
  <dc:creator>pmc5254</dc:creator>
  <cp:lastModifiedBy>Toth, Tania</cp:lastModifiedBy>
  <cp:revision>2</cp:revision>
  <cp:lastPrinted>2013-04-01T23:07:00Z</cp:lastPrinted>
  <dcterms:created xsi:type="dcterms:W3CDTF">2016-12-05T23:39:00Z</dcterms:created>
  <dcterms:modified xsi:type="dcterms:W3CDTF">2016-12-05T23:39:00Z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A339284</vt:lpwstr>
  </property>
  <property fmtid="{D5CDD505-2E9C-101B-9397-08002B2CF9AE}" pid="3" name="Objective-Title">
    <vt:lpwstr>NSW Appendix D - Balance of cash and inkind - 10 April 13</vt:lpwstr>
  </property>
  <property fmtid="{D5CDD505-2E9C-101B-9397-08002B2CF9AE}" pid="4" name="Objective-Comment">
    <vt:lpwstr>
    </vt:lpwstr>
  </property>
  <property fmtid="{D5CDD505-2E9C-101B-9397-08002B2CF9AE}" pid="5" name="Objective-CreationStamp">
    <vt:filetime>2013-04-10T06:17:40Z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2013-04-10T06:25:37Z</vt:filetime>
  </property>
  <property fmtid="{D5CDD505-2E9C-101B-9397-08002B2CF9AE}" pid="10" name="Objective-Owner">
    <vt:lpwstr>Kate Burford</vt:lpwstr>
  </property>
  <property fmtid="{D5CDD505-2E9C-101B-9397-08002B2CF9AE}" pid="11" name="Objective-Path">
    <vt:lpwstr>Objective Global Folder:Strategic Policy and Coordination Group:Education, Families and Communities Branch:INTERGOVERNMENTAL:Select Council on Disability Reform:NDIS Bilaterals 2013:20130410 Docs:</vt:lpwstr>
  </property>
  <property fmtid="{D5CDD505-2E9C-101B-9397-08002B2CF9AE}" pid="12" name="Objective-Parent">
    <vt:lpwstr>20130410 Docs</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Document Type [system]">
    <vt:lpwstr>Meeting Papers (MP)</vt:lpwstr>
  </property>
  <property fmtid="{D5CDD505-2E9C-101B-9397-08002B2CF9AE}" pid="21" name="Objective-Approval Status [system]">
    <vt:lpwstr>Never Submitted</vt:lpwstr>
  </property>
  <property fmtid="{D5CDD505-2E9C-101B-9397-08002B2CF9AE}" pid="22" name="Objective-Approval Date [system]">
    <vt:lpwstr>
    </vt:lpwstr>
  </property>
  <property fmtid="{D5CDD505-2E9C-101B-9397-08002B2CF9AE}" pid="23" name="Objective-Information Links [system]">
    <vt:lpwstr>
    </vt:lpwstr>
  </property>
</Properties>
</file>