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EA" w:rsidRPr="00F77C3E" w:rsidRDefault="00B919D6" w:rsidP="00150BC0">
      <w:pPr>
        <w:pStyle w:val="Heading1"/>
        <w:pBdr>
          <w:bottom w:val="single" w:sz="4" w:space="0" w:color="auto"/>
        </w:pBdr>
        <w:spacing w:before="0"/>
        <w:rPr>
          <w:rFonts w:ascii="Corbel" w:hAnsi="Corbel" w:cs="Calibri"/>
          <w:color w:val="auto"/>
          <w:sz w:val="24"/>
          <w:szCs w:val="24"/>
        </w:rPr>
      </w:pPr>
      <w:bookmarkStart w:id="0" w:name="_GoBack"/>
      <w:bookmarkEnd w:id="0"/>
      <w:r>
        <w:rPr>
          <w:rFonts w:ascii="Corbel" w:hAnsi="Corbel" w:cs="Calibri"/>
          <w:color w:val="auto"/>
          <w:sz w:val="24"/>
          <w:szCs w:val="24"/>
        </w:rPr>
        <w:t xml:space="preserve">UPDATED </w:t>
      </w:r>
      <w:r w:rsidR="00C34FEA" w:rsidRPr="00F77C3E">
        <w:rPr>
          <w:rFonts w:ascii="Corbel" w:hAnsi="Corbel" w:cs="Calibri"/>
          <w:color w:val="auto"/>
          <w:sz w:val="24"/>
          <w:szCs w:val="24"/>
        </w:rPr>
        <w:t xml:space="preserve">APPENDIX </w:t>
      </w:r>
      <w:r>
        <w:rPr>
          <w:rFonts w:ascii="Corbel" w:hAnsi="Corbel" w:cs="Calibri"/>
          <w:color w:val="auto"/>
          <w:sz w:val="24"/>
          <w:szCs w:val="24"/>
        </w:rPr>
        <w:t>C</w:t>
      </w:r>
      <w:r w:rsidR="00C34FEA" w:rsidRPr="00F77C3E">
        <w:rPr>
          <w:rFonts w:ascii="Corbel" w:hAnsi="Corbel" w:cs="Calibri"/>
          <w:color w:val="auto"/>
          <w:sz w:val="24"/>
          <w:szCs w:val="24"/>
        </w:rPr>
        <w:t xml:space="preserve"> – </w:t>
      </w:r>
      <w:r w:rsidR="00C34FEA">
        <w:rPr>
          <w:rFonts w:ascii="Corbel" w:hAnsi="Corbel" w:cs="Calibri"/>
          <w:color w:val="auto"/>
          <w:sz w:val="24"/>
          <w:szCs w:val="24"/>
        </w:rPr>
        <w:t>New South Wales</w:t>
      </w:r>
      <w:r w:rsidR="00C34FEA" w:rsidRPr="00F77C3E">
        <w:rPr>
          <w:rFonts w:ascii="Corbel" w:hAnsi="Corbel" w:cs="Calibri"/>
          <w:color w:val="auto"/>
          <w:sz w:val="24"/>
          <w:szCs w:val="24"/>
        </w:rPr>
        <w:t xml:space="preserve"> PLANNED INTAKE OF </w:t>
      </w:r>
      <w:r w:rsidR="00C34FEA">
        <w:rPr>
          <w:rFonts w:ascii="Corbel" w:hAnsi="Corbel" w:cs="Calibri"/>
          <w:color w:val="auto"/>
          <w:sz w:val="24"/>
          <w:szCs w:val="24"/>
        </w:rPr>
        <w:t>PARTICIPAN</w:t>
      </w:r>
      <w:r w:rsidR="00C34FEA" w:rsidRPr="00F77C3E">
        <w:rPr>
          <w:rFonts w:ascii="Corbel" w:hAnsi="Corbel" w:cs="Calibri"/>
          <w:color w:val="auto"/>
          <w:sz w:val="24"/>
          <w:szCs w:val="24"/>
        </w:rPr>
        <w:t>TS</w:t>
      </w:r>
      <w:r w:rsidR="00C34FEA">
        <w:rPr>
          <w:rFonts w:ascii="Corbel" w:hAnsi="Corbel" w:cs="Calibri"/>
          <w:color w:val="auto"/>
          <w:sz w:val="24"/>
          <w:szCs w:val="24"/>
        </w:rPr>
        <w:t xml:space="preserve"> </w:t>
      </w:r>
    </w:p>
    <w:p w:rsidR="00C34FEA" w:rsidRDefault="00C34FEA" w:rsidP="00053E0B">
      <w:pPr>
        <w:numPr>
          <w:ilvl w:val="0"/>
          <w:numId w:val="9"/>
        </w:numPr>
        <w:rPr>
          <w:rFonts w:ascii="Corbel" w:hAnsi="Corbel"/>
          <w:sz w:val="24"/>
          <w:szCs w:val="24"/>
        </w:rPr>
      </w:pPr>
      <w:r w:rsidRPr="00F77C3E">
        <w:rPr>
          <w:rFonts w:ascii="Corbel" w:hAnsi="Corbel"/>
          <w:sz w:val="24"/>
          <w:szCs w:val="24"/>
        </w:rPr>
        <w:t xml:space="preserve">This appendix sets out the agreed intake of </w:t>
      </w:r>
      <w:r>
        <w:rPr>
          <w:rFonts w:ascii="Corbel" w:hAnsi="Corbel"/>
          <w:sz w:val="24"/>
          <w:szCs w:val="24"/>
        </w:rPr>
        <w:t>participan</w:t>
      </w:r>
      <w:r w:rsidRPr="00F77C3E">
        <w:rPr>
          <w:rFonts w:ascii="Corbel" w:hAnsi="Corbel"/>
          <w:sz w:val="24"/>
          <w:szCs w:val="24"/>
        </w:rPr>
        <w:t xml:space="preserve">ts, as agreed in clause </w:t>
      </w:r>
      <w:r>
        <w:rPr>
          <w:rFonts w:ascii="Corbel" w:hAnsi="Corbel"/>
          <w:sz w:val="24"/>
          <w:szCs w:val="24"/>
        </w:rPr>
        <w:t>2</w:t>
      </w:r>
      <w:r w:rsidRPr="00F77C3E">
        <w:rPr>
          <w:rFonts w:ascii="Corbel" w:hAnsi="Corbel"/>
          <w:sz w:val="24"/>
          <w:szCs w:val="24"/>
        </w:rPr>
        <w:t xml:space="preserve"> of Appendix</w:t>
      </w:r>
      <w:r w:rsidR="00BF79CC">
        <w:rPr>
          <w:rFonts w:ascii="Corbel" w:hAnsi="Corbel"/>
          <w:sz w:val="24"/>
          <w:szCs w:val="24"/>
        </w:rPr>
        <w:t> </w:t>
      </w:r>
      <w:r>
        <w:rPr>
          <w:rFonts w:ascii="Corbel" w:hAnsi="Corbel"/>
          <w:sz w:val="24"/>
          <w:szCs w:val="24"/>
        </w:rPr>
        <w:t>A</w:t>
      </w:r>
      <w:r w:rsidR="003A5277">
        <w:rPr>
          <w:rFonts w:ascii="Corbel" w:hAnsi="Corbel"/>
          <w:sz w:val="24"/>
          <w:szCs w:val="24"/>
        </w:rPr>
        <w:t xml:space="preserve"> and supersedes Appendix B and Appendix C</w:t>
      </w:r>
      <w:r w:rsidRPr="00F77C3E">
        <w:rPr>
          <w:rFonts w:ascii="Corbel" w:hAnsi="Corbel"/>
          <w:sz w:val="24"/>
          <w:szCs w:val="24"/>
        </w:rPr>
        <w:t xml:space="preserve">.  </w:t>
      </w:r>
      <w:r>
        <w:rPr>
          <w:rFonts w:ascii="Corbel" w:hAnsi="Corbel"/>
          <w:sz w:val="24"/>
          <w:szCs w:val="24"/>
        </w:rPr>
        <w:t xml:space="preserve">This </w:t>
      </w:r>
      <w:r w:rsidR="002A6E07">
        <w:rPr>
          <w:rFonts w:ascii="Corbel" w:hAnsi="Corbel"/>
          <w:sz w:val="24"/>
          <w:szCs w:val="24"/>
        </w:rPr>
        <w:t xml:space="preserve">quarterly </w:t>
      </w:r>
      <w:r>
        <w:rPr>
          <w:rFonts w:ascii="Corbel" w:hAnsi="Corbel"/>
          <w:sz w:val="24"/>
          <w:szCs w:val="24"/>
        </w:rPr>
        <w:t>timetable schedule has been designed to facilitate an orderly intake of participants to the NDIS.</w:t>
      </w:r>
    </w:p>
    <w:p w:rsidR="002A6E07" w:rsidRDefault="002A6E07" w:rsidP="002A6E07">
      <w:pPr>
        <w:numPr>
          <w:ilvl w:val="0"/>
          <w:numId w:val="9"/>
        </w:numPr>
        <w:rPr>
          <w:rFonts w:ascii="Corbel" w:hAnsi="Corbel"/>
          <w:sz w:val="24"/>
          <w:szCs w:val="24"/>
        </w:rPr>
      </w:pPr>
      <w:r>
        <w:rPr>
          <w:rFonts w:ascii="Corbel" w:hAnsi="Corbel"/>
          <w:sz w:val="24"/>
          <w:szCs w:val="24"/>
        </w:rPr>
        <w:t>In this appendix, existing participant refers to an NDIS participant who was accessing or was scheduled to access a state</w:t>
      </w:r>
      <w:r w:rsidR="00F80FA2">
        <w:rPr>
          <w:rFonts w:ascii="Corbel" w:hAnsi="Corbel"/>
          <w:sz w:val="24"/>
          <w:szCs w:val="24"/>
        </w:rPr>
        <w:t>-</w:t>
      </w:r>
      <w:r>
        <w:rPr>
          <w:rFonts w:ascii="Corbel" w:hAnsi="Corbel"/>
          <w:sz w:val="24"/>
          <w:szCs w:val="24"/>
        </w:rPr>
        <w:t xml:space="preserve">funded </w:t>
      </w:r>
      <w:r w:rsidR="00C550B1">
        <w:rPr>
          <w:rFonts w:ascii="Corbel" w:hAnsi="Corbel"/>
          <w:sz w:val="24"/>
          <w:szCs w:val="24"/>
        </w:rPr>
        <w:t xml:space="preserve">specialist </w:t>
      </w:r>
      <w:r>
        <w:rPr>
          <w:rFonts w:ascii="Corbel" w:hAnsi="Corbel"/>
          <w:sz w:val="24"/>
          <w:szCs w:val="24"/>
        </w:rPr>
        <w:t>disability program prior to becoming a</w:t>
      </w:r>
      <w:r w:rsidR="00F80FA2">
        <w:rPr>
          <w:rFonts w:ascii="Corbel" w:hAnsi="Corbel"/>
          <w:sz w:val="24"/>
          <w:szCs w:val="24"/>
        </w:rPr>
        <w:t>n</w:t>
      </w:r>
      <w:r>
        <w:rPr>
          <w:rFonts w:ascii="Corbel" w:hAnsi="Corbel"/>
          <w:sz w:val="24"/>
          <w:szCs w:val="24"/>
        </w:rPr>
        <w:t xml:space="preserve"> NDIS participant.  New participant means any other participant, including participants previously receiving Commonwealth</w:t>
      </w:r>
      <w:r w:rsidR="00F80FA2">
        <w:rPr>
          <w:rFonts w:ascii="Corbel" w:hAnsi="Corbel"/>
          <w:sz w:val="24"/>
          <w:szCs w:val="24"/>
        </w:rPr>
        <w:t>-</w:t>
      </w:r>
      <w:r>
        <w:rPr>
          <w:rFonts w:ascii="Corbel" w:hAnsi="Corbel"/>
          <w:sz w:val="24"/>
          <w:szCs w:val="24"/>
        </w:rPr>
        <w:t xml:space="preserve">funded services. </w:t>
      </w:r>
    </w:p>
    <w:p w:rsidR="00C34FEA" w:rsidRDefault="00C34FEA" w:rsidP="00B85F94">
      <w:pPr>
        <w:numPr>
          <w:ilvl w:val="0"/>
          <w:numId w:val="9"/>
        </w:numPr>
        <w:rPr>
          <w:rFonts w:ascii="Corbel" w:hAnsi="Corbel"/>
          <w:sz w:val="24"/>
          <w:szCs w:val="24"/>
        </w:rPr>
      </w:pPr>
      <w:r w:rsidRPr="00F77C3E">
        <w:rPr>
          <w:rFonts w:ascii="Corbel" w:hAnsi="Corbel"/>
          <w:sz w:val="24"/>
          <w:szCs w:val="24"/>
        </w:rPr>
        <w:t xml:space="preserve">This intake has been designed </w:t>
      </w:r>
      <w:r w:rsidR="00ED6EFE">
        <w:rPr>
          <w:rFonts w:ascii="Corbel" w:hAnsi="Corbel"/>
          <w:sz w:val="24"/>
          <w:szCs w:val="24"/>
        </w:rPr>
        <w:t>to ensure</w:t>
      </w:r>
      <w:r w:rsidRPr="00F77C3E">
        <w:rPr>
          <w:rFonts w:ascii="Corbel" w:hAnsi="Corbel"/>
          <w:sz w:val="24"/>
          <w:szCs w:val="24"/>
        </w:rPr>
        <w:t xml:space="preserve"> </w:t>
      </w:r>
      <w:r>
        <w:rPr>
          <w:rFonts w:ascii="Corbel" w:hAnsi="Corbel"/>
          <w:sz w:val="24"/>
          <w:szCs w:val="24"/>
        </w:rPr>
        <w:t xml:space="preserve">consideration </w:t>
      </w:r>
      <w:r w:rsidR="00ED6EFE">
        <w:rPr>
          <w:rFonts w:ascii="Corbel" w:hAnsi="Corbel"/>
          <w:sz w:val="24"/>
          <w:szCs w:val="24"/>
        </w:rPr>
        <w:t xml:space="preserve">is given </w:t>
      </w:r>
      <w:r>
        <w:rPr>
          <w:rFonts w:ascii="Corbel" w:hAnsi="Corbel"/>
          <w:sz w:val="24"/>
          <w:szCs w:val="24"/>
        </w:rPr>
        <w:t>to:</w:t>
      </w:r>
    </w:p>
    <w:p w:rsidR="00C34FEA" w:rsidRDefault="00C34FEA" w:rsidP="00B85F94">
      <w:pPr>
        <w:numPr>
          <w:ilvl w:val="1"/>
          <w:numId w:val="9"/>
        </w:numPr>
        <w:rPr>
          <w:rFonts w:ascii="Corbel" w:hAnsi="Corbel"/>
          <w:sz w:val="24"/>
          <w:szCs w:val="24"/>
        </w:rPr>
      </w:pPr>
      <w:r>
        <w:rPr>
          <w:rFonts w:ascii="Corbel" w:hAnsi="Corbel"/>
          <w:sz w:val="24"/>
          <w:szCs w:val="24"/>
        </w:rPr>
        <w:t>the appropriate balance of:</w:t>
      </w:r>
    </w:p>
    <w:p w:rsidR="00C34FEA" w:rsidRDefault="00C34FEA">
      <w:pPr>
        <w:numPr>
          <w:ilvl w:val="2"/>
          <w:numId w:val="9"/>
        </w:numPr>
        <w:rPr>
          <w:rFonts w:ascii="Corbel" w:hAnsi="Corbel"/>
          <w:sz w:val="24"/>
          <w:szCs w:val="24"/>
        </w:rPr>
      </w:pPr>
      <w:r>
        <w:rPr>
          <w:rFonts w:ascii="Corbel" w:hAnsi="Corbel"/>
          <w:sz w:val="24"/>
          <w:szCs w:val="24"/>
        </w:rPr>
        <w:t>participants with varying needs of support;</w:t>
      </w:r>
      <w:r w:rsidR="00F80FA2">
        <w:rPr>
          <w:rFonts w:ascii="Corbel" w:hAnsi="Corbel"/>
          <w:sz w:val="24"/>
          <w:szCs w:val="24"/>
        </w:rPr>
        <w:t xml:space="preserve"> and</w:t>
      </w:r>
    </w:p>
    <w:p w:rsidR="00C34FEA" w:rsidRDefault="00C34FEA">
      <w:pPr>
        <w:numPr>
          <w:ilvl w:val="2"/>
          <w:numId w:val="9"/>
        </w:numPr>
        <w:rPr>
          <w:rFonts w:ascii="Corbel" w:hAnsi="Corbel"/>
          <w:sz w:val="24"/>
          <w:szCs w:val="24"/>
        </w:rPr>
      </w:pPr>
      <w:r>
        <w:rPr>
          <w:rFonts w:ascii="Corbel" w:hAnsi="Corbel"/>
          <w:sz w:val="24"/>
          <w:szCs w:val="24"/>
        </w:rPr>
        <w:t xml:space="preserve">existing and new participants. </w:t>
      </w:r>
    </w:p>
    <w:p w:rsidR="00C34FEA" w:rsidRDefault="00C34FEA" w:rsidP="0065448D">
      <w:pPr>
        <w:numPr>
          <w:ilvl w:val="1"/>
          <w:numId w:val="9"/>
        </w:numPr>
        <w:rPr>
          <w:rFonts w:ascii="Corbel" w:hAnsi="Corbel"/>
          <w:sz w:val="24"/>
          <w:szCs w:val="24"/>
        </w:rPr>
      </w:pPr>
      <w:bookmarkStart w:id="1" w:name="OLE_LINK1"/>
      <w:r>
        <w:rPr>
          <w:rFonts w:ascii="Corbel" w:hAnsi="Corbel"/>
          <w:sz w:val="24"/>
          <w:szCs w:val="24"/>
        </w:rPr>
        <w:t xml:space="preserve">alignment of the number of participants and their support needs with </w:t>
      </w:r>
      <w:r w:rsidR="00393866">
        <w:rPr>
          <w:rFonts w:ascii="Corbel" w:hAnsi="Corbel"/>
          <w:sz w:val="24"/>
          <w:szCs w:val="24"/>
        </w:rPr>
        <w:t>the</w:t>
      </w:r>
      <w:r>
        <w:rPr>
          <w:rFonts w:ascii="Corbel" w:hAnsi="Corbel"/>
          <w:sz w:val="24"/>
          <w:szCs w:val="24"/>
        </w:rPr>
        <w:t xml:space="preserve"> operational capacity</w:t>
      </w:r>
      <w:r w:rsidR="00393866">
        <w:rPr>
          <w:rFonts w:ascii="Corbel" w:hAnsi="Corbel"/>
          <w:sz w:val="24"/>
          <w:szCs w:val="24"/>
        </w:rPr>
        <w:t xml:space="preserve"> of the National Disability Insurance Agency (the Agency)</w:t>
      </w:r>
      <w:r>
        <w:rPr>
          <w:rFonts w:ascii="Corbel" w:hAnsi="Corbel"/>
          <w:sz w:val="24"/>
          <w:szCs w:val="24"/>
        </w:rPr>
        <w:t>;</w:t>
      </w:r>
    </w:p>
    <w:p w:rsidR="00C34FEA" w:rsidRDefault="00C34FEA" w:rsidP="0065448D">
      <w:pPr>
        <w:numPr>
          <w:ilvl w:val="1"/>
          <w:numId w:val="9"/>
        </w:numPr>
        <w:rPr>
          <w:rFonts w:ascii="Corbel" w:hAnsi="Corbel" w:cs="Calibri"/>
          <w:sz w:val="24"/>
          <w:szCs w:val="24"/>
        </w:rPr>
      </w:pPr>
      <w:r>
        <w:rPr>
          <w:rFonts w:ascii="Corbel" w:hAnsi="Corbel" w:cs="Calibri"/>
          <w:sz w:val="24"/>
          <w:szCs w:val="24"/>
        </w:rPr>
        <w:t xml:space="preserve">the readiness and willingness of existing </w:t>
      </w:r>
      <w:r>
        <w:rPr>
          <w:rFonts w:ascii="Corbel" w:hAnsi="Corbel"/>
          <w:sz w:val="24"/>
          <w:szCs w:val="24"/>
        </w:rPr>
        <w:t xml:space="preserve">participants </w:t>
      </w:r>
      <w:r>
        <w:rPr>
          <w:rFonts w:ascii="Corbel" w:hAnsi="Corbel" w:cs="Calibri"/>
          <w:sz w:val="24"/>
          <w:szCs w:val="24"/>
        </w:rPr>
        <w:t>to participate, including the need for adequate pre-engagement and transition planning with people with disability, carers and families;</w:t>
      </w:r>
    </w:p>
    <w:bookmarkEnd w:id="1"/>
    <w:p w:rsidR="00C34FEA" w:rsidRDefault="00C34FEA" w:rsidP="0065448D">
      <w:pPr>
        <w:numPr>
          <w:ilvl w:val="1"/>
          <w:numId w:val="9"/>
        </w:numPr>
        <w:rPr>
          <w:rFonts w:ascii="Corbel" w:hAnsi="Corbel" w:cs="Calibri"/>
          <w:sz w:val="24"/>
          <w:szCs w:val="24"/>
        </w:rPr>
      </w:pPr>
      <w:r>
        <w:rPr>
          <w:rFonts w:ascii="Corbel" w:hAnsi="Corbel" w:cs="Calibri"/>
          <w:sz w:val="24"/>
          <w:szCs w:val="24"/>
        </w:rPr>
        <w:t>the readiness of existing providers to transition to new payment arrangements, including consideration of existing NSW contractual requirements;</w:t>
      </w:r>
    </w:p>
    <w:p w:rsidR="00C34FEA" w:rsidRDefault="00C34FEA" w:rsidP="0065448D">
      <w:pPr>
        <w:numPr>
          <w:ilvl w:val="1"/>
          <w:numId w:val="9"/>
        </w:numPr>
        <w:rPr>
          <w:rFonts w:ascii="Corbel" w:hAnsi="Corbel" w:cs="Calibri"/>
          <w:sz w:val="24"/>
          <w:szCs w:val="24"/>
        </w:rPr>
      </w:pPr>
      <w:r>
        <w:rPr>
          <w:rFonts w:ascii="Corbel" w:hAnsi="Corbel" w:cs="Calibri"/>
          <w:sz w:val="24"/>
          <w:szCs w:val="24"/>
        </w:rPr>
        <w:t xml:space="preserve">the need to ensure continuity and no disadvantage for participants </w:t>
      </w:r>
      <w:r w:rsidR="00F80FA2">
        <w:rPr>
          <w:rFonts w:ascii="Corbel" w:hAnsi="Corbel" w:cs="Calibri"/>
          <w:sz w:val="24"/>
          <w:szCs w:val="24"/>
        </w:rPr>
        <w:t>who</w:t>
      </w:r>
      <w:r>
        <w:rPr>
          <w:rFonts w:ascii="Corbel" w:hAnsi="Corbel" w:cs="Calibri"/>
          <w:sz w:val="24"/>
          <w:szCs w:val="24"/>
        </w:rPr>
        <w:t xml:space="preserve"> reside outside </w:t>
      </w:r>
      <w:r w:rsidR="00ED0352">
        <w:rPr>
          <w:rFonts w:ascii="Corbel" w:hAnsi="Corbel" w:cs="Calibri"/>
          <w:sz w:val="24"/>
          <w:szCs w:val="24"/>
        </w:rPr>
        <w:t xml:space="preserve">the </w:t>
      </w:r>
      <w:r w:rsidR="00E25227">
        <w:rPr>
          <w:rFonts w:ascii="Corbel" w:hAnsi="Corbel" w:cs="Calibri"/>
          <w:sz w:val="24"/>
          <w:szCs w:val="24"/>
        </w:rPr>
        <w:t>trial</w:t>
      </w:r>
      <w:r>
        <w:rPr>
          <w:rFonts w:ascii="Corbel" w:hAnsi="Corbel" w:cs="Calibri"/>
          <w:sz w:val="24"/>
          <w:szCs w:val="24"/>
        </w:rPr>
        <w:t xml:space="preserve"> </w:t>
      </w:r>
      <w:r w:rsidR="00E25227">
        <w:rPr>
          <w:rFonts w:ascii="Corbel" w:hAnsi="Corbel" w:cs="Calibri"/>
          <w:sz w:val="24"/>
          <w:szCs w:val="24"/>
        </w:rPr>
        <w:t>site</w:t>
      </w:r>
      <w:r>
        <w:rPr>
          <w:rFonts w:ascii="Corbel" w:hAnsi="Corbel" w:cs="Calibri"/>
          <w:sz w:val="24"/>
          <w:szCs w:val="24"/>
        </w:rPr>
        <w:t xml:space="preserve">, including </w:t>
      </w:r>
      <w:r>
        <w:rPr>
          <w:rFonts w:ascii="Corbel" w:hAnsi="Corbel"/>
          <w:sz w:val="24"/>
          <w:szCs w:val="24"/>
        </w:rPr>
        <w:t xml:space="preserve">participants </w:t>
      </w:r>
      <w:r>
        <w:rPr>
          <w:rFonts w:ascii="Corbel" w:hAnsi="Corbel" w:cs="Calibri"/>
          <w:sz w:val="24"/>
          <w:szCs w:val="24"/>
        </w:rPr>
        <w:t>that receive supports from within</w:t>
      </w:r>
      <w:r w:rsidR="005A0E4C">
        <w:rPr>
          <w:rFonts w:ascii="Corbel" w:hAnsi="Corbel" w:cs="Calibri"/>
          <w:sz w:val="24"/>
          <w:szCs w:val="24"/>
        </w:rPr>
        <w:t xml:space="preserve"> the</w:t>
      </w:r>
      <w:r>
        <w:rPr>
          <w:rFonts w:ascii="Corbel" w:hAnsi="Corbel" w:cs="Calibri"/>
          <w:sz w:val="24"/>
          <w:szCs w:val="24"/>
        </w:rPr>
        <w:t xml:space="preserve"> </w:t>
      </w:r>
      <w:r w:rsidR="00E25227">
        <w:rPr>
          <w:rFonts w:ascii="Corbel" w:hAnsi="Corbel" w:cs="Calibri"/>
          <w:sz w:val="24"/>
          <w:szCs w:val="24"/>
        </w:rPr>
        <w:t>trial site</w:t>
      </w:r>
      <w:r>
        <w:rPr>
          <w:rFonts w:ascii="Corbel" w:hAnsi="Corbel" w:cs="Calibri"/>
          <w:sz w:val="24"/>
          <w:szCs w:val="24"/>
        </w:rPr>
        <w:t>; and</w:t>
      </w:r>
    </w:p>
    <w:p w:rsidR="00C34FEA" w:rsidRDefault="00C34FEA" w:rsidP="0065448D">
      <w:pPr>
        <w:numPr>
          <w:ilvl w:val="1"/>
          <w:numId w:val="9"/>
        </w:numPr>
        <w:rPr>
          <w:rFonts w:ascii="Corbel" w:hAnsi="Corbel" w:cs="Calibri"/>
          <w:sz w:val="24"/>
          <w:szCs w:val="24"/>
        </w:rPr>
      </w:pPr>
      <w:r>
        <w:rPr>
          <w:rFonts w:ascii="Corbel" w:hAnsi="Corbel" w:cs="Calibri"/>
          <w:sz w:val="24"/>
          <w:szCs w:val="24"/>
        </w:rPr>
        <w:t xml:space="preserve">seasonal patterns and life stage transition points in </w:t>
      </w:r>
      <w:r>
        <w:rPr>
          <w:rFonts w:ascii="Corbel" w:hAnsi="Corbel"/>
          <w:sz w:val="24"/>
          <w:szCs w:val="24"/>
        </w:rPr>
        <w:t xml:space="preserve">participant </w:t>
      </w:r>
      <w:r>
        <w:rPr>
          <w:rFonts w:ascii="Corbel" w:hAnsi="Corbel" w:cs="Calibri"/>
          <w:sz w:val="24"/>
          <w:szCs w:val="24"/>
        </w:rPr>
        <w:t>pathways.</w:t>
      </w:r>
    </w:p>
    <w:p w:rsidR="00C34FEA" w:rsidRDefault="00C34FEA" w:rsidP="00053E0B">
      <w:pPr>
        <w:numPr>
          <w:ilvl w:val="0"/>
          <w:numId w:val="9"/>
        </w:numPr>
        <w:rPr>
          <w:rFonts w:ascii="Corbel" w:hAnsi="Corbel"/>
          <w:sz w:val="24"/>
          <w:szCs w:val="24"/>
        </w:rPr>
      </w:pPr>
      <w:r>
        <w:rPr>
          <w:rFonts w:ascii="Corbel" w:hAnsi="Corbel"/>
          <w:sz w:val="24"/>
          <w:szCs w:val="24"/>
        </w:rPr>
        <w:t xml:space="preserve">The planned yearly intake of participants </w:t>
      </w:r>
      <w:r w:rsidR="00BE2067">
        <w:rPr>
          <w:rFonts w:ascii="Corbel" w:hAnsi="Corbel"/>
          <w:sz w:val="24"/>
          <w:szCs w:val="24"/>
        </w:rPr>
        <w:t>include</w:t>
      </w:r>
      <w:r w:rsidR="001A7BCB">
        <w:rPr>
          <w:rFonts w:ascii="Corbel" w:hAnsi="Corbel"/>
          <w:sz w:val="24"/>
          <w:szCs w:val="24"/>
        </w:rPr>
        <w:t>s</w:t>
      </w:r>
      <w:r w:rsidR="00BE2067">
        <w:rPr>
          <w:rFonts w:ascii="Corbel" w:hAnsi="Corbel"/>
          <w:sz w:val="24"/>
          <w:szCs w:val="24"/>
        </w:rPr>
        <w:t xml:space="preserve"> a mix of new participants from across the </w:t>
      </w:r>
      <w:r w:rsidR="00E25227">
        <w:rPr>
          <w:rFonts w:ascii="Corbel" w:hAnsi="Corbel"/>
          <w:sz w:val="24"/>
          <w:szCs w:val="24"/>
        </w:rPr>
        <w:t>trial</w:t>
      </w:r>
      <w:r w:rsidR="00BE2067">
        <w:rPr>
          <w:rFonts w:ascii="Corbel" w:hAnsi="Corbel"/>
          <w:sz w:val="24"/>
          <w:szCs w:val="24"/>
        </w:rPr>
        <w:t xml:space="preserve"> site and existing participants as</w:t>
      </w:r>
      <w:r w:rsidR="00FD24E6">
        <w:rPr>
          <w:rFonts w:ascii="Corbel" w:hAnsi="Corbel"/>
          <w:sz w:val="24"/>
          <w:szCs w:val="24"/>
        </w:rPr>
        <w:t xml:space="preserve"> outlined below and in Table 1:</w:t>
      </w:r>
    </w:p>
    <w:p w:rsidR="00C34FEA" w:rsidRDefault="00C34FEA" w:rsidP="00441B9E">
      <w:pPr>
        <w:numPr>
          <w:ilvl w:val="1"/>
          <w:numId w:val="9"/>
        </w:numPr>
        <w:rPr>
          <w:rFonts w:ascii="Corbel" w:hAnsi="Corbel"/>
          <w:sz w:val="24"/>
          <w:szCs w:val="24"/>
        </w:rPr>
      </w:pPr>
      <w:r>
        <w:rPr>
          <w:rFonts w:ascii="Corbel" w:hAnsi="Corbel"/>
          <w:sz w:val="24"/>
          <w:szCs w:val="24"/>
        </w:rPr>
        <w:t>For 2013-14</w:t>
      </w:r>
      <w:r w:rsidR="00794EF9">
        <w:rPr>
          <w:rFonts w:ascii="Corbel" w:hAnsi="Corbel"/>
          <w:sz w:val="24"/>
          <w:szCs w:val="24"/>
        </w:rPr>
        <w:t>,</w:t>
      </w:r>
      <w:r w:rsidR="00DC205D">
        <w:rPr>
          <w:rFonts w:ascii="Corbel" w:hAnsi="Corbel"/>
          <w:sz w:val="24"/>
          <w:szCs w:val="24"/>
        </w:rPr>
        <w:t xml:space="preserve"> </w:t>
      </w:r>
      <w:r>
        <w:rPr>
          <w:rFonts w:ascii="Corbel" w:hAnsi="Corbel"/>
          <w:sz w:val="24"/>
          <w:szCs w:val="24"/>
        </w:rPr>
        <w:t>existing participants resident in the Newcastle Local Government Area (LGA</w:t>
      </w:r>
      <w:r w:rsidR="003D1CDE">
        <w:rPr>
          <w:rFonts w:ascii="Corbel" w:hAnsi="Corbel"/>
          <w:sz w:val="24"/>
          <w:szCs w:val="24"/>
        </w:rPr>
        <w:t>)</w:t>
      </w:r>
      <w:r w:rsidR="0028602C">
        <w:rPr>
          <w:rFonts w:ascii="Corbel" w:hAnsi="Corbel"/>
          <w:sz w:val="24"/>
          <w:szCs w:val="24"/>
        </w:rPr>
        <w:t>,</w:t>
      </w:r>
      <w:r w:rsidR="003D1CDE">
        <w:rPr>
          <w:rFonts w:ascii="Corbel" w:hAnsi="Corbel"/>
          <w:sz w:val="24"/>
          <w:szCs w:val="24"/>
        </w:rPr>
        <w:t xml:space="preserve"> </w:t>
      </w:r>
      <w:r w:rsidR="00BE2067">
        <w:rPr>
          <w:rFonts w:ascii="Corbel" w:hAnsi="Corbel"/>
          <w:sz w:val="24"/>
          <w:szCs w:val="24"/>
        </w:rPr>
        <w:t>commence</w:t>
      </w:r>
      <w:r w:rsidR="00794EF9">
        <w:rPr>
          <w:rFonts w:ascii="Corbel" w:hAnsi="Corbel"/>
          <w:sz w:val="24"/>
          <w:szCs w:val="24"/>
        </w:rPr>
        <w:t xml:space="preserve"> the</w:t>
      </w:r>
      <w:r w:rsidR="00BE2067">
        <w:rPr>
          <w:rFonts w:ascii="Corbel" w:hAnsi="Corbel"/>
          <w:sz w:val="24"/>
          <w:szCs w:val="24"/>
        </w:rPr>
        <w:t xml:space="preserve"> entry of existing participants </w:t>
      </w:r>
      <w:r w:rsidR="00DE550B">
        <w:rPr>
          <w:rFonts w:ascii="Corbel" w:hAnsi="Corbel"/>
          <w:sz w:val="24"/>
          <w:szCs w:val="24"/>
        </w:rPr>
        <w:t xml:space="preserve">in the </w:t>
      </w:r>
      <w:r w:rsidR="00BE2067">
        <w:rPr>
          <w:rFonts w:ascii="Corbel" w:hAnsi="Corbel"/>
          <w:sz w:val="24"/>
          <w:szCs w:val="24"/>
        </w:rPr>
        <w:t>Lake Macquarie LGA and commence</w:t>
      </w:r>
      <w:r w:rsidR="00794EF9">
        <w:rPr>
          <w:rFonts w:ascii="Corbel" w:hAnsi="Corbel"/>
          <w:sz w:val="24"/>
          <w:szCs w:val="24"/>
        </w:rPr>
        <w:t xml:space="preserve"> the</w:t>
      </w:r>
      <w:r w:rsidR="00BE2067">
        <w:rPr>
          <w:rFonts w:ascii="Corbel" w:hAnsi="Corbel"/>
          <w:sz w:val="24"/>
          <w:szCs w:val="24"/>
        </w:rPr>
        <w:t xml:space="preserve"> entry of existing participants resident in the </w:t>
      </w:r>
      <w:r>
        <w:rPr>
          <w:rFonts w:ascii="Corbel" w:hAnsi="Corbel"/>
          <w:sz w:val="24"/>
          <w:szCs w:val="24"/>
        </w:rPr>
        <w:t>Stockton Large Residential Centre (LRC)</w:t>
      </w:r>
      <w:r w:rsidR="00794EF9">
        <w:rPr>
          <w:rFonts w:ascii="Corbel" w:hAnsi="Corbel"/>
          <w:sz w:val="24"/>
          <w:szCs w:val="24"/>
        </w:rPr>
        <w:t>,</w:t>
      </w:r>
      <w:r>
        <w:rPr>
          <w:rFonts w:ascii="Corbel" w:hAnsi="Corbel"/>
          <w:sz w:val="24"/>
          <w:szCs w:val="24"/>
        </w:rPr>
        <w:t xml:space="preserve"> plus new participants</w:t>
      </w:r>
      <w:r w:rsidR="00794EF9">
        <w:rPr>
          <w:rFonts w:ascii="Corbel" w:hAnsi="Corbel"/>
          <w:sz w:val="24"/>
          <w:szCs w:val="24"/>
        </w:rPr>
        <w:t>,</w:t>
      </w:r>
      <w:r w:rsidR="00DE1585">
        <w:rPr>
          <w:rFonts w:ascii="Corbel" w:hAnsi="Corbel"/>
          <w:sz w:val="24"/>
          <w:szCs w:val="24"/>
        </w:rPr>
        <w:t xml:space="preserve"> </w:t>
      </w:r>
      <w:r>
        <w:rPr>
          <w:rFonts w:ascii="Corbel" w:hAnsi="Corbel"/>
          <w:sz w:val="24"/>
          <w:szCs w:val="24"/>
        </w:rPr>
        <w:t xml:space="preserve">up to a total of approximately 3,000 participants; </w:t>
      </w:r>
    </w:p>
    <w:p w:rsidR="00C34FEA" w:rsidRDefault="00C34FEA" w:rsidP="00441B9E">
      <w:pPr>
        <w:numPr>
          <w:ilvl w:val="1"/>
          <w:numId w:val="9"/>
        </w:numPr>
        <w:rPr>
          <w:rFonts w:ascii="Corbel" w:hAnsi="Corbel"/>
          <w:sz w:val="24"/>
          <w:szCs w:val="24"/>
        </w:rPr>
      </w:pPr>
      <w:r>
        <w:rPr>
          <w:rFonts w:ascii="Corbel" w:hAnsi="Corbel"/>
          <w:sz w:val="24"/>
          <w:szCs w:val="24"/>
        </w:rPr>
        <w:lastRenderedPageBreak/>
        <w:t>For 2014-15</w:t>
      </w:r>
      <w:r w:rsidR="00DC205D">
        <w:rPr>
          <w:rFonts w:ascii="Corbel" w:hAnsi="Corbel"/>
          <w:sz w:val="24"/>
          <w:szCs w:val="24"/>
        </w:rPr>
        <w:t xml:space="preserve"> </w:t>
      </w:r>
      <w:r>
        <w:rPr>
          <w:rFonts w:ascii="Corbel" w:hAnsi="Corbel"/>
          <w:sz w:val="24"/>
          <w:szCs w:val="24"/>
        </w:rPr>
        <w:t>existing participants in the Lake Macquarie LGA and</w:t>
      </w:r>
      <w:r w:rsidR="00BE2067">
        <w:rPr>
          <w:rFonts w:ascii="Corbel" w:hAnsi="Corbel"/>
          <w:sz w:val="24"/>
          <w:szCs w:val="24"/>
        </w:rPr>
        <w:t xml:space="preserve"> </w:t>
      </w:r>
      <w:r>
        <w:rPr>
          <w:rFonts w:ascii="Corbel" w:hAnsi="Corbel"/>
          <w:sz w:val="24"/>
          <w:szCs w:val="24"/>
        </w:rPr>
        <w:t xml:space="preserve">the Kanangra </w:t>
      </w:r>
      <w:r w:rsidR="00BE2067">
        <w:rPr>
          <w:rFonts w:ascii="Corbel" w:hAnsi="Corbel"/>
          <w:sz w:val="24"/>
          <w:szCs w:val="24"/>
        </w:rPr>
        <w:t xml:space="preserve">LRC </w:t>
      </w:r>
      <w:r w:rsidR="00DC205D">
        <w:rPr>
          <w:rFonts w:ascii="Corbel" w:hAnsi="Corbel"/>
          <w:sz w:val="24"/>
          <w:szCs w:val="24"/>
        </w:rPr>
        <w:t xml:space="preserve">and </w:t>
      </w:r>
      <w:r w:rsidR="00BE2067">
        <w:rPr>
          <w:rFonts w:ascii="Corbel" w:hAnsi="Corbel"/>
          <w:sz w:val="24"/>
          <w:szCs w:val="24"/>
        </w:rPr>
        <w:t xml:space="preserve">the balance of existing participants resident in </w:t>
      </w:r>
      <w:r w:rsidR="00DC205D">
        <w:rPr>
          <w:rFonts w:ascii="Corbel" w:hAnsi="Corbel"/>
          <w:sz w:val="24"/>
          <w:szCs w:val="24"/>
        </w:rPr>
        <w:t xml:space="preserve">Stockton </w:t>
      </w:r>
      <w:r>
        <w:rPr>
          <w:rFonts w:ascii="Corbel" w:hAnsi="Corbel"/>
          <w:sz w:val="24"/>
          <w:szCs w:val="24"/>
        </w:rPr>
        <w:t>LRC</w:t>
      </w:r>
      <w:r w:rsidR="00DC205D">
        <w:rPr>
          <w:rFonts w:ascii="Corbel" w:hAnsi="Corbel"/>
          <w:sz w:val="24"/>
          <w:szCs w:val="24"/>
        </w:rPr>
        <w:t xml:space="preserve">, </w:t>
      </w:r>
      <w:r>
        <w:rPr>
          <w:rFonts w:ascii="Corbel" w:hAnsi="Corbel"/>
          <w:sz w:val="24"/>
          <w:szCs w:val="24"/>
        </w:rPr>
        <w:t xml:space="preserve"> plus new participants, up to a cumulative total of approximately 5,030 participants; and</w:t>
      </w:r>
    </w:p>
    <w:p w:rsidR="00FD24E6" w:rsidRPr="00FD24E6" w:rsidRDefault="00C34FEA" w:rsidP="00FD24E6">
      <w:pPr>
        <w:numPr>
          <w:ilvl w:val="1"/>
          <w:numId w:val="9"/>
        </w:numPr>
        <w:rPr>
          <w:rFonts w:ascii="Corbel" w:hAnsi="Corbel"/>
          <w:sz w:val="24"/>
          <w:szCs w:val="24"/>
        </w:rPr>
      </w:pPr>
      <w:r>
        <w:rPr>
          <w:rFonts w:ascii="Corbel" w:hAnsi="Corbel"/>
          <w:sz w:val="24"/>
          <w:szCs w:val="24"/>
        </w:rPr>
        <w:t>For 2015-16,</w:t>
      </w:r>
      <w:r w:rsidR="00DC205D">
        <w:rPr>
          <w:rFonts w:ascii="Corbel" w:hAnsi="Corbel"/>
          <w:sz w:val="24"/>
          <w:szCs w:val="24"/>
        </w:rPr>
        <w:t xml:space="preserve"> </w:t>
      </w:r>
      <w:r>
        <w:rPr>
          <w:rFonts w:ascii="Corbel" w:hAnsi="Corbel"/>
          <w:sz w:val="24"/>
          <w:szCs w:val="24"/>
        </w:rPr>
        <w:t>existing participants in the</w:t>
      </w:r>
      <w:r w:rsidR="00DC205D">
        <w:rPr>
          <w:rFonts w:ascii="Corbel" w:hAnsi="Corbel"/>
          <w:sz w:val="24"/>
          <w:szCs w:val="24"/>
        </w:rPr>
        <w:t xml:space="preserve"> </w:t>
      </w:r>
      <w:r>
        <w:rPr>
          <w:rFonts w:ascii="Corbel" w:hAnsi="Corbel"/>
          <w:sz w:val="24"/>
          <w:szCs w:val="24"/>
        </w:rPr>
        <w:t>Maitland LGA</w:t>
      </w:r>
      <w:r w:rsidR="006C5AFF">
        <w:rPr>
          <w:rFonts w:ascii="Corbel" w:hAnsi="Corbel"/>
          <w:sz w:val="24"/>
          <w:szCs w:val="24"/>
        </w:rPr>
        <w:t>, the balance of existing participants resident in the Lake Macquarie LGA</w:t>
      </w:r>
      <w:r w:rsidR="00B919D6">
        <w:rPr>
          <w:rFonts w:ascii="Corbel" w:hAnsi="Corbel"/>
          <w:sz w:val="24"/>
          <w:szCs w:val="24"/>
        </w:rPr>
        <w:t xml:space="preserve"> and Kanangra LRC</w:t>
      </w:r>
      <w:r w:rsidR="006C5AFF">
        <w:rPr>
          <w:rFonts w:ascii="Corbel" w:hAnsi="Corbel"/>
          <w:sz w:val="24"/>
          <w:szCs w:val="24"/>
        </w:rPr>
        <w:t xml:space="preserve">, </w:t>
      </w:r>
      <w:r>
        <w:rPr>
          <w:rFonts w:ascii="Corbel" w:hAnsi="Corbel"/>
          <w:sz w:val="24"/>
          <w:szCs w:val="24"/>
        </w:rPr>
        <w:t xml:space="preserve">plus remaining new participants, up to a cumulative total of approximately 10,111 participants. </w:t>
      </w:r>
    </w:p>
    <w:p w:rsidR="00FD24E6" w:rsidRPr="00FD24E6" w:rsidRDefault="00FD24E6" w:rsidP="00FD24E6">
      <w:pPr>
        <w:ind w:left="360"/>
        <w:rPr>
          <w:rFonts w:asciiTheme="minorHAnsi" w:hAnsiTheme="minorHAnsi"/>
          <w:b/>
        </w:rPr>
      </w:pPr>
      <w:r w:rsidRPr="007F52F5">
        <w:rPr>
          <w:rFonts w:asciiTheme="minorHAnsi" w:hAnsiTheme="minorHAnsi"/>
          <w:b/>
        </w:rPr>
        <w:t>Table 1</w:t>
      </w:r>
    </w:p>
    <w:tbl>
      <w:tblPr>
        <w:tblW w:w="4230"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7"/>
        <w:gridCol w:w="2168"/>
        <w:gridCol w:w="2030"/>
        <w:gridCol w:w="1942"/>
      </w:tblGrid>
      <w:tr w:rsidR="00FD16FB" w:rsidRPr="007F52F5" w:rsidTr="00BF79CC">
        <w:trPr>
          <w:trHeight w:val="614"/>
          <w:jc w:val="center"/>
        </w:trPr>
        <w:tc>
          <w:tcPr>
            <w:tcW w:w="1361" w:type="pct"/>
          </w:tcPr>
          <w:p w:rsidR="00FD16FB" w:rsidRPr="007F52F5" w:rsidRDefault="00FD16FB" w:rsidP="00EB6F9A">
            <w:pPr>
              <w:keepNext/>
              <w:rPr>
                <w:rFonts w:asciiTheme="minorHAnsi" w:hAnsiTheme="minorHAnsi" w:cs="Calibri"/>
              </w:rPr>
            </w:pPr>
          </w:p>
        </w:tc>
        <w:tc>
          <w:tcPr>
            <w:tcW w:w="1285" w:type="pct"/>
          </w:tcPr>
          <w:p w:rsidR="00FD16FB" w:rsidRPr="007F52F5" w:rsidRDefault="00FD16FB" w:rsidP="00EB6F9A">
            <w:pPr>
              <w:spacing w:after="120"/>
              <w:jc w:val="center"/>
              <w:rPr>
                <w:rFonts w:asciiTheme="minorHAnsi" w:eastAsia="PMingLiU" w:hAnsiTheme="minorHAnsi" w:cs="Calibri"/>
                <w:b/>
                <w:bCs/>
              </w:rPr>
            </w:pPr>
            <w:r>
              <w:rPr>
                <w:rFonts w:asciiTheme="minorHAnsi" w:hAnsiTheme="minorHAnsi"/>
                <w:b/>
                <w:bCs/>
              </w:rPr>
              <w:t>Total 2013-14</w:t>
            </w:r>
          </w:p>
        </w:tc>
        <w:tc>
          <w:tcPr>
            <w:tcW w:w="1203" w:type="pct"/>
          </w:tcPr>
          <w:p w:rsidR="00FD16FB" w:rsidRPr="007F52F5" w:rsidRDefault="00FD16FB" w:rsidP="00EB6F9A">
            <w:pPr>
              <w:spacing w:after="120"/>
              <w:jc w:val="center"/>
              <w:rPr>
                <w:rFonts w:asciiTheme="minorHAnsi" w:eastAsia="PMingLiU" w:hAnsiTheme="minorHAnsi" w:cs="Calibri"/>
                <w:b/>
                <w:bCs/>
              </w:rPr>
            </w:pPr>
            <w:r>
              <w:rPr>
                <w:rFonts w:asciiTheme="minorHAnsi" w:hAnsiTheme="minorHAnsi"/>
                <w:b/>
                <w:bCs/>
              </w:rPr>
              <w:t>Total 2014-15</w:t>
            </w:r>
          </w:p>
        </w:tc>
        <w:tc>
          <w:tcPr>
            <w:tcW w:w="1151" w:type="pct"/>
          </w:tcPr>
          <w:p w:rsidR="00FD16FB" w:rsidRPr="007F52F5" w:rsidRDefault="00FD16FB" w:rsidP="00EB6F9A">
            <w:pPr>
              <w:spacing w:after="120"/>
              <w:jc w:val="center"/>
              <w:rPr>
                <w:rFonts w:asciiTheme="minorHAnsi" w:eastAsia="PMingLiU" w:hAnsiTheme="minorHAnsi" w:cs="Calibri"/>
                <w:b/>
                <w:bCs/>
              </w:rPr>
            </w:pPr>
            <w:r>
              <w:rPr>
                <w:rFonts w:asciiTheme="minorHAnsi" w:hAnsiTheme="minorHAnsi"/>
                <w:b/>
                <w:bCs/>
              </w:rPr>
              <w:t>Total 2015-2016</w:t>
            </w:r>
          </w:p>
        </w:tc>
      </w:tr>
      <w:tr w:rsidR="00FD16FB" w:rsidRPr="007F52F5" w:rsidTr="00BF79CC">
        <w:trPr>
          <w:jc w:val="center"/>
        </w:trPr>
        <w:tc>
          <w:tcPr>
            <w:tcW w:w="1361" w:type="pct"/>
          </w:tcPr>
          <w:p w:rsidR="00FD16FB" w:rsidRPr="007F52F5" w:rsidRDefault="00FD16FB" w:rsidP="00EB6F9A">
            <w:pPr>
              <w:keepNext/>
              <w:rPr>
                <w:rFonts w:asciiTheme="minorHAnsi" w:hAnsiTheme="minorHAnsi" w:cs="Calibri"/>
              </w:rPr>
            </w:pPr>
            <w:r w:rsidRPr="007F52F5">
              <w:rPr>
                <w:rFonts w:asciiTheme="minorHAnsi" w:hAnsiTheme="minorHAnsi" w:cs="Calibri"/>
              </w:rPr>
              <w:t xml:space="preserve">Existing State Clients </w:t>
            </w:r>
          </w:p>
        </w:tc>
        <w:tc>
          <w:tcPr>
            <w:tcW w:w="1285" w:type="pct"/>
            <w:vAlign w:val="center"/>
          </w:tcPr>
          <w:p w:rsidR="00FD16FB" w:rsidRPr="007F52F5" w:rsidRDefault="00FD16FB" w:rsidP="00EB6F9A">
            <w:pPr>
              <w:jc w:val="center"/>
              <w:rPr>
                <w:rFonts w:asciiTheme="minorHAnsi" w:hAnsiTheme="minorHAnsi" w:cs="Arial"/>
              </w:rPr>
            </w:pPr>
            <w:r>
              <w:rPr>
                <w:rFonts w:asciiTheme="minorHAnsi" w:hAnsiTheme="minorHAnsi" w:cs="Calibri"/>
              </w:rPr>
              <w:t>2,673</w:t>
            </w:r>
          </w:p>
        </w:tc>
        <w:tc>
          <w:tcPr>
            <w:tcW w:w="1203" w:type="pct"/>
            <w:vAlign w:val="center"/>
          </w:tcPr>
          <w:p w:rsidR="00FD16FB" w:rsidRPr="007F52F5" w:rsidRDefault="00FD16FB" w:rsidP="00EB6F9A">
            <w:pPr>
              <w:jc w:val="center"/>
              <w:rPr>
                <w:rFonts w:asciiTheme="minorHAnsi" w:hAnsiTheme="minorHAnsi" w:cs="Arial"/>
              </w:rPr>
            </w:pPr>
            <w:r>
              <w:rPr>
                <w:rFonts w:asciiTheme="minorHAnsi" w:hAnsiTheme="minorHAnsi" w:cs="Arial"/>
              </w:rPr>
              <w:t>1,200</w:t>
            </w:r>
          </w:p>
        </w:tc>
        <w:tc>
          <w:tcPr>
            <w:tcW w:w="1151" w:type="pct"/>
            <w:vAlign w:val="center"/>
          </w:tcPr>
          <w:p w:rsidR="00FD16FB" w:rsidRPr="007F52F5" w:rsidRDefault="00FD16FB" w:rsidP="00EB6F9A">
            <w:pPr>
              <w:jc w:val="center"/>
              <w:rPr>
                <w:rFonts w:asciiTheme="minorHAnsi" w:hAnsiTheme="minorHAnsi" w:cs="Arial"/>
              </w:rPr>
            </w:pPr>
            <w:r>
              <w:rPr>
                <w:rFonts w:asciiTheme="minorHAnsi" w:hAnsiTheme="minorHAnsi" w:cs="Arial"/>
              </w:rPr>
              <w:t>2,748</w:t>
            </w:r>
          </w:p>
        </w:tc>
      </w:tr>
      <w:tr w:rsidR="00FD16FB" w:rsidRPr="007F52F5" w:rsidTr="00BF79CC">
        <w:trPr>
          <w:jc w:val="center"/>
        </w:trPr>
        <w:tc>
          <w:tcPr>
            <w:tcW w:w="1361" w:type="pct"/>
          </w:tcPr>
          <w:p w:rsidR="00FD16FB" w:rsidRPr="007F52F5" w:rsidRDefault="00FD16FB" w:rsidP="00EB6F9A">
            <w:pPr>
              <w:keepNext/>
              <w:rPr>
                <w:rFonts w:asciiTheme="minorHAnsi" w:hAnsiTheme="minorHAnsi" w:cs="Calibri"/>
              </w:rPr>
            </w:pPr>
            <w:r w:rsidRPr="007F52F5">
              <w:rPr>
                <w:rFonts w:asciiTheme="minorHAnsi" w:hAnsiTheme="minorHAnsi" w:cs="Calibri"/>
              </w:rPr>
              <w:t>New &amp; Other Clients</w:t>
            </w:r>
          </w:p>
        </w:tc>
        <w:tc>
          <w:tcPr>
            <w:tcW w:w="1285" w:type="pct"/>
            <w:vAlign w:val="center"/>
          </w:tcPr>
          <w:p w:rsidR="00FD16FB" w:rsidRPr="007F52F5" w:rsidRDefault="00FD16FB" w:rsidP="00EB6F9A">
            <w:pPr>
              <w:jc w:val="center"/>
              <w:rPr>
                <w:rFonts w:asciiTheme="minorHAnsi" w:hAnsiTheme="minorHAnsi" w:cs="Arial"/>
              </w:rPr>
            </w:pPr>
            <w:r>
              <w:rPr>
                <w:rFonts w:asciiTheme="minorHAnsi" w:hAnsiTheme="minorHAnsi" w:cs="Arial"/>
              </w:rPr>
              <w:t>327</w:t>
            </w:r>
          </w:p>
        </w:tc>
        <w:tc>
          <w:tcPr>
            <w:tcW w:w="1203" w:type="pct"/>
            <w:vAlign w:val="center"/>
          </w:tcPr>
          <w:p w:rsidR="00FD16FB" w:rsidRPr="007F52F5" w:rsidRDefault="00FD16FB" w:rsidP="00EB6F9A">
            <w:pPr>
              <w:jc w:val="center"/>
              <w:rPr>
                <w:rFonts w:asciiTheme="minorHAnsi" w:hAnsiTheme="minorHAnsi" w:cs="Arial"/>
              </w:rPr>
            </w:pPr>
            <w:r>
              <w:rPr>
                <w:rFonts w:asciiTheme="minorHAnsi" w:hAnsiTheme="minorHAnsi" w:cs="Arial"/>
              </w:rPr>
              <w:t>830</w:t>
            </w:r>
          </w:p>
        </w:tc>
        <w:tc>
          <w:tcPr>
            <w:tcW w:w="1151" w:type="pct"/>
            <w:vAlign w:val="center"/>
          </w:tcPr>
          <w:p w:rsidR="00FD16FB" w:rsidRPr="007F52F5" w:rsidRDefault="00FD16FB" w:rsidP="00EB6F9A">
            <w:pPr>
              <w:jc w:val="center"/>
              <w:rPr>
                <w:rFonts w:asciiTheme="minorHAnsi" w:hAnsiTheme="minorHAnsi" w:cs="Arial"/>
              </w:rPr>
            </w:pPr>
            <w:r>
              <w:rPr>
                <w:rFonts w:asciiTheme="minorHAnsi" w:hAnsiTheme="minorHAnsi" w:cs="Arial"/>
              </w:rPr>
              <w:t>2,333</w:t>
            </w:r>
          </w:p>
        </w:tc>
      </w:tr>
      <w:tr w:rsidR="00FD16FB" w:rsidRPr="007F52F5" w:rsidTr="00BF79CC">
        <w:trPr>
          <w:jc w:val="center"/>
        </w:trPr>
        <w:tc>
          <w:tcPr>
            <w:tcW w:w="1361" w:type="pct"/>
          </w:tcPr>
          <w:p w:rsidR="00FD16FB" w:rsidRPr="007F52F5" w:rsidRDefault="00FD16FB" w:rsidP="00EB6F9A">
            <w:pPr>
              <w:keepNext/>
              <w:rPr>
                <w:rFonts w:asciiTheme="minorHAnsi" w:hAnsiTheme="minorHAnsi" w:cs="Calibri"/>
              </w:rPr>
            </w:pPr>
            <w:r w:rsidRPr="007F52F5">
              <w:rPr>
                <w:rFonts w:asciiTheme="minorHAnsi" w:hAnsiTheme="minorHAnsi" w:cs="Calibri"/>
              </w:rPr>
              <w:t>Increment</w:t>
            </w:r>
          </w:p>
        </w:tc>
        <w:tc>
          <w:tcPr>
            <w:tcW w:w="1285" w:type="pct"/>
            <w:vAlign w:val="center"/>
          </w:tcPr>
          <w:p w:rsidR="00FD16FB" w:rsidRPr="007F52F5" w:rsidDel="00C02AD1" w:rsidRDefault="00FD16FB" w:rsidP="00EB6F9A">
            <w:pPr>
              <w:jc w:val="center"/>
              <w:rPr>
                <w:rFonts w:asciiTheme="minorHAnsi" w:hAnsiTheme="minorHAnsi" w:cs="Arial"/>
              </w:rPr>
            </w:pPr>
            <w:r>
              <w:rPr>
                <w:rFonts w:asciiTheme="minorHAnsi" w:hAnsiTheme="minorHAnsi" w:cs="Arial"/>
              </w:rPr>
              <w:t>3,000</w:t>
            </w:r>
          </w:p>
        </w:tc>
        <w:tc>
          <w:tcPr>
            <w:tcW w:w="1203" w:type="pct"/>
            <w:vAlign w:val="center"/>
          </w:tcPr>
          <w:p w:rsidR="00FD16FB" w:rsidRPr="007F52F5" w:rsidDel="00C02AD1" w:rsidRDefault="00FD16FB" w:rsidP="00EB6F9A">
            <w:pPr>
              <w:jc w:val="center"/>
              <w:rPr>
                <w:rFonts w:asciiTheme="minorHAnsi" w:hAnsiTheme="minorHAnsi" w:cs="Arial"/>
              </w:rPr>
            </w:pPr>
            <w:r>
              <w:rPr>
                <w:rFonts w:asciiTheme="minorHAnsi" w:hAnsiTheme="minorHAnsi" w:cs="Arial"/>
              </w:rPr>
              <w:t>2,030</w:t>
            </w:r>
          </w:p>
        </w:tc>
        <w:tc>
          <w:tcPr>
            <w:tcW w:w="1151" w:type="pct"/>
            <w:vAlign w:val="center"/>
          </w:tcPr>
          <w:p w:rsidR="00FD16FB" w:rsidRPr="007F52F5" w:rsidDel="00C02AD1" w:rsidRDefault="00FD16FB" w:rsidP="00EB6F9A">
            <w:pPr>
              <w:jc w:val="center"/>
              <w:rPr>
                <w:rFonts w:asciiTheme="minorHAnsi" w:hAnsiTheme="minorHAnsi" w:cs="Arial"/>
              </w:rPr>
            </w:pPr>
            <w:r>
              <w:rPr>
                <w:rFonts w:asciiTheme="minorHAnsi" w:hAnsiTheme="minorHAnsi" w:cs="Arial"/>
              </w:rPr>
              <w:t>5,081</w:t>
            </w:r>
          </w:p>
        </w:tc>
      </w:tr>
      <w:tr w:rsidR="00FD16FB" w:rsidRPr="007F52F5" w:rsidTr="00BF79CC">
        <w:trPr>
          <w:jc w:val="center"/>
        </w:trPr>
        <w:tc>
          <w:tcPr>
            <w:tcW w:w="1361" w:type="pct"/>
          </w:tcPr>
          <w:p w:rsidR="00FD16FB" w:rsidRPr="00BF79CC" w:rsidRDefault="00FD16FB" w:rsidP="00EB6F9A">
            <w:pPr>
              <w:keepNext/>
              <w:rPr>
                <w:rFonts w:asciiTheme="minorHAnsi" w:hAnsiTheme="minorHAnsi" w:cs="Calibri"/>
                <w:b/>
              </w:rPr>
            </w:pPr>
            <w:r w:rsidRPr="00BF79CC">
              <w:rPr>
                <w:rFonts w:asciiTheme="minorHAnsi" w:hAnsiTheme="minorHAnsi" w:cs="Calibri"/>
                <w:b/>
              </w:rPr>
              <w:t>Cumulative</w:t>
            </w:r>
          </w:p>
        </w:tc>
        <w:tc>
          <w:tcPr>
            <w:tcW w:w="1285" w:type="pct"/>
            <w:vAlign w:val="center"/>
          </w:tcPr>
          <w:p w:rsidR="00FD16FB" w:rsidRPr="00BF79CC" w:rsidRDefault="00FD16FB" w:rsidP="00EB6F9A">
            <w:pPr>
              <w:jc w:val="center"/>
              <w:rPr>
                <w:rFonts w:asciiTheme="minorHAnsi" w:hAnsiTheme="minorHAnsi" w:cs="Arial"/>
                <w:b/>
              </w:rPr>
            </w:pPr>
            <w:r w:rsidRPr="00BF79CC">
              <w:rPr>
                <w:rFonts w:asciiTheme="minorHAnsi" w:hAnsiTheme="minorHAnsi" w:cs="Arial"/>
                <w:b/>
              </w:rPr>
              <w:t>3,000</w:t>
            </w:r>
          </w:p>
        </w:tc>
        <w:tc>
          <w:tcPr>
            <w:tcW w:w="1203" w:type="pct"/>
            <w:vAlign w:val="center"/>
          </w:tcPr>
          <w:p w:rsidR="00FD16FB" w:rsidRPr="00BF79CC" w:rsidRDefault="00FD16FB" w:rsidP="00EB6F9A">
            <w:pPr>
              <w:jc w:val="center"/>
              <w:rPr>
                <w:rFonts w:asciiTheme="minorHAnsi" w:hAnsiTheme="minorHAnsi" w:cs="Arial"/>
                <w:b/>
              </w:rPr>
            </w:pPr>
            <w:r w:rsidRPr="00BF79CC">
              <w:rPr>
                <w:rFonts w:asciiTheme="minorHAnsi" w:hAnsiTheme="minorHAnsi" w:cs="Arial"/>
                <w:b/>
              </w:rPr>
              <w:t>5,030</w:t>
            </w:r>
          </w:p>
        </w:tc>
        <w:tc>
          <w:tcPr>
            <w:tcW w:w="1151" w:type="pct"/>
            <w:vAlign w:val="center"/>
          </w:tcPr>
          <w:p w:rsidR="00FD16FB" w:rsidRPr="00BF79CC" w:rsidRDefault="00FD16FB" w:rsidP="00EB6F9A">
            <w:pPr>
              <w:jc w:val="center"/>
              <w:rPr>
                <w:rFonts w:asciiTheme="minorHAnsi" w:hAnsiTheme="minorHAnsi" w:cs="Arial"/>
                <w:b/>
              </w:rPr>
            </w:pPr>
            <w:r w:rsidRPr="00BF79CC">
              <w:rPr>
                <w:rFonts w:asciiTheme="minorHAnsi" w:hAnsiTheme="minorHAnsi" w:cs="Arial"/>
                <w:b/>
              </w:rPr>
              <w:t>10,111</w:t>
            </w:r>
          </w:p>
        </w:tc>
      </w:tr>
    </w:tbl>
    <w:p w:rsidR="00BF79CC" w:rsidRDefault="00BF79CC" w:rsidP="00BF79CC">
      <w:pPr>
        <w:ind w:left="720"/>
        <w:rPr>
          <w:rFonts w:ascii="Corbel" w:hAnsi="Corbel"/>
          <w:sz w:val="24"/>
          <w:szCs w:val="24"/>
        </w:rPr>
      </w:pPr>
    </w:p>
    <w:p w:rsidR="001A7BCB" w:rsidRPr="001A7BCB" w:rsidRDefault="00C34FEA" w:rsidP="001A7BCB">
      <w:pPr>
        <w:numPr>
          <w:ilvl w:val="0"/>
          <w:numId w:val="9"/>
        </w:numPr>
        <w:rPr>
          <w:rFonts w:ascii="Corbel" w:hAnsi="Corbel"/>
          <w:sz w:val="24"/>
          <w:szCs w:val="24"/>
        </w:rPr>
      </w:pPr>
      <w:r>
        <w:rPr>
          <w:rFonts w:ascii="Corbel" w:hAnsi="Corbel"/>
          <w:sz w:val="24"/>
          <w:szCs w:val="24"/>
        </w:rPr>
        <w:t xml:space="preserve">Participants will be transitioned in order of their LGA of residence, with flexibility to allow for a relatively even flow of participants across the three years of </w:t>
      </w:r>
      <w:r w:rsidR="00EA5BB6">
        <w:rPr>
          <w:rFonts w:ascii="Corbel" w:hAnsi="Corbel"/>
          <w:sz w:val="24"/>
          <w:szCs w:val="24"/>
        </w:rPr>
        <w:t>the NDIS trial</w:t>
      </w:r>
      <w:r>
        <w:rPr>
          <w:rFonts w:ascii="Corbel" w:hAnsi="Corbel"/>
          <w:sz w:val="24"/>
          <w:szCs w:val="24"/>
        </w:rPr>
        <w:t>, and to ensure that all participants of a specific provider are transitioned at a similar time, wherever possible.</w:t>
      </w:r>
    </w:p>
    <w:p w:rsidR="00C34FEA" w:rsidRDefault="00C6607F" w:rsidP="00053E0B">
      <w:pPr>
        <w:numPr>
          <w:ilvl w:val="0"/>
          <w:numId w:val="9"/>
        </w:numPr>
        <w:rPr>
          <w:rFonts w:ascii="Corbel" w:hAnsi="Corbel"/>
          <w:sz w:val="24"/>
          <w:szCs w:val="24"/>
        </w:rPr>
      </w:pPr>
      <w:r>
        <w:rPr>
          <w:rFonts w:ascii="Corbel" w:hAnsi="Corbel"/>
          <w:sz w:val="24"/>
          <w:szCs w:val="24"/>
        </w:rPr>
        <w:t>Within this approach, the</w:t>
      </w:r>
      <w:r w:rsidR="00C34FEA">
        <w:rPr>
          <w:rFonts w:ascii="Corbel" w:hAnsi="Corbel"/>
          <w:sz w:val="24"/>
          <w:szCs w:val="24"/>
        </w:rPr>
        <w:t xml:space="preserve"> following criteria have been applied in determining the timeframes for facilitation of planning under the NDIS</w:t>
      </w:r>
      <w:r w:rsidR="00C34FEA" w:rsidRPr="0065448D">
        <w:rPr>
          <w:rFonts w:ascii="Corbel" w:hAnsi="Corbel"/>
          <w:sz w:val="24"/>
          <w:szCs w:val="24"/>
        </w:rPr>
        <w:t xml:space="preserve"> </w:t>
      </w:r>
      <w:r w:rsidR="00E25227">
        <w:rPr>
          <w:rFonts w:ascii="Corbel" w:hAnsi="Corbel"/>
          <w:sz w:val="24"/>
          <w:szCs w:val="24"/>
        </w:rPr>
        <w:t xml:space="preserve">within the Newcastle and Lake Macquarie LGAs in the </w:t>
      </w:r>
      <w:r w:rsidR="00C34FEA">
        <w:rPr>
          <w:rFonts w:ascii="Corbel" w:hAnsi="Corbel"/>
          <w:sz w:val="24"/>
          <w:szCs w:val="24"/>
        </w:rPr>
        <w:t xml:space="preserve">Hunter </w:t>
      </w:r>
      <w:r w:rsidR="00E25227">
        <w:rPr>
          <w:rFonts w:ascii="Corbel" w:hAnsi="Corbel"/>
          <w:sz w:val="24"/>
          <w:szCs w:val="24"/>
        </w:rPr>
        <w:t>trial site</w:t>
      </w:r>
      <w:r w:rsidR="00C34FEA">
        <w:rPr>
          <w:rFonts w:ascii="Corbel" w:hAnsi="Corbel"/>
          <w:sz w:val="24"/>
          <w:szCs w:val="24"/>
        </w:rPr>
        <w:t xml:space="preserve"> </w:t>
      </w:r>
      <w:r w:rsidR="00AB0098">
        <w:rPr>
          <w:rFonts w:ascii="Corbel" w:hAnsi="Corbel"/>
          <w:sz w:val="24"/>
          <w:szCs w:val="24"/>
        </w:rPr>
        <w:t>in 2013-14</w:t>
      </w:r>
      <w:r w:rsidR="00C34FEA">
        <w:rPr>
          <w:rFonts w:ascii="Corbel" w:hAnsi="Corbel"/>
          <w:sz w:val="24"/>
          <w:szCs w:val="24"/>
        </w:rPr>
        <w:t xml:space="preserve"> </w:t>
      </w:r>
      <w:r w:rsidR="00C34FEA" w:rsidRPr="00F77C3E">
        <w:rPr>
          <w:rFonts w:ascii="Corbel" w:hAnsi="Corbel"/>
          <w:sz w:val="24"/>
          <w:szCs w:val="24"/>
        </w:rPr>
        <w:t>so that</w:t>
      </w:r>
      <w:r w:rsidR="00C34FEA">
        <w:rPr>
          <w:rFonts w:ascii="Corbel" w:hAnsi="Corbel"/>
          <w:sz w:val="24"/>
          <w:szCs w:val="24"/>
        </w:rPr>
        <w:t>:</w:t>
      </w:r>
    </w:p>
    <w:p w:rsidR="00C34FEA" w:rsidRDefault="00C34FEA" w:rsidP="0065448D">
      <w:pPr>
        <w:numPr>
          <w:ilvl w:val="1"/>
          <w:numId w:val="9"/>
        </w:numPr>
        <w:rPr>
          <w:rFonts w:ascii="Corbel" w:hAnsi="Corbel"/>
          <w:sz w:val="24"/>
          <w:szCs w:val="24"/>
        </w:rPr>
      </w:pPr>
      <w:r>
        <w:rPr>
          <w:rFonts w:ascii="Corbel" w:hAnsi="Corbel"/>
          <w:sz w:val="24"/>
          <w:szCs w:val="24"/>
        </w:rPr>
        <w:t xml:space="preserve">existing participants </w:t>
      </w:r>
      <w:r w:rsidRPr="00CC5EDC">
        <w:rPr>
          <w:rFonts w:ascii="Corbel" w:hAnsi="Corbel"/>
          <w:sz w:val="24"/>
          <w:szCs w:val="24"/>
        </w:rPr>
        <w:t xml:space="preserve">in individualised funding arrangements and/or with funding clearly </w:t>
      </w:r>
      <w:r>
        <w:rPr>
          <w:rFonts w:ascii="Corbel" w:hAnsi="Corbel"/>
          <w:sz w:val="24"/>
          <w:szCs w:val="24"/>
        </w:rPr>
        <w:t>linked</w:t>
      </w:r>
      <w:r w:rsidRPr="00CC5EDC">
        <w:rPr>
          <w:rFonts w:ascii="Corbel" w:hAnsi="Corbel"/>
          <w:sz w:val="24"/>
          <w:szCs w:val="24"/>
        </w:rPr>
        <w:t xml:space="preserve"> to them as individuals will be prioritised for transition</w:t>
      </w:r>
      <w:r>
        <w:rPr>
          <w:rFonts w:ascii="Corbel" w:hAnsi="Corbel"/>
          <w:sz w:val="24"/>
          <w:szCs w:val="24"/>
        </w:rPr>
        <w:t xml:space="preserve"> </w:t>
      </w:r>
      <w:r w:rsidRPr="00CC5EDC">
        <w:rPr>
          <w:rFonts w:ascii="Corbel" w:hAnsi="Corbel"/>
          <w:sz w:val="24"/>
          <w:szCs w:val="24"/>
        </w:rPr>
        <w:t>from 1 July</w:t>
      </w:r>
      <w:r w:rsidR="00AB0098">
        <w:rPr>
          <w:rFonts w:ascii="Corbel" w:hAnsi="Corbel"/>
          <w:sz w:val="24"/>
          <w:szCs w:val="24"/>
        </w:rPr>
        <w:t xml:space="preserve"> 2013</w:t>
      </w:r>
      <w:r>
        <w:rPr>
          <w:rFonts w:ascii="Corbel" w:hAnsi="Corbel"/>
          <w:sz w:val="24"/>
          <w:szCs w:val="24"/>
        </w:rPr>
        <w:t>;</w:t>
      </w:r>
    </w:p>
    <w:p w:rsidR="00C34FEA" w:rsidRDefault="00C34FEA" w:rsidP="0065448D">
      <w:pPr>
        <w:numPr>
          <w:ilvl w:val="1"/>
          <w:numId w:val="9"/>
        </w:numPr>
        <w:rPr>
          <w:rFonts w:ascii="Corbel" w:hAnsi="Corbel"/>
          <w:sz w:val="24"/>
          <w:szCs w:val="24"/>
        </w:rPr>
      </w:pPr>
      <w:r>
        <w:rPr>
          <w:rFonts w:ascii="Corbel" w:hAnsi="Corbel"/>
          <w:sz w:val="24"/>
          <w:szCs w:val="24"/>
        </w:rPr>
        <w:t>supported accommodation residents will transition in a way that allows for the intensive planning and support required, focussed on the house or other setting in which the participant live</w:t>
      </w:r>
      <w:r w:rsidR="00794EF9">
        <w:rPr>
          <w:rFonts w:ascii="Corbel" w:hAnsi="Corbel"/>
          <w:sz w:val="24"/>
          <w:szCs w:val="24"/>
        </w:rPr>
        <w:t>s</w:t>
      </w:r>
      <w:r>
        <w:rPr>
          <w:rFonts w:ascii="Corbel" w:hAnsi="Corbel"/>
          <w:sz w:val="24"/>
          <w:szCs w:val="24"/>
        </w:rPr>
        <w:t>, and the need to maintain operational capacity for accommodat</w:t>
      </w:r>
      <w:r w:rsidR="00C6607F">
        <w:rPr>
          <w:rFonts w:ascii="Corbel" w:hAnsi="Corbel"/>
          <w:sz w:val="24"/>
          <w:szCs w:val="24"/>
        </w:rPr>
        <w:t xml:space="preserve">ion services throughout </w:t>
      </w:r>
      <w:r w:rsidR="00E25227">
        <w:rPr>
          <w:rFonts w:ascii="Corbel" w:hAnsi="Corbel"/>
          <w:sz w:val="24"/>
          <w:szCs w:val="24"/>
        </w:rPr>
        <w:t>the NDIS trial</w:t>
      </w:r>
      <w:r w:rsidR="00C6607F">
        <w:rPr>
          <w:rFonts w:ascii="Corbel" w:hAnsi="Corbel"/>
          <w:sz w:val="24"/>
          <w:szCs w:val="24"/>
        </w:rPr>
        <w:t>.</w:t>
      </w:r>
      <w:r>
        <w:rPr>
          <w:rFonts w:ascii="Corbel" w:hAnsi="Corbel"/>
          <w:sz w:val="24"/>
          <w:szCs w:val="24"/>
        </w:rPr>
        <w:t xml:space="preserve"> </w:t>
      </w:r>
      <w:r w:rsidR="00E25227">
        <w:rPr>
          <w:rFonts w:ascii="Corbel" w:hAnsi="Corbel"/>
          <w:sz w:val="24"/>
          <w:szCs w:val="24"/>
        </w:rPr>
        <w:t xml:space="preserve"> </w:t>
      </w:r>
      <w:r>
        <w:rPr>
          <w:rFonts w:ascii="Corbel" w:hAnsi="Corbel"/>
          <w:sz w:val="24"/>
          <w:szCs w:val="24"/>
        </w:rPr>
        <w:t>It is proposed that supported accommodation participants</w:t>
      </w:r>
      <w:r w:rsidR="005B1250">
        <w:rPr>
          <w:rFonts w:ascii="Corbel" w:hAnsi="Corbel"/>
          <w:sz w:val="24"/>
          <w:szCs w:val="24"/>
        </w:rPr>
        <w:t xml:space="preserve"> will</w:t>
      </w:r>
      <w:r w:rsidR="001A7BCB">
        <w:rPr>
          <w:rFonts w:ascii="Corbel" w:hAnsi="Corbel"/>
          <w:sz w:val="24"/>
          <w:szCs w:val="24"/>
        </w:rPr>
        <w:t xml:space="preserve"> commence</w:t>
      </w:r>
      <w:r w:rsidR="005B1250">
        <w:rPr>
          <w:rFonts w:ascii="Corbel" w:hAnsi="Corbel"/>
          <w:sz w:val="24"/>
          <w:szCs w:val="24"/>
        </w:rPr>
        <w:t xml:space="preserve"> </w:t>
      </w:r>
      <w:r>
        <w:rPr>
          <w:rFonts w:ascii="Corbel" w:hAnsi="Corbel"/>
          <w:sz w:val="24"/>
          <w:szCs w:val="24"/>
        </w:rPr>
        <w:t>transition from 1 July</w:t>
      </w:r>
      <w:r w:rsidR="00AB0098">
        <w:rPr>
          <w:rFonts w:ascii="Corbel" w:hAnsi="Corbel"/>
          <w:sz w:val="24"/>
          <w:szCs w:val="24"/>
        </w:rPr>
        <w:t xml:space="preserve"> 2013</w:t>
      </w:r>
      <w:r w:rsidR="00FC70DC">
        <w:rPr>
          <w:rFonts w:ascii="Corbel" w:hAnsi="Corbel"/>
          <w:sz w:val="24"/>
          <w:szCs w:val="24"/>
        </w:rPr>
        <w:t xml:space="preserve"> to 30 June 2014</w:t>
      </w:r>
      <w:r w:rsidR="001A7BCB">
        <w:rPr>
          <w:rFonts w:ascii="Corbel" w:hAnsi="Corbel"/>
          <w:sz w:val="24"/>
          <w:szCs w:val="24"/>
        </w:rPr>
        <w:t>;</w:t>
      </w:r>
    </w:p>
    <w:p w:rsidR="002A6E07" w:rsidRPr="003A22C5" w:rsidRDefault="005B1250" w:rsidP="0065448D">
      <w:pPr>
        <w:numPr>
          <w:ilvl w:val="1"/>
          <w:numId w:val="9"/>
        </w:numPr>
        <w:rPr>
          <w:rFonts w:ascii="Corbel" w:hAnsi="Corbel"/>
          <w:sz w:val="24"/>
          <w:szCs w:val="24"/>
        </w:rPr>
      </w:pPr>
      <w:r>
        <w:rPr>
          <w:rFonts w:ascii="Corbel" w:hAnsi="Corbel"/>
          <w:sz w:val="24"/>
          <w:szCs w:val="24"/>
        </w:rPr>
        <w:t xml:space="preserve">Stockton </w:t>
      </w:r>
      <w:r w:rsidR="00C34FEA">
        <w:rPr>
          <w:rFonts w:ascii="Corbel" w:hAnsi="Corbel"/>
          <w:sz w:val="24"/>
          <w:szCs w:val="24"/>
        </w:rPr>
        <w:t xml:space="preserve">LRC residents will commence transition </w:t>
      </w:r>
      <w:r>
        <w:rPr>
          <w:rFonts w:ascii="Corbel" w:hAnsi="Corbel"/>
          <w:sz w:val="24"/>
          <w:szCs w:val="24"/>
        </w:rPr>
        <w:t>from 1 January 2014</w:t>
      </w:r>
      <w:r w:rsidR="00F80FA2">
        <w:rPr>
          <w:rFonts w:ascii="Corbel" w:hAnsi="Corbel"/>
          <w:sz w:val="24"/>
          <w:szCs w:val="24"/>
        </w:rPr>
        <w:t>,</w:t>
      </w:r>
      <w:r w:rsidR="00FC70DC">
        <w:rPr>
          <w:rFonts w:ascii="Corbel" w:hAnsi="Corbel"/>
          <w:sz w:val="24"/>
          <w:szCs w:val="24"/>
        </w:rPr>
        <w:t xml:space="preserve"> with remaining participants to transition throughout the year from 1 July 2013 through 30 June 2014</w:t>
      </w:r>
      <w:r w:rsidR="00E25227">
        <w:rPr>
          <w:rFonts w:ascii="Corbel" w:hAnsi="Corbel"/>
          <w:sz w:val="24"/>
          <w:szCs w:val="24"/>
        </w:rPr>
        <w:t>;</w:t>
      </w:r>
      <w:r w:rsidR="00C34FEA">
        <w:rPr>
          <w:rFonts w:ascii="Corbel" w:hAnsi="Corbel"/>
          <w:sz w:val="24"/>
          <w:szCs w:val="24"/>
        </w:rPr>
        <w:t xml:space="preserve"> </w:t>
      </w:r>
      <w:r w:rsidR="00C34FEA" w:rsidRPr="003A22C5">
        <w:rPr>
          <w:rFonts w:ascii="Corbel" w:hAnsi="Corbel"/>
          <w:sz w:val="24"/>
          <w:szCs w:val="24"/>
        </w:rPr>
        <w:t>taking account of the above considerations and the need to ensure a relatively even flow of participants throughout the year;</w:t>
      </w:r>
    </w:p>
    <w:p w:rsidR="00C34FEA" w:rsidRDefault="00C34FEA" w:rsidP="002A6E07">
      <w:pPr>
        <w:numPr>
          <w:ilvl w:val="1"/>
          <w:numId w:val="9"/>
        </w:numPr>
        <w:rPr>
          <w:rFonts w:ascii="Corbel" w:hAnsi="Corbel"/>
          <w:sz w:val="24"/>
          <w:szCs w:val="24"/>
        </w:rPr>
      </w:pPr>
      <w:r w:rsidRPr="003A22C5">
        <w:rPr>
          <w:rFonts w:ascii="Corbel" w:hAnsi="Corbel"/>
          <w:sz w:val="24"/>
          <w:szCs w:val="24"/>
        </w:rPr>
        <w:lastRenderedPageBreak/>
        <w:t>wherever possible</w:t>
      </w:r>
      <w:r w:rsidR="00F80FA2">
        <w:rPr>
          <w:rFonts w:ascii="Corbel" w:hAnsi="Corbel"/>
          <w:sz w:val="24"/>
          <w:szCs w:val="24"/>
        </w:rPr>
        <w:t>,</w:t>
      </w:r>
      <w:r w:rsidRPr="003A22C5">
        <w:rPr>
          <w:rFonts w:ascii="Corbel" w:hAnsi="Corbel"/>
          <w:sz w:val="24"/>
          <w:szCs w:val="24"/>
        </w:rPr>
        <w:t xml:space="preserve"> all of the participants of a specific provider wil</w:t>
      </w:r>
      <w:r>
        <w:rPr>
          <w:rFonts w:ascii="Corbel" w:hAnsi="Corbel"/>
          <w:sz w:val="24"/>
          <w:szCs w:val="24"/>
        </w:rPr>
        <w:t>l be transitioned at a similar time. Providers operating only in one LGA will be prioritised above providers operating in multiple LGAs to make transition as smooth as possible;</w:t>
      </w:r>
    </w:p>
    <w:p w:rsidR="001A7BCB" w:rsidRPr="001A7BCB" w:rsidRDefault="00C34FEA" w:rsidP="001A7BCB">
      <w:pPr>
        <w:numPr>
          <w:ilvl w:val="1"/>
          <w:numId w:val="9"/>
        </w:numPr>
        <w:rPr>
          <w:rFonts w:ascii="Corbel" w:hAnsi="Corbel"/>
          <w:sz w:val="24"/>
          <w:szCs w:val="24"/>
        </w:rPr>
      </w:pPr>
      <w:r w:rsidRPr="002A6E07">
        <w:rPr>
          <w:rFonts w:ascii="Corbel" w:hAnsi="Corbel"/>
          <w:sz w:val="24"/>
          <w:szCs w:val="24"/>
        </w:rPr>
        <w:t xml:space="preserve">limited and/or less complex transitions will be planned during December </w:t>
      </w:r>
      <w:r w:rsidR="00B919D6">
        <w:rPr>
          <w:rFonts w:ascii="Corbel" w:hAnsi="Corbel"/>
          <w:sz w:val="24"/>
          <w:szCs w:val="24"/>
        </w:rPr>
        <w:t xml:space="preserve">2013 </w:t>
      </w:r>
      <w:r w:rsidRPr="002A6E07">
        <w:rPr>
          <w:rFonts w:ascii="Corbel" w:hAnsi="Corbel"/>
          <w:sz w:val="24"/>
          <w:szCs w:val="24"/>
        </w:rPr>
        <w:t xml:space="preserve">and January </w:t>
      </w:r>
      <w:r w:rsidR="00B919D6">
        <w:rPr>
          <w:rFonts w:ascii="Corbel" w:hAnsi="Corbel"/>
          <w:sz w:val="24"/>
          <w:szCs w:val="24"/>
        </w:rPr>
        <w:t xml:space="preserve">2014 </w:t>
      </w:r>
      <w:r w:rsidRPr="002A6E07">
        <w:rPr>
          <w:rFonts w:ascii="Corbel" w:hAnsi="Corbel"/>
          <w:sz w:val="24"/>
          <w:szCs w:val="24"/>
        </w:rPr>
        <w:t>in view of the reduced workfo</w:t>
      </w:r>
      <w:r w:rsidRPr="00821B98">
        <w:rPr>
          <w:rFonts w:ascii="Corbel" w:hAnsi="Corbel"/>
          <w:sz w:val="24"/>
          <w:szCs w:val="24"/>
        </w:rPr>
        <w:t>rce capacity during this time and the need to minimise disruptions to participants and families; and</w:t>
      </w:r>
    </w:p>
    <w:p w:rsidR="008417EE" w:rsidRDefault="00C34FEA" w:rsidP="008417EE">
      <w:pPr>
        <w:numPr>
          <w:ilvl w:val="1"/>
          <w:numId w:val="9"/>
        </w:numPr>
        <w:rPr>
          <w:rFonts w:ascii="Corbel" w:hAnsi="Corbel"/>
          <w:sz w:val="24"/>
          <w:szCs w:val="24"/>
        </w:rPr>
      </w:pPr>
      <w:r w:rsidRPr="001A7BCB">
        <w:rPr>
          <w:rFonts w:ascii="Corbel" w:hAnsi="Corbel"/>
          <w:sz w:val="24"/>
          <w:szCs w:val="24"/>
        </w:rPr>
        <w:t>capacity will be retained for entry of new participants in each month.</w:t>
      </w:r>
    </w:p>
    <w:p w:rsidR="00B919D6" w:rsidRPr="00EA5BB6" w:rsidRDefault="00B919D6" w:rsidP="00B919D6">
      <w:pPr>
        <w:numPr>
          <w:ilvl w:val="0"/>
          <w:numId w:val="9"/>
        </w:numPr>
        <w:rPr>
          <w:rFonts w:ascii="Corbel" w:hAnsi="Corbel"/>
          <w:sz w:val="24"/>
          <w:szCs w:val="24"/>
        </w:rPr>
      </w:pPr>
      <w:r>
        <w:rPr>
          <w:rFonts w:ascii="Corbel" w:hAnsi="Corbel"/>
          <w:sz w:val="24"/>
          <w:szCs w:val="24"/>
        </w:rPr>
        <w:t xml:space="preserve">The notional schedule for participants to have plans facilitated in 2013-14 is set out in Table 2 noting that </w:t>
      </w:r>
      <w:r w:rsidRPr="00EA5BB6">
        <w:rPr>
          <w:rFonts w:ascii="Corbel" w:hAnsi="Corbel"/>
          <w:sz w:val="24"/>
          <w:szCs w:val="24"/>
        </w:rPr>
        <w:t xml:space="preserve">transition rates may vary based on the factors set out in </w:t>
      </w:r>
      <w:r>
        <w:rPr>
          <w:rFonts w:ascii="Corbel" w:hAnsi="Corbel"/>
          <w:sz w:val="24"/>
          <w:szCs w:val="24"/>
        </w:rPr>
        <w:t>paragraph</w:t>
      </w:r>
      <w:r w:rsidRPr="00EA5BB6">
        <w:rPr>
          <w:rFonts w:ascii="Corbel" w:hAnsi="Corbel"/>
          <w:sz w:val="24"/>
          <w:szCs w:val="24"/>
        </w:rPr>
        <w:t xml:space="preserve"> 6 </w:t>
      </w:r>
      <w:r>
        <w:rPr>
          <w:rFonts w:ascii="Corbel" w:hAnsi="Corbel"/>
          <w:sz w:val="24"/>
          <w:szCs w:val="24"/>
        </w:rPr>
        <w:t xml:space="preserve">and </w:t>
      </w:r>
      <w:r w:rsidRPr="00EA5BB6">
        <w:rPr>
          <w:rFonts w:ascii="Corbel" w:hAnsi="Corbel"/>
          <w:sz w:val="24"/>
          <w:szCs w:val="24"/>
        </w:rPr>
        <w:t>Agency capability:</w:t>
      </w:r>
    </w:p>
    <w:p w:rsidR="00B919D6" w:rsidRPr="00B919D6" w:rsidRDefault="00B919D6" w:rsidP="00B919D6">
      <w:pPr>
        <w:ind w:left="360"/>
        <w:rPr>
          <w:rFonts w:asciiTheme="minorHAnsi" w:hAnsiTheme="minorHAnsi"/>
          <w:b/>
        </w:rPr>
      </w:pPr>
      <w:r w:rsidRPr="00B919D6">
        <w:rPr>
          <w:rFonts w:asciiTheme="minorHAnsi" w:hAnsiTheme="minorHAnsi"/>
          <w:b/>
        </w:rPr>
        <w:t>Table 2</w:t>
      </w:r>
    </w:p>
    <w:tbl>
      <w:tblPr>
        <w:tblW w:w="4749" w:type="pct"/>
        <w:jc w:val="center"/>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6"/>
        <w:gridCol w:w="1843"/>
        <w:gridCol w:w="1843"/>
        <w:gridCol w:w="1723"/>
        <w:gridCol w:w="1867"/>
      </w:tblGrid>
      <w:tr w:rsidR="00B919D6" w:rsidRPr="007F52F5" w:rsidTr="00246B37">
        <w:trPr>
          <w:trHeight w:val="614"/>
          <w:jc w:val="center"/>
        </w:trPr>
        <w:tc>
          <w:tcPr>
            <w:tcW w:w="2197" w:type="dxa"/>
          </w:tcPr>
          <w:p w:rsidR="00B919D6" w:rsidRPr="007F52F5" w:rsidRDefault="00B919D6" w:rsidP="00776C69">
            <w:pPr>
              <w:keepNext/>
              <w:rPr>
                <w:rFonts w:asciiTheme="minorHAnsi" w:hAnsiTheme="minorHAnsi" w:cs="Calibri"/>
              </w:rPr>
            </w:pPr>
          </w:p>
        </w:tc>
        <w:tc>
          <w:tcPr>
            <w:tcW w:w="1843" w:type="dxa"/>
          </w:tcPr>
          <w:p w:rsidR="00B919D6" w:rsidRPr="007F52F5" w:rsidRDefault="00B919D6" w:rsidP="00B919D6">
            <w:pPr>
              <w:spacing w:after="120"/>
              <w:jc w:val="center"/>
              <w:rPr>
                <w:rFonts w:asciiTheme="minorHAnsi" w:eastAsia="PMingLiU" w:hAnsiTheme="minorHAnsi" w:cs="Calibri"/>
                <w:b/>
                <w:bCs/>
              </w:rPr>
            </w:pPr>
            <w:r w:rsidRPr="007F52F5">
              <w:rPr>
                <w:rFonts w:asciiTheme="minorHAnsi" w:hAnsiTheme="minorHAnsi"/>
                <w:b/>
                <w:bCs/>
              </w:rPr>
              <w:t>Jul to Sep 201</w:t>
            </w:r>
            <w:r>
              <w:rPr>
                <w:rFonts w:asciiTheme="minorHAnsi" w:hAnsiTheme="minorHAnsi"/>
                <w:b/>
                <w:bCs/>
              </w:rPr>
              <w:t>3</w:t>
            </w:r>
          </w:p>
        </w:tc>
        <w:tc>
          <w:tcPr>
            <w:tcW w:w="1843" w:type="dxa"/>
          </w:tcPr>
          <w:p w:rsidR="00B919D6" w:rsidRPr="007F52F5" w:rsidRDefault="00B919D6" w:rsidP="00B919D6">
            <w:pPr>
              <w:spacing w:after="120"/>
              <w:jc w:val="center"/>
              <w:rPr>
                <w:rFonts w:asciiTheme="minorHAnsi" w:eastAsia="PMingLiU" w:hAnsiTheme="minorHAnsi" w:cs="Calibri"/>
                <w:b/>
                <w:bCs/>
              </w:rPr>
            </w:pPr>
            <w:r w:rsidRPr="007F52F5">
              <w:rPr>
                <w:rFonts w:asciiTheme="minorHAnsi" w:hAnsiTheme="minorHAnsi"/>
                <w:b/>
                <w:bCs/>
              </w:rPr>
              <w:t>Oct to Dec 201</w:t>
            </w:r>
            <w:r>
              <w:rPr>
                <w:rFonts w:asciiTheme="minorHAnsi" w:hAnsiTheme="minorHAnsi"/>
                <w:b/>
                <w:bCs/>
              </w:rPr>
              <w:t>3</w:t>
            </w:r>
          </w:p>
        </w:tc>
        <w:tc>
          <w:tcPr>
            <w:tcW w:w="1723" w:type="dxa"/>
          </w:tcPr>
          <w:p w:rsidR="00B919D6" w:rsidRPr="007F52F5" w:rsidRDefault="00B919D6" w:rsidP="00B919D6">
            <w:pPr>
              <w:spacing w:after="120"/>
              <w:jc w:val="center"/>
              <w:rPr>
                <w:rFonts w:asciiTheme="minorHAnsi" w:eastAsia="PMingLiU" w:hAnsiTheme="minorHAnsi" w:cs="Calibri"/>
                <w:b/>
                <w:bCs/>
              </w:rPr>
            </w:pPr>
            <w:r w:rsidRPr="007F52F5">
              <w:rPr>
                <w:rFonts w:asciiTheme="minorHAnsi" w:hAnsiTheme="minorHAnsi"/>
                <w:b/>
                <w:bCs/>
              </w:rPr>
              <w:t>Jan to Mar 201</w:t>
            </w:r>
            <w:r>
              <w:rPr>
                <w:rFonts w:asciiTheme="minorHAnsi" w:hAnsiTheme="minorHAnsi"/>
                <w:b/>
                <w:bCs/>
              </w:rPr>
              <w:t>4</w:t>
            </w:r>
          </w:p>
        </w:tc>
        <w:tc>
          <w:tcPr>
            <w:tcW w:w="1867" w:type="dxa"/>
          </w:tcPr>
          <w:p w:rsidR="00B919D6" w:rsidRPr="007F52F5" w:rsidRDefault="00B919D6" w:rsidP="00B919D6">
            <w:pPr>
              <w:spacing w:after="120"/>
              <w:jc w:val="center"/>
              <w:rPr>
                <w:rFonts w:asciiTheme="minorHAnsi" w:eastAsia="PMingLiU" w:hAnsiTheme="minorHAnsi" w:cs="Calibri"/>
                <w:b/>
                <w:bCs/>
              </w:rPr>
            </w:pPr>
            <w:r w:rsidRPr="007F52F5">
              <w:rPr>
                <w:rFonts w:asciiTheme="minorHAnsi" w:hAnsiTheme="minorHAnsi"/>
                <w:b/>
                <w:bCs/>
              </w:rPr>
              <w:t>Apr to Jun 201</w:t>
            </w:r>
            <w:r>
              <w:rPr>
                <w:rFonts w:asciiTheme="minorHAnsi" w:hAnsiTheme="minorHAnsi"/>
                <w:b/>
                <w:bCs/>
              </w:rPr>
              <w:t>4</w:t>
            </w:r>
          </w:p>
        </w:tc>
      </w:tr>
      <w:tr w:rsidR="00B919D6" w:rsidRPr="007F52F5" w:rsidTr="00246B37">
        <w:trPr>
          <w:jc w:val="center"/>
        </w:trPr>
        <w:tc>
          <w:tcPr>
            <w:tcW w:w="2197" w:type="dxa"/>
          </w:tcPr>
          <w:p w:rsidR="00B919D6" w:rsidRPr="007F52F5" w:rsidRDefault="00B919D6" w:rsidP="00776C69">
            <w:pPr>
              <w:keepNext/>
              <w:rPr>
                <w:rFonts w:asciiTheme="minorHAnsi" w:hAnsiTheme="minorHAnsi" w:cs="Calibri"/>
              </w:rPr>
            </w:pPr>
            <w:r w:rsidRPr="007F52F5">
              <w:rPr>
                <w:rFonts w:asciiTheme="minorHAnsi" w:hAnsiTheme="minorHAnsi" w:cs="Calibri"/>
              </w:rPr>
              <w:t xml:space="preserve">Existing State Clients </w:t>
            </w:r>
          </w:p>
        </w:tc>
        <w:tc>
          <w:tcPr>
            <w:tcW w:w="1843" w:type="dxa"/>
            <w:vAlign w:val="center"/>
          </w:tcPr>
          <w:p w:rsidR="00B919D6" w:rsidRPr="007F52F5" w:rsidRDefault="00B919D6" w:rsidP="00776C69">
            <w:pPr>
              <w:jc w:val="center"/>
              <w:rPr>
                <w:rFonts w:asciiTheme="minorHAnsi" w:hAnsiTheme="minorHAnsi" w:cs="Arial"/>
              </w:rPr>
            </w:pPr>
            <w:r w:rsidRPr="007F52F5">
              <w:rPr>
                <w:rFonts w:asciiTheme="minorHAnsi" w:hAnsiTheme="minorHAnsi" w:cs="Calibri"/>
              </w:rPr>
              <w:t>564</w:t>
            </w:r>
          </w:p>
        </w:tc>
        <w:tc>
          <w:tcPr>
            <w:tcW w:w="1843" w:type="dxa"/>
            <w:vAlign w:val="center"/>
          </w:tcPr>
          <w:p w:rsidR="00B919D6" w:rsidRPr="007F52F5" w:rsidRDefault="00B919D6" w:rsidP="00776C69">
            <w:pPr>
              <w:jc w:val="center"/>
              <w:rPr>
                <w:rFonts w:asciiTheme="minorHAnsi" w:hAnsiTheme="minorHAnsi" w:cs="Arial"/>
              </w:rPr>
            </w:pPr>
            <w:r w:rsidRPr="007F52F5">
              <w:rPr>
                <w:rFonts w:asciiTheme="minorHAnsi" w:hAnsiTheme="minorHAnsi" w:cs="Calibri"/>
              </w:rPr>
              <w:t>566</w:t>
            </w:r>
          </w:p>
        </w:tc>
        <w:tc>
          <w:tcPr>
            <w:tcW w:w="1723" w:type="dxa"/>
            <w:vAlign w:val="center"/>
          </w:tcPr>
          <w:p w:rsidR="00B919D6" w:rsidRPr="007F52F5" w:rsidRDefault="00B919D6" w:rsidP="00776C69">
            <w:pPr>
              <w:jc w:val="center"/>
              <w:rPr>
                <w:rFonts w:asciiTheme="minorHAnsi" w:hAnsiTheme="minorHAnsi" w:cs="Arial"/>
              </w:rPr>
            </w:pPr>
            <w:r w:rsidRPr="007F52F5">
              <w:rPr>
                <w:rFonts w:asciiTheme="minorHAnsi" w:hAnsiTheme="minorHAnsi" w:cs="Calibri"/>
              </w:rPr>
              <w:t>771</w:t>
            </w:r>
          </w:p>
        </w:tc>
        <w:tc>
          <w:tcPr>
            <w:tcW w:w="1867" w:type="dxa"/>
            <w:vAlign w:val="center"/>
          </w:tcPr>
          <w:p w:rsidR="00B919D6" w:rsidRPr="007F52F5" w:rsidRDefault="00B919D6" w:rsidP="00776C69">
            <w:pPr>
              <w:jc w:val="center"/>
              <w:rPr>
                <w:rFonts w:asciiTheme="minorHAnsi" w:hAnsiTheme="minorHAnsi" w:cs="Arial"/>
              </w:rPr>
            </w:pPr>
            <w:r w:rsidRPr="007F52F5">
              <w:rPr>
                <w:rFonts w:asciiTheme="minorHAnsi" w:hAnsiTheme="minorHAnsi" w:cs="Calibri"/>
              </w:rPr>
              <w:t>772</w:t>
            </w:r>
          </w:p>
        </w:tc>
      </w:tr>
      <w:tr w:rsidR="00B919D6" w:rsidRPr="007F52F5" w:rsidTr="00246B37">
        <w:trPr>
          <w:jc w:val="center"/>
        </w:trPr>
        <w:tc>
          <w:tcPr>
            <w:tcW w:w="2197" w:type="dxa"/>
          </w:tcPr>
          <w:p w:rsidR="00B919D6" w:rsidRPr="007F52F5" w:rsidRDefault="00B919D6" w:rsidP="00776C69">
            <w:pPr>
              <w:keepNext/>
              <w:rPr>
                <w:rFonts w:asciiTheme="minorHAnsi" w:hAnsiTheme="minorHAnsi" w:cs="Calibri"/>
              </w:rPr>
            </w:pPr>
            <w:r w:rsidRPr="007F52F5">
              <w:rPr>
                <w:rFonts w:asciiTheme="minorHAnsi" w:hAnsiTheme="minorHAnsi" w:cs="Calibri"/>
              </w:rPr>
              <w:t>New &amp; Other Clients</w:t>
            </w:r>
          </w:p>
        </w:tc>
        <w:tc>
          <w:tcPr>
            <w:tcW w:w="1843" w:type="dxa"/>
            <w:vAlign w:val="center"/>
          </w:tcPr>
          <w:p w:rsidR="00B919D6" w:rsidRPr="007F52F5" w:rsidRDefault="00B919D6" w:rsidP="00776C69">
            <w:pPr>
              <w:jc w:val="center"/>
              <w:rPr>
                <w:rFonts w:asciiTheme="minorHAnsi" w:hAnsiTheme="minorHAnsi" w:cs="Arial"/>
              </w:rPr>
            </w:pPr>
            <w:r w:rsidRPr="007F52F5">
              <w:rPr>
                <w:rFonts w:asciiTheme="minorHAnsi" w:hAnsiTheme="minorHAnsi" w:cs="Calibri"/>
              </w:rPr>
              <w:t>84</w:t>
            </w:r>
          </w:p>
        </w:tc>
        <w:tc>
          <w:tcPr>
            <w:tcW w:w="1843" w:type="dxa"/>
            <w:vAlign w:val="center"/>
          </w:tcPr>
          <w:p w:rsidR="00B919D6" w:rsidRPr="007F52F5" w:rsidRDefault="00B919D6" w:rsidP="00776C69">
            <w:pPr>
              <w:jc w:val="center"/>
              <w:rPr>
                <w:rFonts w:asciiTheme="minorHAnsi" w:hAnsiTheme="minorHAnsi" w:cs="Arial"/>
              </w:rPr>
            </w:pPr>
            <w:r w:rsidRPr="007F52F5">
              <w:rPr>
                <w:rFonts w:asciiTheme="minorHAnsi" w:hAnsiTheme="minorHAnsi" w:cs="Calibri"/>
              </w:rPr>
              <w:t>81</w:t>
            </w:r>
          </w:p>
        </w:tc>
        <w:tc>
          <w:tcPr>
            <w:tcW w:w="1723" w:type="dxa"/>
            <w:vAlign w:val="center"/>
          </w:tcPr>
          <w:p w:rsidR="00B919D6" w:rsidRPr="007F52F5" w:rsidRDefault="00B919D6" w:rsidP="00776C69">
            <w:pPr>
              <w:jc w:val="center"/>
              <w:rPr>
                <w:rFonts w:asciiTheme="minorHAnsi" w:hAnsiTheme="minorHAnsi" w:cs="Arial"/>
              </w:rPr>
            </w:pPr>
            <w:r w:rsidRPr="007F52F5">
              <w:rPr>
                <w:rFonts w:asciiTheme="minorHAnsi" w:hAnsiTheme="minorHAnsi" w:cs="Calibri"/>
              </w:rPr>
              <w:t>81</w:t>
            </w:r>
          </w:p>
        </w:tc>
        <w:tc>
          <w:tcPr>
            <w:tcW w:w="1867" w:type="dxa"/>
            <w:vAlign w:val="center"/>
          </w:tcPr>
          <w:p w:rsidR="00B919D6" w:rsidRPr="007F52F5" w:rsidRDefault="00B919D6" w:rsidP="00776C69">
            <w:pPr>
              <w:jc w:val="center"/>
              <w:rPr>
                <w:rFonts w:asciiTheme="minorHAnsi" w:hAnsiTheme="minorHAnsi" w:cs="Arial"/>
              </w:rPr>
            </w:pPr>
            <w:r w:rsidRPr="007F52F5">
              <w:rPr>
                <w:rFonts w:asciiTheme="minorHAnsi" w:hAnsiTheme="minorHAnsi" w:cs="Calibri"/>
              </w:rPr>
              <w:t>81</w:t>
            </w:r>
          </w:p>
        </w:tc>
      </w:tr>
      <w:tr w:rsidR="00B919D6" w:rsidRPr="007F52F5" w:rsidTr="00246B37">
        <w:trPr>
          <w:jc w:val="center"/>
        </w:trPr>
        <w:tc>
          <w:tcPr>
            <w:tcW w:w="2197" w:type="dxa"/>
          </w:tcPr>
          <w:p w:rsidR="00B919D6" w:rsidRPr="007F52F5" w:rsidRDefault="00B919D6" w:rsidP="00776C69">
            <w:pPr>
              <w:keepNext/>
              <w:rPr>
                <w:rFonts w:asciiTheme="minorHAnsi" w:hAnsiTheme="minorHAnsi" w:cs="Calibri"/>
              </w:rPr>
            </w:pPr>
            <w:r w:rsidRPr="007F52F5">
              <w:rPr>
                <w:rFonts w:asciiTheme="minorHAnsi" w:hAnsiTheme="minorHAnsi" w:cs="Calibri"/>
              </w:rPr>
              <w:t>Increment</w:t>
            </w:r>
          </w:p>
        </w:tc>
        <w:tc>
          <w:tcPr>
            <w:tcW w:w="1843" w:type="dxa"/>
            <w:vAlign w:val="center"/>
          </w:tcPr>
          <w:p w:rsidR="00B919D6" w:rsidRPr="007F52F5" w:rsidDel="00C02AD1" w:rsidRDefault="00B919D6" w:rsidP="00776C69">
            <w:pPr>
              <w:jc w:val="center"/>
              <w:rPr>
                <w:rFonts w:asciiTheme="minorHAnsi" w:hAnsiTheme="minorHAnsi" w:cs="Arial"/>
              </w:rPr>
            </w:pPr>
            <w:r w:rsidRPr="007F52F5">
              <w:rPr>
                <w:rFonts w:asciiTheme="minorHAnsi" w:hAnsiTheme="minorHAnsi" w:cs="Arial"/>
              </w:rPr>
              <w:t>648</w:t>
            </w:r>
          </w:p>
        </w:tc>
        <w:tc>
          <w:tcPr>
            <w:tcW w:w="1843" w:type="dxa"/>
            <w:vAlign w:val="center"/>
          </w:tcPr>
          <w:p w:rsidR="00B919D6" w:rsidRPr="007F52F5" w:rsidDel="00C02AD1" w:rsidRDefault="00B919D6" w:rsidP="00776C69">
            <w:pPr>
              <w:jc w:val="center"/>
              <w:rPr>
                <w:rFonts w:asciiTheme="minorHAnsi" w:hAnsiTheme="minorHAnsi" w:cs="Arial"/>
              </w:rPr>
            </w:pPr>
            <w:r w:rsidRPr="007F52F5">
              <w:rPr>
                <w:rFonts w:asciiTheme="minorHAnsi" w:hAnsiTheme="minorHAnsi" w:cs="Arial"/>
              </w:rPr>
              <w:t>647</w:t>
            </w:r>
          </w:p>
        </w:tc>
        <w:tc>
          <w:tcPr>
            <w:tcW w:w="1723" w:type="dxa"/>
            <w:vAlign w:val="center"/>
          </w:tcPr>
          <w:p w:rsidR="00B919D6" w:rsidRPr="007F52F5" w:rsidDel="00C02AD1" w:rsidRDefault="00B919D6" w:rsidP="00776C69">
            <w:pPr>
              <w:jc w:val="center"/>
              <w:rPr>
                <w:rFonts w:asciiTheme="minorHAnsi" w:hAnsiTheme="minorHAnsi" w:cs="Arial"/>
              </w:rPr>
            </w:pPr>
            <w:r w:rsidRPr="007F52F5">
              <w:rPr>
                <w:rFonts w:asciiTheme="minorHAnsi" w:hAnsiTheme="minorHAnsi" w:cs="Arial"/>
              </w:rPr>
              <w:t>852</w:t>
            </w:r>
          </w:p>
        </w:tc>
        <w:tc>
          <w:tcPr>
            <w:tcW w:w="1867" w:type="dxa"/>
            <w:vAlign w:val="center"/>
          </w:tcPr>
          <w:p w:rsidR="00B919D6" w:rsidRPr="007F52F5" w:rsidDel="00C02AD1" w:rsidRDefault="00B919D6" w:rsidP="00776C69">
            <w:pPr>
              <w:jc w:val="center"/>
              <w:rPr>
                <w:rFonts w:asciiTheme="minorHAnsi" w:hAnsiTheme="minorHAnsi" w:cs="Arial"/>
              </w:rPr>
            </w:pPr>
            <w:r w:rsidRPr="007F52F5">
              <w:rPr>
                <w:rFonts w:asciiTheme="minorHAnsi" w:hAnsiTheme="minorHAnsi" w:cs="Arial"/>
              </w:rPr>
              <w:t>853</w:t>
            </w:r>
          </w:p>
        </w:tc>
      </w:tr>
      <w:tr w:rsidR="00B919D6" w:rsidRPr="007F52F5" w:rsidTr="00246B37">
        <w:trPr>
          <w:jc w:val="center"/>
        </w:trPr>
        <w:tc>
          <w:tcPr>
            <w:tcW w:w="2197" w:type="dxa"/>
          </w:tcPr>
          <w:p w:rsidR="00B919D6" w:rsidRPr="00BF79CC" w:rsidRDefault="00B919D6" w:rsidP="00776C69">
            <w:pPr>
              <w:keepNext/>
              <w:rPr>
                <w:rFonts w:asciiTheme="minorHAnsi" w:hAnsiTheme="minorHAnsi" w:cs="Calibri"/>
                <w:b/>
              </w:rPr>
            </w:pPr>
            <w:r w:rsidRPr="00BF79CC">
              <w:rPr>
                <w:rFonts w:asciiTheme="minorHAnsi" w:hAnsiTheme="minorHAnsi" w:cs="Calibri"/>
                <w:b/>
              </w:rPr>
              <w:t>Cumulative</w:t>
            </w:r>
          </w:p>
        </w:tc>
        <w:tc>
          <w:tcPr>
            <w:tcW w:w="1843" w:type="dxa"/>
            <w:vAlign w:val="center"/>
          </w:tcPr>
          <w:p w:rsidR="00B919D6" w:rsidRPr="00BF79CC" w:rsidRDefault="00B919D6" w:rsidP="00776C69">
            <w:pPr>
              <w:jc w:val="center"/>
              <w:rPr>
                <w:rFonts w:asciiTheme="minorHAnsi" w:hAnsiTheme="minorHAnsi" w:cs="Arial"/>
                <w:b/>
              </w:rPr>
            </w:pPr>
            <w:r w:rsidRPr="00BF79CC">
              <w:rPr>
                <w:rFonts w:asciiTheme="minorHAnsi" w:hAnsiTheme="minorHAnsi" w:cs="Arial"/>
                <w:b/>
              </w:rPr>
              <w:t>648</w:t>
            </w:r>
          </w:p>
        </w:tc>
        <w:tc>
          <w:tcPr>
            <w:tcW w:w="1843" w:type="dxa"/>
            <w:vAlign w:val="center"/>
          </w:tcPr>
          <w:p w:rsidR="00B919D6" w:rsidRPr="00BF79CC" w:rsidRDefault="00B919D6" w:rsidP="00776C69">
            <w:pPr>
              <w:jc w:val="center"/>
              <w:rPr>
                <w:rFonts w:asciiTheme="minorHAnsi" w:hAnsiTheme="minorHAnsi" w:cs="Arial"/>
                <w:b/>
              </w:rPr>
            </w:pPr>
            <w:r w:rsidRPr="00BF79CC">
              <w:rPr>
                <w:rFonts w:asciiTheme="minorHAnsi" w:hAnsiTheme="minorHAnsi" w:cs="Arial"/>
                <w:b/>
              </w:rPr>
              <w:t>1</w:t>
            </w:r>
            <w:r w:rsidR="00BF79CC">
              <w:rPr>
                <w:rFonts w:asciiTheme="minorHAnsi" w:hAnsiTheme="minorHAnsi" w:cs="Arial"/>
                <w:b/>
              </w:rPr>
              <w:t>,</w:t>
            </w:r>
            <w:r w:rsidRPr="00BF79CC">
              <w:rPr>
                <w:rFonts w:asciiTheme="minorHAnsi" w:hAnsiTheme="minorHAnsi" w:cs="Arial"/>
                <w:b/>
              </w:rPr>
              <w:t>295</w:t>
            </w:r>
          </w:p>
        </w:tc>
        <w:tc>
          <w:tcPr>
            <w:tcW w:w="1723" w:type="dxa"/>
            <w:vAlign w:val="center"/>
          </w:tcPr>
          <w:p w:rsidR="00B919D6" w:rsidRPr="00BF79CC" w:rsidRDefault="00B919D6" w:rsidP="00776C69">
            <w:pPr>
              <w:jc w:val="center"/>
              <w:rPr>
                <w:rFonts w:asciiTheme="minorHAnsi" w:hAnsiTheme="minorHAnsi" w:cs="Arial"/>
                <w:b/>
              </w:rPr>
            </w:pPr>
            <w:r w:rsidRPr="00BF79CC">
              <w:rPr>
                <w:rFonts w:asciiTheme="minorHAnsi" w:hAnsiTheme="minorHAnsi" w:cs="Arial"/>
                <w:b/>
              </w:rPr>
              <w:t>2</w:t>
            </w:r>
            <w:r w:rsidR="00BF79CC">
              <w:rPr>
                <w:rFonts w:asciiTheme="minorHAnsi" w:hAnsiTheme="minorHAnsi" w:cs="Arial"/>
                <w:b/>
              </w:rPr>
              <w:t>,</w:t>
            </w:r>
            <w:r w:rsidRPr="00BF79CC">
              <w:rPr>
                <w:rFonts w:asciiTheme="minorHAnsi" w:hAnsiTheme="minorHAnsi" w:cs="Arial"/>
                <w:b/>
              </w:rPr>
              <w:t>147</w:t>
            </w:r>
          </w:p>
        </w:tc>
        <w:tc>
          <w:tcPr>
            <w:tcW w:w="1867" w:type="dxa"/>
            <w:vAlign w:val="center"/>
          </w:tcPr>
          <w:p w:rsidR="00B919D6" w:rsidRPr="00BF79CC" w:rsidRDefault="00B919D6" w:rsidP="00776C69">
            <w:pPr>
              <w:jc w:val="center"/>
              <w:rPr>
                <w:rFonts w:asciiTheme="minorHAnsi" w:hAnsiTheme="minorHAnsi" w:cs="Arial"/>
                <w:b/>
              </w:rPr>
            </w:pPr>
            <w:r w:rsidRPr="00BF79CC">
              <w:rPr>
                <w:rFonts w:asciiTheme="minorHAnsi" w:hAnsiTheme="minorHAnsi" w:cs="Arial"/>
                <w:b/>
              </w:rPr>
              <w:t>3</w:t>
            </w:r>
            <w:r w:rsidR="00BF79CC">
              <w:rPr>
                <w:rFonts w:asciiTheme="minorHAnsi" w:hAnsiTheme="minorHAnsi" w:cs="Arial"/>
                <w:b/>
              </w:rPr>
              <w:t>,</w:t>
            </w:r>
            <w:r w:rsidRPr="00BF79CC">
              <w:rPr>
                <w:rFonts w:asciiTheme="minorHAnsi" w:hAnsiTheme="minorHAnsi" w:cs="Arial"/>
                <w:b/>
              </w:rPr>
              <w:t>000</w:t>
            </w:r>
          </w:p>
        </w:tc>
      </w:tr>
    </w:tbl>
    <w:p w:rsidR="00B919D6" w:rsidRPr="00EA5BB6" w:rsidRDefault="00B919D6" w:rsidP="00B919D6">
      <w:pPr>
        <w:ind w:left="1440"/>
        <w:rPr>
          <w:rFonts w:ascii="Corbel" w:hAnsi="Corbel"/>
          <w:sz w:val="24"/>
          <w:szCs w:val="24"/>
        </w:rPr>
      </w:pPr>
    </w:p>
    <w:p w:rsidR="001A7BCB" w:rsidRPr="001A7BCB" w:rsidRDefault="001A7BCB" w:rsidP="001A7BCB">
      <w:pPr>
        <w:numPr>
          <w:ilvl w:val="0"/>
          <w:numId w:val="9"/>
        </w:numPr>
        <w:rPr>
          <w:rFonts w:ascii="Corbel" w:hAnsi="Corbel"/>
          <w:sz w:val="24"/>
          <w:szCs w:val="24"/>
        </w:rPr>
      </w:pPr>
      <w:r w:rsidRPr="001A7BCB">
        <w:rPr>
          <w:rFonts w:ascii="Corbel" w:hAnsi="Corbel"/>
          <w:sz w:val="24"/>
          <w:szCs w:val="24"/>
        </w:rPr>
        <w:t xml:space="preserve">The following criteria have been applied in determining the timeframes for facilitation of planning under the NDIS </w:t>
      </w:r>
      <w:r w:rsidR="00E25227">
        <w:rPr>
          <w:rFonts w:ascii="Corbel" w:hAnsi="Corbel"/>
          <w:sz w:val="24"/>
          <w:szCs w:val="24"/>
        </w:rPr>
        <w:t xml:space="preserve">in the Lake Macquarie LGA, the Stockton LRC and the Kanangra LRC in the </w:t>
      </w:r>
      <w:r w:rsidRPr="001A7BCB">
        <w:rPr>
          <w:rFonts w:ascii="Corbel" w:hAnsi="Corbel"/>
          <w:sz w:val="24"/>
          <w:szCs w:val="24"/>
        </w:rPr>
        <w:t xml:space="preserve">Hunter </w:t>
      </w:r>
      <w:r w:rsidR="00E25227">
        <w:rPr>
          <w:rFonts w:ascii="Corbel" w:hAnsi="Corbel"/>
          <w:sz w:val="24"/>
          <w:szCs w:val="24"/>
        </w:rPr>
        <w:t>trial site</w:t>
      </w:r>
      <w:r w:rsidRPr="001A7BCB">
        <w:rPr>
          <w:rFonts w:ascii="Corbel" w:hAnsi="Corbel"/>
          <w:sz w:val="24"/>
          <w:szCs w:val="24"/>
        </w:rPr>
        <w:t xml:space="preserve"> in 2014-15 so that:</w:t>
      </w:r>
    </w:p>
    <w:p w:rsidR="001A7BCB" w:rsidRDefault="001A7BCB" w:rsidP="001A7BCB">
      <w:pPr>
        <w:numPr>
          <w:ilvl w:val="1"/>
          <w:numId w:val="9"/>
        </w:numPr>
        <w:rPr>
          <w:rFonts w:ascii="Corbel" w:hAnsi="Corbel"/>
          <w:sz w:val="24"/>
          <w:szCs w:val="24"/>
        </w:rPr>
      </w:pPr>
      <w:r>
        <w:rPr>
          <w:rFonts w:ascii="Corbel" w:hAnsi="Corbel"/>
          <w:sz w:val="24"/>
          <w:szCs w:val="24"/>
        </w:rPr>
        <w:t xml:space="preserve">existing participants </w:t>
      </w:r>
      <w:r w:rsidRPr="00CC5EDC">
        <w:rPr>
          <w:rFonts w:ascii="Corbel" w:hAnsi="Corbel"/>
          <w:sz w:val="24"/>
          <w:szCs w:val="24"/>
        </w:rPr>
        <w:t xml:space="preserve">in individualised funding arrangements and/or with funding clearly </w:t>
      </w:r>
      <w:r>
        <w:rPr>
          <w:rFonts w:ascii="Corbel" w:hAnsi="Corbel"/>
          <w:sz w:val="24"/>
          <w:szCs w:val="24"/>
        </w:rPr>
        <w:t>linked</w:t>
      </w:r>
      <w:r w:rsidRPr="00CC5EDC">
        <w:rPr>
          <w:rFonts w:ascii="Corbel" w:hAnsi="Corbel"/>
          <w:sz w:val="24"/>
          <w:szCs w:val="24"/>
        </w:rPr>
        <w:t xml:space="preserve"> to them as individuals will be prioritised for transition</w:t>
      </w:r>
      <w:r>
        <w:rPr>
          <w:rFonts w:ascii="Corbel" w:hAnsi="Corbel"/>
          <w:sz w:val="24"/>
          <w:szCs w:val="24"/>
        </w:rPr>
        <w:t xml:space="preserve"> </w:t>
      </w:r>
      <w:r w:rsidRPr="00CC5EDC">
        <w:rPr>
          <w:rFonts w:ascii="Corbel" w:hAnsi="Corbel"/>
          <w:sz w:val="24"/>
          <w:szCs w:val="24"/>
        </w:rPr>
        <w:t>from 1 July</w:t>
      </w:r>
      <w:r>
        <w:rPr>
          <w:rFonts w:ascii="Corbel" w:hAnsi="Corbel"/>
          <w:sz w:val="24"/>
          <w:szCs w:val="24"/>
        </w:rPr>
        <w:t xml:space="preserve"> 2014;</w:t>
      </w:r>
    </w:p>
    <w:p w:rsidR="001A7BCB" w:rsidRDefault="001A7BCB" w:rsidP="001A7BCB">
      <w:pPr>
        <w:numPr>
          <w:ilvl w:val="1"/>
          <w:numId w:val="9"/>
        </w:numPr>
        <w:rPr>
          <w:rFonts w:ascii="Corbel" w:hAnsi="Corbel"/>
          <w:sz w:val="24"/>
          <w:szCs w:val="24"/>
        </w:rPr>
      </w:pPr>
      <w:r>
        <w:rPr>
          <w:rFonts w:ascii="Corbel" w:hAnsi="Corbel"/>
          <w:sz w:val="24"/>
          <w:szCs w:val="24"/>
        </w:rPr>
        <w:t xml:space="preserve">supported accommodation residents will transition in a way that allows for the intensive planning and support required, focussed on the house or other setting in which the participant lives, and the need to maintain operational capacity for accommodation services throughout </w:t>
      </w:r>
      <w:r w:rsidR="00EA5BB6">
        <w:rPr>
          <w:rFonts w:ascii="Corbel" w:hAnsi="Corbel"/>
          <w:sz w:val="24"/>
          <w:szCs w:val="24"/>
        </w:rPr>
        <w:t>the NDIS trial</w:t>
      </w:r>
      <w:r w:rsidR="00FC70DC">
        <w:rPr>
          <w:rFonts w:ascii="Corbel" w:hAnsi="Corbel"/>
          <w:sz w:val="24"/>
          <w:szCs w:val="24"/>
        </w:rPr>
        <w:t>. It is proposed that supported accommodation participants will transition from 1 July 2014 through 30</w:t>
      </w:r>
      <w:r w:rsidR="00B919D6">
        <w:rPr>
          <w:rFonts w:ascii="Corbel" w:hAnsi="Corbel"/>
          <w:sz w:val="24"/>
          <w:szCs w:val="24"/>
        </w:rPr>
        <w:t xml:space="preserve"> </w:t>
      </w:r>
      <w:r w:rsidR="00FC70DC">
        <w:rPr>
          <w:rFonts w:ascii="Corbel" w:hAnsi="Corbel"/>
          <w:sz w:val="24"/>
          <w:szCs w:val="24"/>
        </w:rPr>
        <w:t>June 2015</w:t>
      </w:r>
      <w:r w:rsidR="00E25227">
        <w:rPr>
          <w:rFonts w:ascii="Corbel" w:hAnsi="Corbel"/>
          <w:sz w:val="24"/>
          <w:szCs w:val="24"/>
        </w:rPr>
        <w:t>;</w:t>
      </w:r>
    </w:p>
    <w:p w:rsidR="001A7BCB" w:rsidRDefault="001A7BCB" w:rsidP="001A7BCB">
      <w:pPr>
        <w:numPr>
          <w:ilvl w:val="1"/>
          <w:numId w:val="9"/>
        </w:numPr>
        <w:rPr>
          <w:rFonts w:ascii="Corbel" w:hAnsi="Corbel"/>
          <w:sz w:val="24"/>
          <w:szCs w:val="24"/>
        </w:rPr>
      </w:pPr>
      <w:r>
        <w:rPr>
          <w:rFonts w:ascii="Corbel" w:hAnsi="Corbel"/>
          <w:sz w:val="24"/>
          <w:szCs w:val="24"/>
        </w:rPr>
        <w:t>Stockton LRC residents will continue to transition from 1 July 2014</w:t>
      </w:r>
      <w:r w:rsidR="00FC70DC">
        <w:rPr>
          <w:rFonts w:ascii="Corbel" w:hAnsi="Corbel"/>
          <w:sz w:val="24"/>
          <w:szCs w:val="24"/>
        </w:rPr>
        <w:t xml:space="preserve"> to </w:t>
      </w:r>
      <w:r w:rsidR="00B919D6">
        <w:rPr>
          <w:rFonts w:ascii="Corbel" w:hAnsi="Corbel"/>
          <w:sz w:val="24"/>
          <w:szCs w:val="24"/>
        </w:rPr>
        <w:t>31</w:t>
      </w:r>
      <w:r w:rsidR="00FC70DC">
        <w:rPr>
          <w:rFonts w:ascii="Corbel" w:hAnsi="Corbel"/>
          <w:sz w:val="24"/>
          <w:szCs w:val="24"/>
        </w:rPr>
        <w:t xml:space="preserve"> </w:t>
      </w:r>
      <w:r w:rsidR="00B919D6">
        <w:rPr>
          <w:rFonts w:ascii="Corbel" w:hAnsi="Corbel"/>
          <w:sz w:val="24"/>
          <w:szCs w:val="24"/>
        </w:rPr>
        <w:t>March</w:t>
      </w:r>
      <w:r w:rsidR="00FC70DC">
        <w:rPr>
          <w:rFonts w:ascii="Corbel" w:hAnsi="Corbel"/>
          <w:sz w:val="24"/>
          <w:szCs w:val="24"/>
        </w:rPr>
        <w:t xml:space="preserve"> 201</w:t>
      </w:r>
      <w:r w:rsidR="00B919D6">
        <w:rPr>
          <w:rFonts w:ascii="Corbel" w:hAnsi="Corbel"/>
          <w:sz w:val="24"/>
          <w:szCs w:val="24"/>
        </w:rPr>
        <w:t>5</w:t>
      </w:r>
      <w:r>
        <w:rPr>
          <w:rFonts w:ascii="Corbel" w:hAnsi="Corbel"/>
          <w:sz w:val="24"/>
          <w:szCs w:val="24"/>
        </w:rPr>
        <w:t>,</w:t>
      </w:r>
      <w:r w:rsidRPr="003A22C5">
        <w:rPr>
          <w:rFonts w:ascii="Corbel" w:hAnsi="Corbel"/>
          <w:sz w:val="24"/>
          <w:szCs w:val="24"/>
        </w:rPr>
        <w:t xml:space="preserve"> taking account of the above considerations and the need to ensure a relatively even flow of participants throughout the year;</w:t>
      </w:r>
    </w:p>
    <w:p w:rsidR="001A7BCB" w:rsidRPr="003A22C5" w:rsidRDefault="001A7BCB" w:rsidP="001A7BCB">
      <w:pPr>
        <w:numPr>
          <w:ilvl w:val="1"/>
          <w:numId w:val="9"/>
        </w:numPr>
        <w:rPr>
          <w:rFonts w:ascii="Corbel" w:hAnsi="Corbel"/>
          <w:sz w:val="24"/>
          <w:szCs w:val="24"/>
        </w:rPr>
      </w:pPr>
      <w:r>
        <w:rPr>
          <w:rFonts w:ascii="Corbel" w:hAnsi="Corbel"/>
          <w:sz w:val="24"/>
          <w:szCs w:val="24"/>
        </w:rPr>
        <w:t>Kanangra LRC residents will</w:t>
      </w:r>
      <w:r w:rsidR="00257B92">
        <w:rPr>
          <w:rFonts w:ascii="Corbel" w:hAnsi="Corbel"/>
          <w:sz w:val="24"/>
          <w:szCs w:val="24"/>
        </w:rPr>
        <w:t xml:space="preserve"> commence</w:t>
      </w:r>
      <w:r>
        <w:rPr>
          <w:rFonts w:ascii="Corbel" w:hAnsi="Corbel"/>
          <w:sz w:val="24"/>
          <w:szCs w:val="24"/>
        </w:rPr>
        <w:t xml:space="preserve"> transition from </w:t>
      </w:r>
      <w:r w:rsidRPr="00A32CC0">
        <w:rPr>
          <w:rFonts w:ascii="Corbel" w:hAnsi="Corbel"/>
          <w:sz w:val="24"/>
          <w:szCs w:val="24"/>
        </w:rPr>
        <w:t xml:space="preserve">1 </w:t>
      </w:r>
      <w:r w:rsidR="00B919D6">
        <w:rPr>
          <w:rFonts w:ascii="Corbel" w:hAnsi="Corbel"/>
          <w:sz w:val="24"/>
          <w:szCs w:val="24"/>
        </w:rPr>
        <w:t>April</w:t>
      </w:r>
      <w:r w:rsidRPr="00A32CC0">
        <w:rPr>
          <w:rFonts w:ascii="Corbel" w:hAnsi="Corbel"/>
          <w:sz w:val="24"/>
          <w:szCs w:val="24"/>
        </w:rPr>
        <w:t xml:space="preserve"> 2015</w:t>
      </w:r>
      <w:r w:rsidR="00B919D6">
        <w:rPr>
          <w:rFonts w:ascii="Corbel" w:hAnsi="Corbel"/>
          <w:sz w:val="24"/>
          <w:szCs w:val="24"/>
        </w:rPr>
        <w:t>;</w:t>
      </w:r>
    </w:p>
    <w:p w:rsidR="001A7BCB" w:rsidRDefault="001A7BCB" w:rsidP="001A7BCB">
      <w:pPr>
        <w:numPr>
          <w:ilvl w:val="1"/>
          <w:numId w:val="9"/>
        </w:numPr>
        <w:rPr>
          <w:rFonts w:ascii="Corbel" w:hAnsi="Corbel"/>
          <w:sz w:val="24"/>
          <w:szCs w:val="24"/>
        </w:rPr>
      </w:pPr>
      <w:r w:rsidRPr="003A22C5">
        <w:rPr>
          <w:rFonts w:ascii="Corbel" w:hAnsi="Corbel"/>
          <w:sz w:val="24"/>
          <w:szCs w:val="24"/>
        </w:rPr>
        <w:lastRenderedPageBreak/>
        <w:t xml:space="preserve">wherever possible all of the participants of a specific provider </w:t>
      </w:r>
      <w:r>
        <w:rPr>
          <w:rFonts w:ascii="Corbel" w:hAnsi="Corbel"/>
          <w:sz w:val="24"/>
          <w:szCs w:val="24"/>
        </w:rPr>
        <w:t xml:space="preserve">and/or a specific outlet </w:t>
      </w:r>
      <w:r w:rsidRPr="003A22C5">
        <w:rPr>
          <w:rFonts w:ascii="Corbel" w:hAnsi="Corbel"/>
          <w:sz w:val="24"/>
          <w:szCs w:val="24"/>
        </w:rPr>
        <w:t>wil</w:t>
      </w:r>
      <w:r>
        <w:rPr>
          <w:rFonts w:ascii="Corbel" w:hAnsi="Corbel"/>
          <w:sz w:val="24"/>
          <w:szCs w:val="24"/>
        </w:rPr>
        <w:t xml:space="preserve">l be transitioned at a similar time;  </w:t>
      </w:r>
    </w:p>
    <w:p w:rsidR="00FC70DC" w:rsidRPr="00821B98" w:rsidRDefault="00FC70DC" w:rsidP="00FC70DC">
      <w:pPr>
        <w:numPr>
          <w:ilvl w:val="1"/>
          <w:numId w:val="9"/>
        </w:numPr>
        <w:rPr>
          <w:rFonts w:ascii="Corbel" w:hAnsi="Corbel"/>
          <w:sz w:val="24"/>
          <w:szCs w:val="24"/>
        </w:rPr>
      </w:pPr>
      <w:r w:rsidRPr="002A6E07">
        <w:rPr>
          <w:rFonts w:ascii="Corbel" w:hAnsi="Corbel"/>
          <w:sz w:val="24"/>
          <w:szCs w:val="24"/>
        </w:rPr>
        <w:t>participants will transition at a steady rate each month throughout</w:t>
      </w:r>
      <w:r w:rsidRPr="00821B98">
        <w:rPr>
          <w:rFonts w:ascii="Corbel" w:hAnsi="Corbel"/>
          <w:sz w:val="24"/>
          <w:szCs w:val="24"/>
        </w:rPr>
        <w:t xml:space="preserve"> the year, with the exception of December</w:t>
      </w:r>
      <w:r w:rsidR="00B919D6">
        <w:rPr>
          <w:rFonts w:ascii="Corbel" w:hAnsi="Corbel"/>
          <w:sz w:val="24"/>
          <w:szCs w:val="24"/>
        </w:rPr>
        <w:t xml:space="preserve"> 2014</w:t>
      </w:r>
      <w:r w:rsidRPr="00821B98">
        <w:rPr>
          <w:rFonts w:ascii="Corbel" w:hAnsi="Corbel"/>
          <w:sz w:val="24"/>
          <w:szCs w:val="24"/>
        </w:rPr>
        <w:t xml:space="preserve"> and January</w:t>
      </w:r>
      <w:r w:rsidR="00B919D6">
        <w:rPr>
          <w:rFonts w:ascii="Corbel" w:hAnsi="Corbel"/>
          <w:sz w:val="24"/>
          <w:szCs w:val="24"/>
        </w:rPr>
        <w:t xml:space="preserve"> 2015</w:t>
      </w:r>
      <w:r w:rsidRPr="00821B98">
        <w:rPr>
          <w:rFonts w:ascii="Corbel" w:hAnsi="Corbel"/>
          <w:sz w:val="24"/>
          <w:szCs w:val="24"/>
        </w:rPr>
        <w:t xml:space="preserve"> when </w:t>
      </w:r>
      <w:r w:rsidRPr="002A6E07">
        <w:rPr>
          <w:rFonts w:ascii="Corbel" w:hAnsi="Corbel"/>
          <w:sz w:val="24"/>
          <w:szCs w:val="24"/>
        </w:rPr>
        <w:t>limited and/or less complex transitions will be planned in view of the reduced workfo</w:t>
      </w:r>
      <w:r w:rsidRPr="00821B98">
        <w:rPr>
          <w:rFonts w:ascii="Corbel" w:hAnsi="Corbel"/>
          <w:sz w:val="24"/>
          <w:szCs w:val="24"/>
        </w:rPr>
        <w:t>rce capacity during this time and the need to minimise disruptions to participants and families; and</w:t>
      </w:r>
    </w:p>
    <w:p w:rsidR="001A7BCB" w:rsidRDefault="001A7BCB" w:rsidP="00257B92">
      <w:pPr>
        <w:numPr>
          <w:ilvl w:val="1"/>
          <w:numId w:val="9"/>
        </w:numPr>
        <w:rPr>
          <w:rFonts w:ascii="Corbel" w:hAnsi="Corbel"/>
          <w:sz w:val="24"/>
          <w:szCs w:val="24"/>
        </w:rPr>
      </w:pPr>
      <w:r>
        <w:rPr>
          <w:rFonts w:ascii="Corbel" w:hAnsi="Corbel"/>
          <w:sz w:val="24"/>
          <w:szCs w:val="24"/>
        </w:rPr>
        <w:t>capacity will be retained for entry of new participants in each quarter</w:t>
      </w:r>
      <w:r w:rsidR="00257B92">
        <w:rPr>
          <w:rFonts w:ascii="Corbel" w:hAnsi="Corbel"/>
          <w:sz w:val="24"/>
          <w:szCs w:val="24"/>
        </w:rPr>
        <w:t>;</w:t>
      </w:r>
    </w:p>
    <w:p w:rsidR="008417EE" w:rsidRPr="008417EE" w:rsidRDefault="00257B92" w:rsidP="008417EE">
      <w:pPr>
        <w:numPr>
          <w:ilvl w:val="1"/>
          <w:numId w:val="9"/>
        </w:numPr>
        <w:rPr>
          <w:rFonts w:ascii="Corbel" w:hAnsi="Corbel"/>
          <w:sz w:val="24"/>
          <w:szCs w:val="24"/>
        </w:rPr>
      </w:pPr>
      <w:r w:rsidRPr="00312BFD">
        <w:rPr>
          <w:rFonts w:ascii="Corbel" w:hAnsi="Corbel"/>
          <w:sz w:val="24"/>
          <w:szCs w:val="24"/>
        </w:rPr>
        <w:t>in the event that any existing Newcastle LGA participants have not transitioned by 30 June 2014, they will be prioritised for transition in 2014-15 and will be addition to the 2014-15 transition target of 2,030 (with the exception of the remaining Stockton LRC residents who are scheduled to transition during 2014-15).</w:t>
      </w:r>
    </w:p>
    <w:p w:rsidR="008417EE" w:rsidRPr="00EA5BB6" w:rsidRDefault="00EA5BB6" w:rsidP="00EA5BB6">
      <w:pPr>
        <w:numPr>
          <w:ilvl w:val="0"/>
          <w:numId w:val="9"/>
        </w:numPr>
        <w:rPr>
          <w:rFonts w:ascii="Corbel" w:hAnsi="Corbel"/>
          <w:sz w:val="24"/>
          <w:szCs w:val="24"/>
        </w:rPr>
      </w:pPr>
      <w:r>
        <w:rPr>
          <w:rFonts w:ascii="Corbel" w:hAnsi="Corbel"/>
          <w:sz w:val="24"/>
          <w:szCs w:val="24"/>
        </w:rPr>
        <w:t>The notional schedule for participants to have plans facilitated</w:t>
      </w:r>
      <w:r w:rsidR="00B919D6">
        <w:rPr>
          <w:rFonts w:ascii="Corbel" w:hAnsi="Corbel"/>
          <w:sz w:val="24"/>
          <w:szCs w:val="24"/>
        </w:rPr>
        <w:t xml:space="preserve"> in 2014-15</w:t>
      </w:r>
      <w:r>
        <w:rPr>
          <w:rFonts w:ascii="Corbel" w:hAnsi="Corbel"/>
          <w:sz w:val="24"/>
          <w:szCs w:val="24"/>
        </w:rPr>
        <w:t xml:space="preserve"> is set out in Table</w:t>
      </w:r>
      <w:r w:rsidR="00B919D6">
        <w:rPr>
          <w:rFonts w:ascii="Corbel" w:hAnsi="Corbel"/>
          <w:sz w:val="24"/>
          <w:szCs w:val="24"/>
        </w:rPr>
        <w:t> </w:t>
      </w:r>
      <w:r>
        <w:rPr>
          <w:rFonts w:ascii="Corbel" w:hAnsi="Corbel"/>
          <w:sz w:val="24"/>
          <w:szCs w:val="24"/>
        </w:rPr>
        <w:t xml:space="preserve">3, noting that </w:t>
      </w:r>
      <w:r w:rsidR="008417EE" w:rsidRPr="00EA5BB6">
        <w:rPr>
          <w:rFonts w:ascii="Corbel" w:hAnsi="Corbel"/>
          <w:sz w:val="24"/>
          <w:szCs w:val="24"/>
        </w:rPr>
        <w:t xml:space="preserve">transition rates may vary based on the factors set out in </w:t>
      </w:r>
      <w:r>
        <w:rPr>
          <w:rFonts w:ascii="Corbel" w:hAnsi="Corbel"/>
          <w:sz w:val="24"/>
          <w:szCs w:val="24"/>
        </w:rPr>
        <w:t>paragraph</w:t>
      </w:r>
      <w:r w:rsidR="008417EE" w:rsidRPr="00EA5BB6">
        <w:rPr>
          <w:rFonts w:ascii="Corbel" w:hAnsi="Corbel"/>
          <w:sz w:val="24"/>
          <w:szCs w:val="24"/>
        </w:rPr>
        <w:t xml:space="preserve"> </w:t>
      </w:r>
      <w:r w:rsidR="002F644F">
        <w:rPr>
          <w:rFonts w:ascii="Corbel" w:hAnsi="Corbel"/>
          <w:sz w:val="24"/>
          <w:szCs w:val="24"/>
        </w:rPr>
        <w:t>8</w:t>
      </w:r>
      <w:r w:rsidR="008417EE" w:rsidRPr="00EA5BB6">
        <w:rPr>
          <w:rFonts w:ascii="Corbel" w:hAnsi="Corbel"/>
          <w:sz w:val="24"/>
          <w:szCs w:val="24"/>
        </w:rPr>
        <w:t xml:space="preserve"> and Agency capability:</w:t>
      </w:r>
    </w:p>
    <w:p w:rsidR="00EA5BB6" w:rsidRPr="007F52F5" w:rsidRDefault="008417EE" w:rsidP="00EA5BB6">
      <w:pPr>
        <w:keepNext/>
        <w:ind w:left="360"/>
        <w:rPr>
          <w:rFonts w:asciiTheme="minorHAnsi" w:hAnsiTheme="minorHAnsi"/>
          <w:b/>
        </w:rPr>
      </w:pPr>
      <w:r w:rsidRPr="007F52F5">
        <w:rPr>
          <w:rFonts w:asciiTheme="minorHAnsi" w:hAnsiTheme="minorHAnsi"/>
          <w:b/>
        </w:rPr>
        <w:t xml:space="preserve">Table </w:t>
      </w:r>
      <w:r>
        <w:rPr>
          <w:rFonts w:asciiTheme="minorHAnsi" w:hAnsiTheme="minorHAnsi"/>
          <w:b/>
        </w:rPr>
        <w:t>3</w:t>
      </w:r>
    </w:p>
    <w:tbl>
      <w:tblPr>
        <w:tblW w:w="4821" w:type="pct"/>
        <w:jc w:val="center"/>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1843"/>
        <w:gridCol w:w="1843"/>
        <w:gridCol w:w="1723"/>
        <w:gridCol w:w="1867"/>
      </w:tblGrid>
      <w:tr w:rsidR="008417EE" w:rsidRPr="007F52F5" w:rsidTr="00246B37">
        <w:trPr>
          <w:trHeight w:val="614"/>
          <w:jc w:val="center"/>
        </w:trPr>
        <w:tc>
          <w:tcPr>
            <w:tcW w:w="2339" w:type="dxa"/>
          </w:tcPr>
          <w:p w:rsidR="008417EE" w:rsidRPr="007F52F5" w:rsidRDefault="008417EE" w:rsidP="00EB6F9A">
            <w:pPr>
              <w:keepNext/>
              <w:rPr>
                <w:rFonts w:asciiTheme="minorHAnsi" w:hAnsiTheme="minorHAnsi" w:cs="Calibri"/>
              </w:rPr>
            </w:pPr>
          </w:p>
        </w:tc>
        <w:tc>
          <w:tcPr>
            <w:tcW w:w="1843" w:type="dxa"/>
          </w:tcPr>
          <w:p w:rsidR="008417EE" w:rsidRPr="007F52F5" w:rsidRDefault="008417EE" w:rsidP="00EB6F9A">
            <w:pPr>
              <w:spacing w:after="120"/>
              <w:jc w:val="center"/>
              <w:rPr>
                <w:rFonts w:asciiTheme="minorHAnsi" w:eastAsia="PMingLiU" w:hAnsiTheme="minorHAnsi" w:cs="Calibri"/>
                <w:b/>
                <w:bCs/>
              </w:rPr>
            </w:pPr>
            <w:r w:rsidRPr="007F52F5">
              <w:rPr>
                <w:rFonts w:asciiTheme="minorHAnsi" w:hAnsiTheme="minorHAnsi"/>
                <w:b/>
                <w:bCs/>
              </w:rPr>
              <w:t>Jul to Sep 201</w:t>
            </w:r>
            <w:r w:rsidR="00B919D6">
              <w:rPr>
                <w:rFonts w:asciiTheme="minorHAnsi" w:hAnsiTheme="minorHAnsi"/>
                <w:b/>
                <w:bCs/>
              </w:rPr>
              <w:t>4</w:t>
            </w:r>
          </w:p>
        </w:tc>
        <w:tc>
          <w:tcPr>
            <w:tcW w:w="1843" w:type="dxa"/>
          </w:tcPr>
          <w:p w:rsidR="008417EE" w:rsidRPr="007F52F5" w:rsidRDefault="008417EE" w:rsidP="00EB6F9A">
            <w:pPr>
              <w:spacing w:after="120"/>
              <w:jc w:val="center"/>
              <w:rPr>
                <w:rFonts w:asciiTheme="minorHAnsi" w:eastAsia="PMingLiU" w:hAnsiTheme="minorHAnsi" w:cs="Calibri"/>
                <w:b/>
                <w:bCs/>
              </w:rPr>
            </w:pPr>
            <w:r w:rsidRPr="007F52F5">
              <w:rPr>
                <w:rFonts w:asciiTheme="minorHAnsi" w:hAnsiTheme="minorHAnsi"/>
                <w:b/>
                <w:bCs/>
              </w:rPr>
              <w:t>Oct to Dec 201</w:t>
            </w:r>
            <w:r w:rsidR="00B919D6">
              <w:rPr>
                <w:rFonts w:asciiTheme="minorHAnsi" w:hAnsiTheme="minorHAnsi"/>
                <w:b/>
                <w:bCs/>
              </w:rPr>
              <w:t>4</w:t>
            </w:r>
          </w:p>
        </w:tc>
        <w:tc>
          <w:tcPr>
            <w:tcW w:w="1723" w:type="dxa"/>
          </w:tcPr>
          <w:p w:rsidR="008417EE" w:rsidRPr="007F52F5" w:rsidRDefault="008417EE" w:rsidP="00EB6F9A">
            <w:pPr>
              <w:spacing w:after="120"/>
              <w:jc w:val="center"/>
              <w:rPr>
                <w:rFonts w:asciiTheme="minorHAnsi" w:eastAsia="PMingLiU" w:hAnsiTheme="minorHAnsi" w:cs="Calibri"/>
                <w:b/>
                <w:bCs/>
              </w:rPr>
            </w:pPr>
            <w:r w:rsidRPr="007F52F5">
              <w:rPr>
                <w:rFonts w:asciiTheme="minorHAnsi" w:hAnsiTheme="minorHAnsi"/>
                <w:b/>
                <w:bCs/>
              </w:rPr>
              <w:t>Jan to Mar 201</w:t>
            </w:r>
            <w:r w:rsidR="00B919D6">
              <w:rPr>
                <w:rFonts w:asciiTheme="minorHAnsi" w:hAnsiTheme="minorHAnsi"/>
                <w:b/>
                <w:bCs/>
              </w:rPr>
              <w:t>5</w:t>
            </w:r>
          </w:p>
        </w:tc>
        <w:tc>
          <w:tcPr>
            <w:tcW w:w="1867" w:type="dxa"/>
          </w:tcPr>
          <w:p w:rsidR="008417EE" w:rsidRPr="007F52F5" w:rsidRDefault="008417EE" w:rsidP="00EB6F9A">
            <w:pPr>
              <w:spacing w:after="120"/>
              <w:jc w:val="center"/>
              <w:rPr>
                <w:rFonts w:asciiTheme="minorHAnsi" w:eastAsia="PMingLiU" w:hAnsiTheme="minorHAnsi" w:cs="Calibri"/>
                <w:b/>
                <w:bCs/>
              </w:rPr>
            </w:pPr>
            <w:r w:rsidRPr="007F52F5">
              <w:rPr>
                <w:rFonts w:asciiTheme="minorHAnsi" w:hAnsiTheme="minorHAnsi"/>
                <w:b/>
                <w:bCs/>
              </w:rPr>
              <w:t>Apr to Jun 201</w:t>
            </w:r>
            <w:r w:rsidR="00B919D6">
              <w:rPr>
                <w:rFonts w:asciiTheme="minorHAnsi" w:hAnsiTheme="minorHAnsi"/>
                <w:b/>
                <w:bCs/>
              </w:rPr>
              <w:t>5</w:t>
            </w:r>
          </w:p>
        </w:tc>
      </w:tr>
      <w:tr w:rsidR="008417EE" w:rsidRPr="007F52F5" w:rsidTr="00246B37">
        <w:trPr>
          <w:jc w:val="center"/>
        </w:trPr>
        <w:tc>
          <w:tcPr>
            <w:tcW w:w="2339" w:type="dxa"/>
          </w:tcPr>
          <w:p w:rsidR="008417EE" w:rsidRPr="007F52F5" w:rsidRDefault="008417EE" w:rsidP="00EB6F9A">
            <w:pPr>
              <w:keepNext/>
              <w:rPr>
                <w:rFonts w:asciiTheme="minorHAnsi" w:hAnsiTheme="minorHAnsi" w:cs="Calibri"/>
              </w:rPr>
            </w:pPr>
            <w:r w:rsidRPr="007F52F5">
              <w:rPr>
                <w:rFonts w:asciiTheme="minorHAnsi" w:hAnsiTheme="minorHAnsi" w:cs="Calibri"/>
              </w:rPr>
              <w:t xml:space="preserve">Existing State Clients </w:t>
            </w:r>
          </w:p>
        </w:tc>
        <w:tc>
          <w:tcPr>
            <w:tcW w:w="1843" w:type="dxa"/>
            <w:vAlign w:val="center"/>
          </w:tcPr>
          <w:p w:rsidR="008417EE" w:rsidRPr="007F52F5" w:rsidRDefault="008417EE" w:rsidP="00EB6F9A">
            <w:pPr>
              <w:jc w:val="center"/>
              <w:rPr>
                <w:rFonts w:asciiTheme="minorHAnsi" w:hAnsiTheme="minorHAnsi" w:cs="Arial"/>
              </w:rPr>
            </w:pPr>
            <w:r w:rsidRPr="007F52F5">
              <w:rPr>
                <w:rFonts w:asciiTheme="minorHAnsi" w:hAnsiTheme="minorHAnsi" w:cs="Calibri"/>
              </w:rPr>
              <w:t>300</w:t>
            </w:r>
          </w:p>
        </w:tc>
        <w:tc>
          <w:tcPr>
            <w:tcW w:w="1843" w:type="dxa"/>
            <w:vAlign w:val="center"/>
          </w:tcPr>
          <w:p w:rsidR="008417EE" w:rsidRPr="007F52F5" w:rsidRDefault="008417EE" w:rsidP="00EB6F9A">
            <w:pPr>
              <w:jc w:val="center"/>
              <w:rPr>
                <w:rFonts w:asciiTheme="minorHAnsi" w:hAnsiTheme="minorHAnsi" w:cs="Arial"/>
              </w:rPr>
            </w:pPr>
            <w:r w:rsidRPr="007F52F5">
              <w:rPr>
                <w:rFonts w:asciiTheme="minorHAnsi" w:hAnsiTheme="minorHAnsi" w:cs="Calibri"/>
              </w:rPr>
              <w:t>300</w:t>
            </w:r>
          </w:p>
        </w:tc>
        <w:tc>
          <w:tcPr>
            <w:tcW w:w="1723" w:type="dxa"/>
            <w:vAlign w:val="center"/>
          </w:tcPr>
          <w:p w:rsidR="008417EE" w:rsidRPr="007F52F5" w:rsidRDefault="008417EE" w:rsidP="00EB6F9A">
            <w:pPr>
              <w:jc w:val="center"/>
              <w:rPr>
                <w:rFonts w:asciiTheme="minorHAnsi" w:hAnsiTheme="minorHAnsi" w:cs="Arial"/>
              </w:rPr>
            </w:pPr>
            <w:r w:rsidRPr="007F52F5">
              <w:rPr>
                <w:rFonts w:asciiTheme="minorHAnsi" w:hAnsiTheme="minorHAnsi" w:cs="Calibri"/>
              </w:rPr>
              <w:t>300</w:t>
            </w:r>
          </w:p>
        </w:tc>
        <w:tc>
          <w:tcPr>
            <w:tcW w:w="1867" w:type="dxa"/>
            <w:vAlign w:val="center"/>
          </w:tcPr>
          <w:p w:rsidR="008417EE" w:rsidRPr="007F52F5" w:rsidRDefault="008417EE" w:rsidP="00EB6F9A">
            <w:pPr>
              <w:jc w:val="center"/>
              <w:rPr>
                <w:rFonts w:asciiTheme="minorHAnsi" w:hAnsiTheme="minorHAnsi" w:cs="Arial"/>
              </w:rPr>
            </w:pPr>
            <w:r w:rsidRPr="007F52F5">
              <w:rPr>
                <w:rFonts w:asciiTheme="minorHAnsi" w:hAnsiTheme="minorHAnsi" w:cs="Calibri"/>
              </w:rPr>
              <w:t>300</w:t>
            </w:r>
          </w:p>
        </w:tc>
      </w:tr>
      <w:tr w:rsidR="008417EE" w:rsidRPr="007F52F5" w:rsidTr="00246B37">
        <w:trPr>
          <w:jc w:val="center"/>
        </w:trPr>
        <w:tc>
          <w:tcPr>
            <w:tcW w:w="2339" w:type="dxa"/>
          </w:tcPr>
          <w:p w:rsidR="008417EE" w:rsidRPr="007F52F5" w:rsidRDefault="008417EE" w:rsidP="00EB6F9A">
            <w:pPr>
              <w:keepNext/>
              <w:rPr>
                <w:rFonts w:asciiTheme="minorHAnsi" w:hAnsiTheme="minorHAnsi" w:cs="Calibri"/>
              </w:rPr>
            </w:pPr>
            <w:r w:rsidRPr="007F52F5">
              <w:rPr>
                <w:rFonts w:asciiTheme="minorHAnsi" w:hAnsiTheme="minorHAnsi" w:cs="Calibri"/>
              </w:rPr>
              <w:t>New &amp; Other Clients</w:t>
            </w:r>
          </w:p>
        </w:tc>
        <w:tc>
          <w:tcPr>
            <w:tcW w:w="1843" w:type="dxa"/>
            <w:vAlign w:val="center"/>
          </w:tcPr>
          <w:p w:rsidR="008417EE" w:rsidRPr="007F52F5" w:rsidRDefault="008417EE" w:rsidP="00EB6F9A">
            <w:pPr>
              <w:jc w:val="center"/>
              <w:rPr>
                <w:rFonts w:asciiTheme="minorHAnsi" w:hAnsiTheme="minorHAnsi" w:cs="Arial"/>
              </w:rPr>
            </w:pPr>
            <w:r w:rsidRPr="007F52F5">
              <w:rPr>
                <w:rFonts w:asciiTheme="minorHAnsi" w:hAnsiTheme="minorHAnsi" w:cs="Calibri"/>
              </w:rPr>
              <w:t>207</w:t>
            </w:r>
          </w:p>
        </w:tc>
        <w:tc>
          <w:tcPr>
            <w:tcW w:w="1843" w:type="dxa"/>
            <w:vAlign w:val="center"/>
          </w:tcPr>
          <w:p w:rsidR="008417EE" w:rsidRPr="007F52F5" w:rsidRDefault="008417EE" w:rsidP="00EB6F9A">
            <w:pPr>
              <w:jc w:val="center"/>
              <w:rPr>
                <w:rFonts w:asciiTheme="minorHAnsi" w:hAnsiTheme="minorHAnsi" w:cs="Arial"/>
              </w:rPr>
            </w:pPr>
            <w:r w:rsidRPr="007F52F5">
              <w:rPr>
                <w:rFonts w:asciiTheme="minorHAnsi" w:hAnsiTheme="minorHAnsi" w:cs="Calibri"/>
              </w:rPr>
              <w:t>207</w:t>
            </w:r>
          </w:p>
        </w:tc>
        <w:tc>
          <w:tcPr>
            <w:tcW w:w="1723" w:type="dxa"/>
            <w:vAlign w:val="center"/>
          </w:tcPr>
          <w:p w:rsidR="008417EE" w:rsidRPr="007F52F5" w:rsidRDefault="008417EE" w:rsidP="00EB6F9A">
            <w:pPr>
              <w:jc w:val="center"/>
              <w:rPr>
                <w:rFonts w:asciiTheme="minorHAnsi" w:hAnsiTheme="minorHAnsi" w:cs="Arial"/>
              </w:rPr>
            </w:pPr>
            <w:r w:rsidRPr="007F52F5">
              <w:rPr>
                <w:rFonts w:asciiTheme="minorHAnsi" w:hAnsiTheme="minorHAnsi" w:cs="Calibri"/>
              </w:rPr>
              <w:t>208</w:t>
            </w:r>
          </w:p>
        </w:tc>
        <w:tc>
          <w:tcPr>
            <w:tcW w:w="1867" w:type="dxa"/>
            <w:vAlign w:val="center"/>
          </w:tcPr>
          <w:p w:rsidR="008417EE" w:rsidRPr="007F52F5" w:rsidRDefault="008417EE" w:rsidP="00EB6F9A">
            <w:pPr>
              <w:jc w:val="center"/>
              <w:rPr>
                <w:rFonts w:asciiTheme="minorHAnsi" w:hAnsiTheme="minorHAnsi" w:cs="Arial"/>
              </w:rPr>
            </w:pPr>
            <w:r w:rsidRPr="007F52F5">
              <w:rPr>
                <w:rFonts w:asciiTheme="minorHAnsi" w:hAnsiTheme="minorHAnsi" w:cs="Calibri"/>
              </w:rPr>
              <w:t>208</w:t>
            </w:r>
          </w:p>
        </w:tc>
      </w:tr>
      <w:tr w:rsidR="008417EE" w:rsidRPr="007F52F5" w:rsidTr="00246B37">
        <w:trPr>
          <w:jc w:val="center"/>
        </w:trPr>
        <w:tc>
          <w:tcPr>
            <w:tcW w:w="2339" w:type="dxa"/>
          </w:tcPr>
          <w:p w:rsidR="008417EE" w:rsidRPr="007F52F5" w:rsidRDefault="008417EE" w:rsidP="00EB6F9A">
            <w:pPr>
              <w:keepNext/>
              <w:rPr>
                <w:rFonts w:asciiTheme="minorHAnsi" w:hAnsiTheme="minorHAnsi" w:cs="Calibri"/>
              </w:rPr>
            </w:pPr>
            <w:r w:rsidRPr="007F52F5">
              <w:rPr>
                <w:rFonts w:asciiTheme="minorHAnsi" w:hAnsiTheme="minorHAnsi" w:cs="Calibri"/>
              </w:rPr>
              <w:t>Increment</w:t>
            </w:r>
          </w:p>
        </w:tc>
        <w:tc>
          <w:tcPr>
            <w:tcW w:w="1843" w:type="dxa"/>
            <w:vAlign w:val="center"/>
          </w:tcPr>
          <w:p w:rsidR="008417EE" w:rsidRPr="007F52F5" w:rsidDel="00C02AD1" w:rsidRDefault="008417EE" w:rsidP="00EB6F9A">
            <w:pPr>
              <w:jc w:val="center"/>
              <w:rPr>
                <w:rFonts w:asciiTheme="minorHAnsi" w:hAnsiTheme="minorHAnsi" w:cs="Arial"/>
              </w:rPr>
            </w:pPr>
            <w:r w:rsidRPr="007F52F5">
              <w:rPr>
                <w:rFonts w:asciiTheme="minorHAnsi" w:hAnsiTheme="minorHAnsi" w:cs="Arial"/>
              </w:rPr>
              <w:t>507</w:t>
            </w:r>
          </w:p>
        </w:tc>
        <w:tc>
          <w:tcPr>
            <w:tcW w:w="1843" w:type="dxa"/>
            <w:vAlign w:val="center"/>
          </w:tcPr>
          <w:p w:rsidR="008417EE" w:rsidRPr="007F52F5" w:rsidDel="00C02AD1" w:rsidRDefault="008417EE" w:rsidP="00EB6F9A">
            <w:pPr>
              <w:jc w:val="center"/>
              <w:rPr>
                <w:rFonts w:asciiTheme="minorHAnsi" w:hAnsiTheme="minorHAnsi" w:cs="Arial"/>
              </w:rPr>
            </w:pPr>
            <w:r w:rsidRPr="007F52F5">
              <w:rPr>
                <w:rFonts w:asciiTheme="minorHAnsi" w:hAnsiTheme="minorHAnsi" w:cs="Arial"/>
              </w:rPr>
              <w:t>507</w:t>
            </w:r>
          </w:p>
        </w:tc>
        <w:tc>
          <w:tcPr>
            <w:tcW w:w="1723" w:type="dxa"/>
            <w:vAlign w:val="center"/>
          </w:tcPr>
          <w:p w:rsidR="008417EE" w:rsidRPr="007F52F5" w:rsidDel="00C02AD1" w:rsidRDefault="008417EE" w:rsidP="00EB6F9A">
            <w:pPr>
              <w:jc w:val="center"/>
              <w:rPr>
                <w:rFonts w:asciiTheme="minorHAnsi" w:hAnsiTheme="minorHAnsi" w:cs="Arial"/>
              </w:rPr>
            </w:pPr>
            <w:r w:rsidRPr="007F52F5">
              <w:rPr>
                <w:rFonts w:asciiTheme="minorHAnsi" w:hAnsiTheme="minorHAnsi" w:cs="Arial"/>
              </w:rPr>
              <w:t>508</w:t>
            </w:r>
          </w:p>
        </w:tc>
        <w:tc>
          <w:tcPr>
            <w:tcW w:w="1867" w:type="dxa"/>
            <w:vAlign w:val="center"/>
          </w:tcPr>
          <w:p w:rsidR="008417EE" w:rsidRPr="007F52F5" w:rsidDel="00C02AD1" w:rsidRDefault="008417EE" w:rsidP="00EB6F9A">
            <w:pPr>
              <w:jc w:val="center"/>
              <w:rPr>
                <w:rFonts w:asciiTheme="minorHAnsi" w:hAnsiTheme="minorHAnsi" w:cs="Arial"/>
              </w:rPr>
            </w:pPr>
            <w:r w:rsidRPr="007F52F5">
              <w:rPr>
                <w:rFonts w:asciiTheme="minorHAnsi" w:hAnsiTheme="minorHAnsi" w:cs="Arial"/>
              </w:rPr>
              <w:t>508</w:t>
            </w:r>
          </w:p>
        </w:tc>
      </w:tr>
      <w:tr w:rsidR="008417EE" w:rsidRPr="007F52F5" w:rsidTr="00246B37">
        <w:trPr>
          <w:jc w:val="center"/>
        </w:trPr>
        <w:tc>
          <w:tcPr>
            <w:tcW w:w="2339" w:type="dxa"/>
          </w:tcPr>
          <w:p w:rsidR="008417EE" w:rsidRPr="00BF79CC" w:rsidRDefault="008417EE" w:rsidP="00EB6F9A">
            <w:pPr>
              <w:keepNext/>
              <w:rPr>
                <w:rFonts w:asciiTheme="minorHAnsi" w:hAnsiTheme="minorHAnsi" w:cs="Calibri"/>
                <w:b/>
              </w:rPr>
            </w:pPr>
            <w:r w:rsidRPr="00BF79CC">
              <w:rPr>
                <w:rFonts w:asciiTheme="minorHAnsi" w:hAnsiTheme="minorHAnsi" w:cs="Calibri"/>
                <w:b/>
              </w:rPr>
              <w:t>Cumulative</w:t>
            </w:r>
          </w:p>
        </w:tc>
        <w:tc>
          <w:tcPr>
            <w:tcW w:w="1843" w:type="dxa"/>
            <w:vAlign w:val="center"/>
          </w:tcPr>
          <w:p w:rsidR="008417EE" w:rsidRPr="00BF79CC" w:rsidRDefault="008417EE" w:rsidP="00EB6F9A">
            <w:pPr>
              <w:jc w:val="center"/>
              <w:rPr>
                <w:rFonts w:asciiTheme="minorHAnsi" w:hAnsiTheme="minorHAnsi" w:cs="Arial"/>
                <w:b/>
              </w:rPr>
            </w:pPr>
            <w:r w:rsidRPr="00BF79CC">
              <w:rPr>
                <w:rFonts w:asciiTheme="minorHAnsi" w:hAnsiTheme="minorHAnsi" w:cs="Arial"/>
                <w:b/>
              </w:rPr>
              <w:t>507</w:t>
            </w:r>
          </w:p>
        </w:tc>
        <w:tc>
          <w:tcPr>
            <w:tcW w:w="1843" w:type="dxa"/>
            <w:vAlign w:val="center"/>
          </w:tcPr>
          <w:p w:rsidR="008417EE" w:rsidRPr="00BF79CC" w:rsidRDefault="008417EE" w:rsidP="00EB6F9A">
            <w:pPr>
              <w:jc w:val="center"/>
              <w:rPr>
                <w:rFonts w:asciiTheme="minorHAnsi" w:hAnsiTheme="minorHAnsi" w:cs="Arial"/>
                <w:b/>
              </w:rPr>
            </w:pPr>
            <w:r w:rsidRPr="00BF79CC">
              <w:rPr>
                <w:rFonts w:asciiTheme="minorHAnsi" w:hAnsiTheme="minorHAnsi" w:cs="Arial"/>
                <w:b/>
              </w:rPr>
              <w:t>1</w:t>
            </w:r>
            <w:r w:rsidR="00BF79CC">
              <w:rPr>
                <w:rFonts w:asciiTheme="minorHAnsi" w:hAnsiTheme="minorHAnsi" w:cs="Arial"/>
                <w:b/>
              </w:rPr>
              <w:t>,</w:t>
            </w:r>
            <w:r w:rsidRPr="00BF79CC">
              <w:rPr>
                <w:rFonts w:asciiTheme="minorHAnsi" w:hAnsiTheme="minorHAnsi" w:cs="Arial"/>
                <w:b/>
              </w:rPr>
              <w:t>014</w:t>
            </w:r>
          </w:p>
        </w:tc>
        <w:tc>
          <w:tcPr>
            <w:tcW w:w="1723" w:type="dxa"/>
            <w:vAlign w:val="center"/>
          </w:tcPr>
          <w:p w:rsidR="008417EE" w:rsidRPr="00BF79CC" w:rsidRDefault="008417EE" w:rsidP="00EB6F9A">
            <w:pPr>
              <w:jc w:val="center"/>
              <w:rPr>
                <w:rFonts w:asciiTheme="minorHAnsi" w:hAnsiTheme="minorHAnsi" w:cs="Arial"/>
                <w:b/>
              </w:rPr>
            </w:pPr>
            <w:r w:rsidRPr="00BF79CC">
              <w:rPr>
                <w:rFonts w:asciiTheme="minorHAnsi" w:hAnsiTheme="minorHAnsi" w:cs="Arial"/>
                <w:b/>
              </w:rPr>
              <w:t>1</w:t>
            </w:r>
            <w:r w:rsidR="00BF79CC">
              <w:rPr>
                <w:rFonts w:asciiTheme="minorHAnsi" w:hAnsiTheme="minorHAnsi" w:cs="Arial"/>
                <w:b/>
              </w:rPr>
              <w:t>,</w:t>
            </w:r>
            <w:r w:rsidRPr="00BF79CC">
              <w:rPr>
                <w:rFonts w:asciiTheme="minorHAnsi" w:hAnsiTheme="minorHAnsi" w:cs="Arial"/>
                <w:b/>
              </w:rPr>
              <w:t>522</w:t>
            </w:r>
          </w:p>
        </w:tc>
        <w:tc>
          <w:tcPr>
            <w:tcW w:w="1867" w:type="dxa"/>
            <w:vAlign w:val="center"/>
          </w:tcPr>
          <w:p w:rsidR="008417EE" w:rsidRPr="00BF79CC" w:rsidRDefault="008417EE" w:rsidP="00EB6F9A">
            <w:pPr>
              <w:jc w:val="center"/>
              <w:rPr>
                <w:rFonts w:asciiTheme="minorHAnsi" w:hAnsiTheme="minorHAnsi" w:cs="Arial"/>
                <w:b/>
              </w:rPr>
            </w:pPr>
            <w:r w:rsidRPr="00BF79CC">
              <w:rPr>
                <w:rFonts w:asciiTheme="minorHAnsi" w:hAnsiTheme="minorHAnsi" w:cs="Arial"/>
                <w:b/>
              </w:rPr>
              <w:t>2</w:t>
            </w:r>
            <w:r w:rsidR="00BF79CC">
              <w:rPr>
                <w:rFonts w:asciiTheme="minorHAnsi" w:hAnsiTheme="minorHAnsi" w:cs="Arial"/>
                <w:b/>
              </w:rPr>
              <w:t>,</w:t>
            </w:r>
            <w:r w:rsidRPr="00BF79CC">
              <w:rPr>
                <w:rFonts w:asciiTheme="minorHAnsi" w:hAnsiTheme="minorHAnsi" w:cs="Arial"/>
                <w:b/>
              </w:rPr>
              <w:t>030</w:t>
            </w:r>
          </w:p>
        </w:tc>
      </w:tr>
    </w:tbl>
    <w:p w:rsidR="008417EE" w:rsidRDefault="008417EE" w:rsidP="008417EE">
      <w:pPr>
        <w:rPr>
          <w:rFonts w:asciiTheme="minorHAnsi" w:hAnsiTheme="minorHAnsi" w:cs="Calibri"/>
        </w:rPr>
      </w:pPr>
    </w:p>
    <w:p w:rsidR="00B919D6" w:rsidRDefault="00B919D6" w:rsidP="00B919D6">
      <w:pPr>
        <w:numPr>
          <w:ilvl w:val="0"/>
          <w:numId w:val="9"/>
        </w:numPr>
        <w:rPr>
          <w:rFonts w:ascii="Corbel" w:hAnsi="Corbel"/>
          <w:sz w:val="24"/>
          <w:szCs w:val="24"/>
        </w:rPr>
      </w:pPr>
      <w:r>
        <w:rPr>
          <w:rFonts w:ascii="Corbel" w:hAnsi="Corbel"/>
          <w:sz w:val="24"/>
          <w:szCs w:val="24"/>
        </w:rPr>
        <w:t>The C</w:t>
      </w:r>
      <w:r w:rsidRPr="00DA638E">
        <w:rPr>
          <w:rFonts w:ascii="Corbel" w:hAnsi="Corbel"/>
          <w:sz w:val="24"/>
          <w:szCs w:val="24"/>
        </w:rPr>
        <w:t xml:space="preserve">ommonwealth will </w:t>
      </w:r>
      <w:r>
        <w:rPr>
          <w:rFonts w:ascii="Corbel" w:hAnsi="Corbel"/>
          <w:sz w:val="24"/>
          <w:szCs w:val="24"/>
        </w:rPr>
        <w:t>use the State phasing methodology for existing Commonwealth</w:t>
      </w:r>
      <w:r w:rsidRPr="00DA638E">
        <w:rPr>
          <w:rFonts w:ascii="Corbel" w:hAnsi="Corbel"/>
          <w:sz w:val="24"/>
          <w:szCs w:val="24"/>
        </w:rPr>
        <w:t xml:space="preserve"> participants</w:t>
      </w:r>
      <w:r>
        <w:rPr>
          <w:rFonts w:ascii="Corbel" w:hAnsi="Corbel"/>
          <w:sz w:val="24"/>
          <w:szCs w:val="24"/>
        </w:rPr>
        <w:t xml:space="preserve"> currently accessing both Commonwealth and State programs. Participants currently accessing Commonwealth programs only will be equitably phased into the NDIS.</w:t>
      </w:r>
    </w:p>
    <w:p w:rsidR="00393866" w:rsidRDefault="00393866" w:rsidP="00393866">
      <w:pPr>
        <w:numPr>
          <w:ilvl w:val="0"/>
          <w:numId w:val="9"/>
        </w:numPr>
        <w:rPr>
          <w:rFonts w:ascii="Corbel" w:hAnsi="Corbel"/>
          <w:sz w:val="24"/>
          <w:szCs w:val="24"/>
        </w:rPr>
      </w:pPr>
      <w:r>
        <w:rPr>
          <w:rFonts w:ascii="Corbel" w:hAnsi="Corbel"/>
          <w:sz w:val="24"/>
          <w:szCs w:val="24"/>
        </w:rPr>
        <w:t>The Agency will manage the intake of participants in line with the quarterly targets and mix of participants set out in Tables 2 and 3, as well as the sequence of provider</w:t>
      </w:r>
      <w:r w:rsidR="00ED0352">
        <w:rPr>
          <w:rFonts w:ascii="Corbel" w:hAnsi="Corbel"/>
          <w:sz w:val="24"/>
          <w:szCs w:val="24"/>
        </w:rPr>
        <w:t>s</w:t>
      </w:r>
      <w:r>
        <w:rPr>
          <w:rFonts w:ascii="Corbel" w:hAnsi="Corbel"/>
          <w:sz w:val="24"/>
          <w:szCs w:val="24"/>
        </w:rPr>
        <w:t xml:space="preserve"> transitioning in the 2013-14 and 2014-15 phasing plans. Any variations should be agreed with NSW and the Commonwealth.</w:t>
      </w:r>
    </w:p>
    <w:p w:rsidR="00246B37" w:rsidRDefault="00246B37" w:rsidP="00246B37">
      <w:pPr>
        <w:numPr>
          <w:ilvl w:val="0"/>
          <w:numId w:val="9"/>
        </w:numPr>
        <w:rPr>
          <w:rFonts w:ascii="Corbel" w:hAnsi="Corbel"/>
          <w:sz w:val="24"/>
          <w:szCs w:val="24"/>
        </w:rPr>
      </w:pPr>
      <w:r w:rsidRPr="000C1F19">
        <w:rPr>
          <w:rFonts w:ascii="Corbel" w:hAnsi="Corbel"/>
          <w:sz w:val="24"/>
          <w:szCs w:val="24"/>
        </w:rPr>
        <w:t xml:space="preserve">Within </w:t>
      </w:r>
      <w:r>
        <w:rPr>
          <w:rFonts w:ascii="Corbel" w:hAnsi="Corbel"/>
          <w:sz w:val="24"/>
          <w:szCs w:val="24"/>
        </w:rPr>
        <w:t>this approach</w:t>
      </w:r>
      <w:r w:rsidRPr="000C1F19">
        <w:rPr>
          <w:rFonts w:ascii="Corbel" w:hAnsi="Corbel"/>
          <w:sz w:val="24"/>
          <w:szCs w:val="24"/>
        </w:rPr>
        <w:t xml:space="preserve">, the Parties agree that the Agency may also apply </w:t>
      </w:r>
      <w:r>
        <w:rPr>
          <w:rFonts w:ascii="Corbel" w:hAnsi="Corbel"/>
          <w:sz w:val="24"/>
          <w:szCs w:val="24"/>
        </w:rPr>
        <w:t xml:space="preserve">other </w:t>
      </w:r>
      <w:r w:rsidRPr="000C1F19">
        <w:rPr>
          <w:rFonts w:ascii="Corbel" w:hAnsi="Corbel"/>
          <w:sz w:val="24"/>
          <w:szCs w:val="24"/>
        </w:rPr>
        <w:t xml:space="preserve">administrative criteria to </w:t>
      </w:r>
      <w:r>
        <w:rPr>
          <w:rFonts w:ascii="Corbel" w:hAnsi="Corbel"/>
          <w:sz w:val="24"/>
          <w:szCs w:val="24"/>
        </w:rPr>
        <w:t>ensure participan</w:t>
      </w:r>
      <w:r w:rsidRPr="000C1F19">
        <w:rPr>
          <w:rFonts w:ascii="Corbel" w:hAnsi="Corbel"/>
          <w:sz w:val="24"/>
          <w:szCs w:val="24"/>
        </w:rPr>
        <w:t>ts</w:t>
      </w:r>
      <w:r>
        <w:rPr>
          <w:rFonts w:ascii="Corbel" w:hAnsi="Corbel"/>
          <w:sz w:val="24"/>
          <w:szCs w:val="24"/>
        </w:rPr>
        <w:t>’ access to the scheme</w:t>
      </w:r>
      <w:r w:rsidRPr="000C1F19">
        <w:rPr>
          <w:rFonts w:ascii="Corbel" w:hAnsi="Corbel"/>
          <w:sz w:val="24"/>
          <w:szCs w:val="24"/>
        </w:rPr>
        <w:t xml:space="preserve"> </w:t>
      </w:r>
      <w:r>
        <w:rPr>
          <w:rFonts w:ascii="Corbel" w:hAnsi="Corbel"/>
          <w:sz w:val="24"/>
          <w:szCs w:val="24"/>
        </w:rPr>
        <w:t>is consistent with the Agency's capacity.</w:t>
      </w:r>
      <w:r w:rsidRPr="008417EE">
        <w:rPr>
          <w:rFonts w:ascii="Corbel" w:hAnsi="Corbel"/>
          <w:sz w:val="24"/>
          <w:szCs w:val="24"/>
        </w:rPr>
        <w:t xml:space="preserve"> </w:t>
      </w:r>
    </w:p>
    <w:p w:rsidR="00246B37" w:rsidRPr="00246B37" w:rsidRDefault="00246B37" w:rsidP="00246B37">
      <w:pPr>
        <w:numPr>
          <w:ilvl w:val="0"/>
          <w:numId w:val="9"/>
        </w:numPr>
        <w:rPr>
          <w:rFonts w:ascii="Corbel" w:hAnsi="Corbel"/>
          <w:sz w:val="24"/>
          <w:szCs w:val="24"/>
        </w:rPr>
      </w:pPr>
      <w:r>
        <w:rPr>
          <w:rFonts w:ascii="Corbel" w:hAnsi="Corbel"/>
          <w:sz w:val="24"/>
          <w:szCs w:val="24"/>
        </w:rPr>
        <w:lastRenderedPageBreak/>
        <w:t xml:space="preserve">The Agency and NSW will work cooperatively with providers, participants and their families and carers to ensure a smooth transition for all existing participants to the NDIS. </w:t>
      </w:r>
      <w:r w:rsidRPr="008417EE">
        <w:rPr>
          <w:rFonts w:ascii="Corbel" w:hAnsi="Corbel"/>
          <w:sz w:val="24"/>
          <w:szCs w:val="24"/>
        </w:rPr>
        <w:t>The Agency will facilitate access to the scheme for individuals not currently accessing disability programs but who are eligible for the NDIS in line with the phasing timetable to ensure equity of access.</w:t>
      </w:r>
    </w:p>
    <w:p w:rsidR="008A2AC3" w:rsidRDefault="008A2AC3" w:rsidP="008A2AC3">
      <w:pPr>
        <w:numPr>
          <w:ilvl w:val="0"/>
          <w:numId w:val="9"/>
        </w:numPr>
        <w:rPr>
          <w:rFonts w:ascii="Corbel" w:hAnsi="Corbel"/>
          <w:sz w:val="24"/>
          <w:szCs w:val="24"/>
        </w:rPr>
      </w:pPr>
      <w:r>
        <w:rPr>
          <w:rFonts w:ascii="Corbel" w:hAnsi="Corbel"/>
          <w:sz w:val="24"/>
          <w:szCs w:val="24"/>
        </w:rPr>
        <w:t xml:space="preserve">It is noted that the current support arrangements (both cost and type of support) within NSW for existing participants do not necessarily reflect the assessed support needs and subsequent support that will result from the NDIS.  As such NSW cannot provide details on the potential support needs of all individuals currently receiving specialist disability supports.  Assessed cost of support will be a matter for the Agency to determine and meet within the context of the overall NDIS Agreement – including risk shares.  </w:t>
      </w:r>
    </w:p>
    <w:p w:rsidR="00C34FEA" w:rsidRPr="00D1438B" w:rsidRDefault="00C34FEA" w:rsidP="00B919D6">
      <w:pPr>
        <w:numPr>
          <w:ilvl w:val="0"/>
          <w:numId w:val="9"/>
        </w:numPr>
        <w:rPr>
          <w:rFonts w:ascii="Corbel" w:hAnsi="Corbel"/>
          <w:sz w:val="24"/>
          <w:szCs w:val="24"/>
        </w:rPr>
      </w:pPr>
      <w:r w:rsidRPr="00D1438B">
        <w:rPr>
          <w:rFonts w:ascii="Corbel" w:hAnsi="Corbel"/>
          <w:sz w:val="24"/>
          <w:szCs w:val="24"/>
        </w:rPr>
        <w:t xml:space="preserve">The above estimated </w:t>
      </w:r>
      <w:r w:rsidR="00D16873">
        <w:rPr>
          <w:rFonts w:ascii="Corbel" w:hAnsi="Corbel"/>
          <w:sz w:val="24"/>
          <w:szCs w:val="24"/>
        </w:rPr>
        <w:t>p</w:t>
      </w:r>
      <w:r>
        <w:rPr>
          <w:rFonts w:ascii="Corbel" w:hAnsi="Corbel"/>
          <w:sz w:val="24"/>
          <w:szCs w:val="24"/>
        </w:rPr>
        <w:t>articipant</w:t>
      </w:r>
      <w:r w:rsidRPr="00D1438B">
        <w:rPr>
          <w:rFonts w:ascii="Corbel" w:hAnsi="Corbel"/>
          <w:sz w:val="24"/>
          <w:szCs w:val="24"/>
        </w:rPr>
        <w:t xml:space="preserve"> intake </w:t>
      </w:r>
      <w:r w:rsidR="003830B4">
        <w:rPr>
          <w:rFonts w:ascii="Corbel" w:hAnsi="Corbel"/>
          <w:sz w:val="24"/>
          <w:szCs w:val="24"/>
        </w:rPr>
        <w:t>total</w:t>
      </w:r>
      <w:r w:rsidR="00667DDF">
        <w:rPr>
          <w:rFonts w:ascii="Corbel" w:hAnsi="Corbel"/>
          <w:sz w:val="24"/>
          <w:szCs w:val="24"/>
        </w:rPr>
        <w:t>s</w:t>
      </w:r>
      <w:r w:rsidR="003830B4">
        <w:rPr>
          <w:rFonts w:ascii="Corbel" w:hAnsi="Corbel"/>
          <w:sz w:val="24"/>
          <w:szCs w:val="24"/>
        </w:rPr>
        <w:t xml:space="preserve"> </w:t>
      </w:r>
      <w:r w:rsidR="00667DDF">
        <w:rPr>
          <w:rFonts w:ascii="Corbel" w:hAnsi="Corbel"/>
          <w:sz w:val="24"/>
          <w:szCs w:val="24"/>
        </w:rPr>
        <w:t>are</w:t>
      </w:r>
      <w:r w:rsidRPr="00D1438B">
        <w:rPr>
          <w:rFonts w:ascii="Corbel" w:hAnsi="Corbel"/>
          <w:sz w:val="24"/>
          <w:szCs w:val="24"/>
        </w:rPr>
        <w:t xml:space="preserve"> based on: </w:t>
      </w:r>
    </w:p>
    <w:p w:rsidR="00C34FEA" w:rsidRPr="00D1438B" w:rsidRDefault="00C34FEA" w:rsidP="00B919D6">
      <w:pPr>
        <w:numPr>
          <w:ilvl w:val="1"/>
          <w:numId w:val="12"/>
        </w:numPr>
        <w:rPr>
          <w:rFonts w:ascii="Corbel" w:hAnsi="Corbel"/>
          <w:sz w:val="24"/>
          <w:szCs w:val="24"/>
        </w:rPr>
      </w:pPr>
      <w:r w:rsidRPr="00D1438B">
        <w:rPr>
          <w:rFonts w:ascii="Corbel" w:hAnsi="Corbel"/>
          <w:sz w:val="24"/>
          <w:szCs w:val="24"/>
        </w:rPr>
        <w:t xml:space="preserve">the known number of people who are currently receiving existing </w:t>
      </w:r>
      <w:r w:rsidR="00C550B1">
        <w:rPr>
          <w:rFonts w:ascii="Corbel" w:hAnsi="Corbel"/>
          <w:sz w:val="24"/>
          <w:szCs w:val="24"/>
        </w:rPr>
        <w:t xml:space="preserve">specialist </w:t>
      </w:r>
      <w:r w:rsidRPr="00D1438B">
        <w:rPr>
          <w:rFonts w:ascii="Corbel" w:hAnsi="Corbel"/>
          <w:sz w:val="24"/>
          <w:szCs w:val="24"/>
        </w:rPr>
        <w:t>disability services;</w:t>
      </w:r>
    </w:p>
    <w:p w:rsidR="00C34FEA" w:rsidRDefault="00C34FEA" w:rsidP="00B919D6">
      <w:pPr>
        <w:numPr>
          <w:ilvl w:val="1"/>
          <w:numId w:val="12"/>
        </w:numPr>
        <w:rPr>
          <w:rFonts w:ascii="Corbel" w:hAnsi="Corbel"/>
          <w:sz w:val="24"/>
          <w:szCs w:val="24"/>
        </w:rPr>
      </w:pPr>
      <w:r w:rsidRPr="00D1438B">
        <w:rPr>
          <w:rFonts w:ascii="Corbel" w:hAnsi="Corbel"/>
          <w:sz w:val="24"/>
          <w:szCs w:val="24"/>
        </w:rPr>
        <w:t xml:space="preserve">the known number of people who </w:t>
      </w:r>
      <w:r w:rsidR="007A634E">
        <w:rPr>
          <w:rFonts w:ascii="Corbel" w:hAnsi="Corbel"/>
          <w:sz w:val="24"/>
          <w:szCs w:val="24"/>
        </w:rPr>
        <w:t>have registered a need</w:t>
      </w:r>
      <w:r w:rsidR="00E63BCC">
        <w:rPr>
          <w:rFonts w:ascii="Corbel" w:hAnsi="Corbel"/>
          <w:sz w:val="24"/>
          <w:szCs w:val="24"/>
        </w:rPr>
        <w:t xml:space="preserve"> </w:t>
      </w:r>
      <w:r w:rsidRPr="00D1438B">
        <w:rPr>
          <w:rFonts w:ascii="Corbel" w:hAnsi="Corbel"/>
          <w:sz w:val="24"/>
          <w:szCs w:val="24"/>
        </w:rPr>
        <w:t>for e</w:t>
      </w:r>
      <w:r>
        <w:rPr>
          <w:rFonts w:ascii="Corbel" w:hAnsi="Corbel"/>
          <w:sz w:val="24"/>
          <w:szCs w:val="24"/>
        </w:rPr>
        <w:t xml:space="preserve">xisting </w:t>
      </w:r>
      <w:r w:rsidR="00C550B1">
        <w:rPr>
          <w:rFonts w:ascii="Corbel" w:hAnsi="Corbel"/>
          <w:sz w:val="24"/>
          <w:szCs w:val="24"/>
        </w:rPr>
        <w:t xml:space="preserve">specialist </w:t>
      </w:r>
      <w:r>
        <w:rPr>
          <w:rFonts w:ascii="Corbel" w:hAnsi="Corbel"/>
          <w:sz w:val="24"/>
          <w:szCs w:val="24"/>
        </w:rPr>
        <w:t>disability services;</w:t>
      </w:r>
    </w:p>
    <w:p w:rsidR="00E63BCC" w:rsidRPr="00D1438B" w:rsidRDefault="00E63BCC" w:rsidP="00B919D6">
      <w:pPr>
        <w:numPr>
          <w:ilvl w:val="1"/>
          <w:numId w:val="12"/>
        </w:numPr>
        <w:rPr>
          <w:rFonts w:ascii="Corbel" w:hAnsi="Corbel"/>
          <w:sz w:val="24"/>
          <w:szCs w:val="24"/>
        </w:rPr>
      </w:pPr>
      <w:r>
        <w:rPr>
          <w:rFonts w:ascii="Corbel" w:hAnsi="Corbel"/>
          <w:sz w:val="24"/>
          <w:szCs w:val="24"/>
        </w:rPr>
        <w:t>the known number of younger people with disability currently residing in residential aged care or in receipt of community aged care packages;</w:t>
      </w:r>
      <w:r w:rsidR="003830B4">
        <w:rPr>
          <w:rFonts w:ascii="Corbel" w:hAnsi="Corbel"/>
          <w:sz w:val="24"/>
          <w:szCs w:val="24"/>
        </w:rPr>
        <w:t xml:space="preserve"> and</w:t>
      </w:r>
    </w:p>
    <w:p w:rsidR="00B73340" w:rsidRDefault="00C34FEA" w:rsidP="00B919D6">
      <w:pPr>
        <w:numPr>
          <w:ilvl w:val="1"/>
          <w:numId w:val="12"/>
        </w:numPr>
        <w:rPr>
          <w:rFonts w:ascii="Corbel" w:hAnsi="Corbel"/>
          <w:sz w:val="24"/>
          <w:szCs w:val="24"/>
        </w:rPr>
      </w:pPr>
      <w:r w:rsidRPr="00D1438B">
        <w:rPr>
          <w:rFonts w:ascii="Corbel" w:hAnsi="Corbel"/>
          <w:sz w:val="24"/>
          <w:szCs w:val="24"/>
        </w:rPr>
        <w:t xml:space="preserve">an estimate of the likely number of new </w:t>
      </w:r>
      <w:r>
        <w:rPr>
          <w:rFonts w:ascii="Corbel" w:hAnsi="Corbel"/>
          <w:sz w:val="24"/>
          <w:szCs w:val="24"/>
        </w:rPr>
        <w:t>Participan</w:t>
      </w:r>
      <w:r w:rsidRPr="00D1438B">
        <w:rPr>
          <w:rFonts w:ascii="Corbel" w:hAnsi="Corbel"/>
          <w:sz w:val="24"/>
          <w:szCs w:val="24"/>
        </w:rPr>
        <w:t xml:space="preserve">ts as yet </w:t>
      </w:r>
      <w:r>
        <w:rPr>
          <w:rFonts w:ascii="Corbel" w:hAnsi="Corbel"/>
          <w:sz w:val="24"/>
          <w:szCs w:val="24"/>
        </w:rPr>
        <w:t xml:space="preserve">not </w:t>
      </w:r>
      <w:r w:rsidRPr="00D1438B">
        <w:rPr>
          <w:rFonts w:ascii="Corbel" w:hAnsi="Corbel"/>
          <w:sz w:val="24"/>
          <w:szCs w:val="24"/>
        </w:rPr>
        <w:t>known to the state or Commonwealth systems  who may meet the acc</w:t>
      </w:r>
      <w:r>
        <w:rPr>
          <w:rFonts w:ascii="Corbel" w:hAnsi="Corbel"/>
          <w:sz w:val="24"/>
          <w:szCs w:val="24"/>
        </w:rPr>
        <w:t>ess requirements of the Scheme, but are not covered by other programs</w:t>
      </w:r>
      <w:r w:rsidR="00B73340">
        <w:rPr>
          <w:rFonts w:ascii="Corbel" w:hAnsi="Corbel"/>
          <w:sz w:val="24"/>
          <w:szCs w:val="24"/>
        </w:rPr>
        <w:t>; and</w:t>
      </w:r>
    </w:p>
    <w:p w:rsidR="00C34FEA" w:rsidRDefault="00B73340" w:rsidP="00B919D6">
      <w:pPr>
        <w:numPr>
          <w:ilvl w:val="1"/>
          <w:numId w:val="12"/>
        </w:numPr>
        <w:rPr>
          <w:rFonts w:ascii="Corbel" w:hAnsi="Corbel"/>
          <w:sz w:val="24"/>
          <w:szCs w:val="24"/>
        </w:rPr>
      </w:pPr>
      <w:r>
        <w:rPr>
          <w:rFonts w:ascii="Corbel" w:hAnsi="Corbel"/>
          <w:sz w:val="24"/>
          <w:szCs w:val="24"/>
        </w:rPr>
        <w:t>Agency capacity.</w:t>
      </w:r>
    </w:p>
    <w:p w:rsidR="004D21FF" w:rsidRPr="00B85C96" w:rsidRDefault="004D21FF" w:rsidP="00B919D6">
      <w:pPr>
        <w:numPr>
          <w:ilvl w:val="0"/>
          <w:numId w:val="9"/>
        </w:numPr>
        <w:rPr>
          <w:rFonts w:ascii="Corbel" w:hAnsi="Corbel"/>
          <w:sz w:val="24"/>
          <w:szCs w:val="24"/>
        </w:rPr>
      </w:pPr>
      <w:r>
        <w:rPr>
          <w:rFonts w:ascii="Corbel" w:hAnsi="Corbel"/>
          <w:sz w:val="24"/>
          <w:szCs w:val="24"/>
        </w:rPr>
        <w:t xml:space="preserve">The planned intake assumes timely provision of information from the Agency to NSW to </w:t>
      </w:r>
      <w:r w:rsidRPr="00B85C96">
        <w:rPr>
          <w:rFonts w:ascii="Corbel" w:hAnsi="Corbel"/>
          <w:sz w:val="24"/>
          <w:szCs w:val="24"/>
        </w:rPr>
        <w:t>allow the tracking of existing state clients thr</w:t>
      </w:r>
      <w:r>
        <w:rPr>
          <w:rFonts w:ascii="Corbel" w:hAnsi="Corbel"/>
          <w:sz w:val="24"/>
          <w:szCs w:val="24"/>
        </w:rPr>
        <w:t>ough the transition process.  Subject to privacy and information legislation considerations, this includes the provision of participant information from their first point of contact with the NDIA to NSW.</w:t>
      </w:r>
    </w:p>
    <w:p w:rsidR="00C34FEA" w:rsidRPr="00EB0DB6" w:rsidRDefault="00C34FEA" w:rsidP="00B919D6">
      <w:pPr>
        <w:numPr>
          <w:ilvl w:val="0"/>
          <w:numId w:val="9"/>
        </w:numPr>
        <w:rPr>
          <w:rFonts w:ascii="Corbel" w:hAnsi="Corbel"/>
          <w:sz w:val="24"/>
          <w:szCs w:val="24"/>
        </w:rPr>
      </w:pPr>
      <w:r w:rsidRPr="00EB0DB6">
        <w:rPr>
          <w:rFonts w:ascii="Corbel" w:hAnsi="Corbel"/>
          <w:sz w:val="24"/>
          <w:szCs w:val="24"/>
        </w:rPr>
        <w:t xml:space="preserve">The planned intake of participants outlined above may be amended subject to: </w:t>
      </w:r>
    </w:p>
    <w:p w:rsidR="003830B4" w:rsidRDefault="00246B37" w:rsidP="00B919D6">
      <w:pPr>
        <w:numPr>
          <w:ilvl w:val="1"/>
          <w:numId w:val="12"/>
        </w:numPr>
        <w:rPr>
          <w:rFonts w:ascii="Corbel" w:hAnsi="Corbel"/>
          <w:sz w:val="24"/>
          <w:szCs w:val="24"/>
        </w:rPr>
      </w:pPr>
      <w:r>
        <w:rPr>
          <w:rFonts w:ascii="Corbel" w:hAnsi="Corbel"/>
          <w:sz w:val="24"/>
          <w:szCs w:val="24"/>
        </w:rPr>
        <w:t>Adjustments to the  NDIS policy framework</w:t>
      </w:r>
      <w:r w:rsidR="00C34FEA" w:rsidRPr="00EB0DB6">
        <w:rPr>
          <w:rFonts w:ascii="Corbel" w:hAnsi="Corbel"/>
          <w:sz w:val="24"/>
          <w:szCs w:val="24"/>
        </w:rPr>
        <w:t xml:space="preserve"> including</w:t>
      </w:r>
      <w:r>
        <w:rPr>
          <w:rFonts w:ascii="Corbel" w:hAnsi="Corbel"/>
          <w:sz w:val="24"/>
          <w:szCs w:val="24"/>
        </w:rPr>
        <w:t xml:space="preserve"> design rules,</w:t>
      </w:r>
      <w:r w:rsidR="00C34FEA" w:rsidRPr="00EB0DB6">
        <w:rPr>
          <w:rFonts w:ascii="Corbel" w:hAnsi="Corbel"/>
          <w:sz w:val="24"/>
          <w:szCs w:val="24"/>
        </w:rPr>
        <w:t xml:space="preserve"> eligibility, Tier 2 services, interfaces with other service systems, and portability</w:t>
      </w:r>
      <w:r w:rsidR="003830B4">
        <w:rPr>
          <w:rFonts w:ascii="Corbel" w:hAnsi="Corbel"/>
          <w:sz w:val="24"/>
          <w:szCs w:val="24"/>
        </w:rPr>
        <w:t xml:space="preserve">; </w:t>
      </w:r>
    </w:p>
    <w:p w:rsidR="004D21FF" w:rsidRDefault="004D21FF" w:rsidP="00B919D6">
      <w:pPr>
        <w:numPr>
          <w:ilvl w:val="1"/>
          <w:numId w:val="12"/>
        </w:numPr>
        <w:rPr>
          <w:rFonts w:ascii="Corbel" w:hAnsi="Corbel"/>
          <w:sz w:val="24"/>
          <w:szCs w:val="24"/>
        </w:rPr>
      </w:pPr>
      <w:r>
        <w:rPr>
          <w:rFonts w:ascii="Corbel" w:hAnsi="Corbel"/>
          <w:sz w:val="24"/>
          <w:szCs w:val="24"/>
        </w:rPr>
        <w:t xml:space="preserve">review of the progress of client transition in the </w:t>
      </w:r>
      <w:r w:rsidR="00EA5BB6">
        <w:rPr>
          <w:rFonts w:ascii="Corbel" w:hAnsi="Corbel"/>
          <w:sz w:val="24"/>
          <w:szCs w:val="24"/>
        </w:rPr>
        <w:t>trial site</w:t>
      </w:r>
      <w:r>
        <w:rPr>
          <w:rFonts w:ascii="Corbel" w:hAnsi="Corbel"/>
          <w:sz w:val="24"/>
          <w:szCs w:val="24"/>
        </w:rPr>
        <w:t xml:space="preserve">, including the impact on bilateral financial arrangements; and </w:t>
      </w:r>
    </w:p>
    <w:p w:rsidR="00C34FEA" w:rsidRDefault="003830B4" w:rsidP="00B919D6">
      <w:pPr>
        <w:numPr>
          <w:ilvl w:val="1"/>
          <w:numId w:val="12"/>
        </w:numPr>
        <w:rPr>
          <w:rFonts w:ascii="Corbel" w:hAnsi="Corbel"/>
          <w:sz w:val="24"/>
          <w:szCs w:val="24"/>
        </w:rPr>
      </w:pPr>
      <w:r w:rsidRPr="00EB0DB6">
        <w:rPr>
          <w:rFonts w:ascii="Corbel" w:hAnsi="Corbel"/>
          <w:sz w:val="24"/>
          <w:szCs w:val="24"/>
        </w:rPr>
        <w:t>Agency capacity</w:t>
      </w:r>
      <w:r w:rsidR="00C34FEA" w:rsidRPr="00EB0DB6">
        <w:rPr>
          <w:rFonts w:ascii="Corbel" w:hAnsi="Corbel"/>
          <w:sz w:val="24"/>
          <w:szCs w:val="24"/>
        </w:rPr>
        <w:t>.</w:t>
      </w:r>
    </w:p>
    <w:p w:rsidR="00C34FEA" w:rsidRPr="00D1438B" w:rsidRDefault="00C34FEA" w:rsidP="00B919D6">
      <w:pPr>
        <w:numPr>
          <w:ilvl w:val="0"/>
          <w:numId w:val="9"/>
        </w:numPr>
        <w:rPr>
          <w:rFonts w:ascii="Corbel" w:hAnsi="Corbel"/>
          <w:sz w:val="24"/>
          <w:szCs w:val="24"/>
        </w:rPr>
      </w:pPr>
      <w:r>
        <w:rPr>
          <w:rFonts w:ascii="Corbel" w:hAnsi="Corbel"/>
          <w:sz w:val="24"/>
          <w:szCs w:val="24"/>
        </w:rPr>
        <w:lastRenderedPageBreak/>
        <w:t xml:space="preserve">Specific arrangements will be negotiated between the Commonwealth and NSW in relation to participants that move in and out of the Hunter </w:t>
      </w:r>
      <w:r w:rsidR="00EA5BB6">
        <w:rPr>
          <w:rFonts w:ascii="Corbel" w:hAnsi="Corbel"/>
          <w:sz w:val="24"/>
          <w:szCs w:val="24"/>
        </w:rPr>
        <w:t>trial site</w:t>
      </w:r>
      <w:r>
        <w:rPr>
          <w:rFonts w:ascii="Corbel" w:hAnsi="Corbel"/>
          <w:sz w:val="24"/>
          <w:szCs w:val="24"/>
        </w:rPr>
        <w:t xml:space="preserve"> from NSW  but remain in NSW, recognising both parties’ commitment to the implementation of a full scheme NDIS in NSW.</w:t>
      </w:r>
      <w:r w:rsidR="00E63BCC">
        <w:rPr>
          <w:rFonts w:ascii="Corbel" w:hAnsi="Corbel"/>
          <w:sz w:val="24"/>
          <w:szCs w:val="24"/>
        </w:rPr>
        <w:t xml:space="preserve">  These arrangements will be consistent with the national agreement on participant portability and will not impact on the financial arrangements set out in this Agreement.</w:t>
      </w:r>
    </w:p>
    <w:p w:rsidR="00C34FEA" w:rsidRDefault="00C34FEA" w:rsidP="00B919D6">
      <w:pPr>
        <w:numPr>
          <w:ilvl w:val="0"/>
          <w:numId w:val="9"/>
        </w:numPr>
        <w:rPr>
          <w:rFonts w:ascii="Corbel" w:hAnsi="Corbel"/>
          <w:sz w:val="24"/>
          <w:szCs w:val="24"/>
        </w:rPr>
      </w:pPr>
      <w:r w:rsidRPr="001F0300">
        <w:rPr>
          <w:rFonts w:ascii="Corbel" w:hAnsi="Corbel"/>
          <w:sz w:val="24"/>
          <w:szCs w:val="24"/>
        </w:rPr>
        <w:t>Participant phasing arrangements for 2015-16 will be under a similar arrangement, although subject to adjustment taking into account lessons learnt during 2013-14</w:t>
      </w:r>
      <w:r w:rsidR="004D21FF" w:rsidRPr="001F0300">
        <w:rPr>
          <w:rFonts w:ascii="Corbel" w:hAnsi="Corbel"/>
          <w:sz w:val="24"/>
          <w:szCs w:val="24"/>
        </w:rPr>
        <w:t xml:space="preserve"> and </w:t>
      </w:r>
      <w:r w:rsidR="00A20F1E">
        <w:rPr>
          <w:rFonts w:ascii="Corbel" w:hAnsi="Corbel"/>
          <w:sz w:val="24"/>
          <w:szCs w:val="24"/>
        </w:rPr>
        <w:br/>
      </w:r>
      <w:r w:rsidR="004D21FF" w:rsidRPr="001F0300">
        <w:rPr>
          <w:rFonts w:ascii="Corbel" w:hAnsi="Corbel"/>
          <w:sz w:val="24"/>
          <w:szCs w:val="24"/>
        </w:rPr>
        <w:t>2014-15</w:t>
      </w:r>
      <w:r w:rsidRPr="001F0300">
        <w:rPr>
          <w:rFonts w:ascii="Corbel" w:hAnsi="Corbel"/>
          <w:sz w:val="24"/>
          <w:szCs w:val="24"/>
        </w:rPr>
        <w:t>,</w:t>
      </w:r>
      <w:r w:rsidR="00FC70DC">
        <w:rPr>
          <w:rFonts w:ascii="Corbel" w:hAnsi="Corbel"/>
          <w:sz w:val="24"/>
          <w:szCs w:val="24"/>
        </w:rPr>
        <w:t xml:space="preserve"> and will be agreed between </w:t>
      </w:r>
      <w:r w:rsidRPr="001F0300">
        <w:rPr>
          <w:rFonts w:ascii="Corbel" w:hAnsi="Corbel"/>
          <w:sz w:val="24"/>
          <w:szCs w:val="24"/>
        </w:rPr>
        <w:t>New South Wales and the Commonwealth at a future date, with the expectation that 2015</w:t>
      </w:r>
      <w:r w:rsidR="00A20F1E">
        <w:rPr>
          <w:rFonts w:ascii="Corbel" w:hAnsi="Corbel"/>
          <w:sz w:val="24"/>
          <w:szCs w:val="24"/>
        </w:rPr>
        <w:t>-</w:t>
      </w:r>
      <w:r w:rsidRPr="001F0300">
        <w:rPr>
          <w:rFonts w:ascii="Corbel" w:hAnsi="Corbel"/>
          <w:sz w:val="24"/>
          <w:szCs w:val="24"/>
        </w:rPr>
        <w:t xml:space="preserve">16 numbers will be agreed </w:t>
      </w:r>
      <w:r w:rsidR="00BF79CC">
        <w:rPr>
          <w:rFonts w:ascii="Corbel" w:hAnsi="Corbel"/>
          <w:sz w:val="24"/>
          <w:szCs w:val="24"/>
        </w:rPr>
        <w:t>by</w:t>
      </w:r>
      <w:r w:rsidRPr="001F0300">
        <w:rPr>
          <w:rFonts w:ascii="Corbel" w:hAnsi="Corbel"/>
          <w:sz w:val="24"/>
          <w:szCs w:val="24"/>
        </w:rPr>
        <w:t xml:space="preserve"> February 2015. </w:t>
      </w:r>
    </w:p>
    <w:p w:rsidR="00C34FEA" w:rsidRPr="001F0300" w:rsidRDefault="00C34FEA" w:rsidP="00B92FBE">
      <w:pPr>
        <w:spacing w:after="0"/>
        <w:rPr>
          <w:rFonts w:ascii="Corbel" w:hAnsi="Corbel" w:cs="Calibri"/>
          <w:sz w:val="24"/>
          <w:szCs w:val="24"/>
        </w:rPr>
      </w:pPr>
    </w:p>
    <w:sectPr w:rsidR="00C34FEA" w:rsidRPr="001F0300" w:rsidSect="00F77C3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440"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EC" w:rsidRDefault="00796CEC" w:rsidP="00741F4F">
      <w:pPr>
        <w:spacing w:after="0" w:line="240" w:lineRule="auto"/>
      </w:pPr>
      <w:r>
        <w:separator/>
      </w:r>
    </w:p>
  </w:endnote>
  <w:endnote w:type="continuationSeparator" w:id="0">
    <w:p w:rsidR="00796CEC" w:rsidRDefault="00796CEC" w:rsidP="0074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0D" w:rsidRDefault="00C21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07" w:rsidRDefault="002A6E07" w:rsidP="00C34FEA">
    <w:pPr>
      <w:spacing w:after="0"/>
      <w:rPr>
        <w:rFonts w:ascii="Corbel" w:hAnsi="Corbel" w:cs="Calibri"/>
        <w:sz w:val="24"/>
        <w:szCs w:val="24"/>
      </w:rPr>
    </w:pPr>
  </w:p>
  <w:p w:rsidR="002A6E07" w:rsidRDefault="002A6E07">
    <w:pPr>
      <w:pStyle w:val="Footer"/>
      <w:jc w:val="right"/>
    </w:pPr>
    <w:r>
      <w:rPr>
        <w:rFonts w:ascii="Corbel" w:hAnsi="Corbel" w:cs="Calibri"/>
        <w:sz w:val="24"/>
        <w:szCs w:val="24"/>
      </w:rPr>
      <w:fldChar w:fldCharType="begin"/>
    </w:r>
    <w:r>
      <w:rPr>
        <w:rFonts w:ascii="Corbel" w:hAnsi="Corbel" w:cs="Calibri"/>
        <w:sz w:val="24"/>
        <w:szCs w:val="24"/>
      </w:rPr>
      <w:instrText xml:space="preserve"> DATE \@ "d/MM/yyyy h:mm am/pm" </w:instrText>
    </w:r>
    <w:r>
      <w:rPr>
        <w:rFonts w:ascii="Corbel" w:hAnsi="Corbel" w:cs="Calibri"/>
        <w:sz w:val="24"/>
        <w:szCs w:val="24"/>
      </w:rPr>
      <w:fldChar w:fldCharType="separate"/>
    </w:r>
    <w:r w:rsidR="008B5CB2">
      <w:rPr>
        <w:rFonts w:ascii="Corbel" w:hAnsi="Corbel" w:cs="Calibri"/>
        <w:noProof/>
        <w:sz w:val="24"/>
        <w:szCs w:val="24"/>
      </w:rPr>
      <w:t>6/12/2016 10:08 AM</w:t>
    </w:r>
    <w:r>
      <w:rPr>
        <w:rFonts w:ascii="Corbel" w:hAnsi="Corbel" w:cs="Calibri"/>
        <w:sz w:val="24"/>
        <w:szCs w:val="24"/>
      </w:rPr>
      <w:fldChar w:fldCharType="end"/>
    </w:r>
  </w:p>
  <w:p w:rsidR="002A6E07" w:rsidRDefault="002A6E07">
    <w:pPr>
      <w:pStyle w:val="Footer"/>
      <w:jc w:val="right"/>
    </w:pPr>
    <w:r>
      <w:t xml:space="preserve">Page </w:t>
    </w:r>
    <w:r>
      <w:rPr>
        <w:b/>
      </w:rPr>
      <w:fldChar w:fldCharType="begin"/>
    </w:r>
    <w:r>
      <w:rPr>
        <w:b/>
      </w:rPr>
      <w:instrText xml:space="preserve"> PAGE </w:instrText>
    </w:r>
    <w:r>
      <w:rPr>
        <w:b/>
      </w:rPr>
      <w:fldChar w:fldCharType="separate"/>
    </w:r>
    <w:r w:rsidR="00E11CEC">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E11CEC">
      <w:rPr>
        <w:b/>
        <w:noProof/>
      </w:rPr>
      <w:t>6</w:t>
    </w:r>
    <w:r>
      <w:rPr>
        <w:b/>
      </w:rPr>
      <w:fldChar w:fldCharType="end"/>
    </w:r>
  </w:p>
  <w:p w:rsidR="002A6E07" w:rsidRDefault="002A6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0D" w:rsidRDefault="00C21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EC" w:rsidRDefault="00796CEC" w:rsidP="00741F4F">
      <w:pPr>
        <w:spacing w:after="0" w:line="240" w:lineRule="auto"/>
      </w:pPr>
      <w:r>
        <w:separator/>
      </w:r>
    </w:p>
  </w:footnote>
  <w:footnote w:type="continuationSeparator" w:id="0">
    <w:p w:rsidR="00796CEC" w:rsidRDefault="00796CEC" w:rsidP="00741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0D" w:rsidRDefault="00C21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07" w:rsidRPr="00741F4F" w:rsidRDefault="002A6E07" w:rsidP="00741F4F">
    <w:pPr>
      <w:pStyle w:val="Header"/>
      <w:jc w:val="right"/>
      <w:rPr>
        <w:lang w:val="en-US"/>
      </w:rPr>
    </w:pPr>
    <w:r>
      <w:rPr>
        <w:lang w:val="en-US"/>
      </w:rPr>
      <w:t>Schedule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0D" w:rsidRDefault="00C21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3133"/>
    <w:multiLevelType w:val="hybridMultilevel"/>
    <w:tmpl w:val="B37AC524"/>
    <w:lvl w:ilvl="0" w:tplc="B9162A64">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199A5F4E"/>
    <w:multiLevelType w:val="hybridMultilevel"/>
    <w:tmpl w:val="5EE4D3DA"/>
    <w:lvl w:ilvl="0" w:tplc="0C09000F">
      <w:start w:val="1"/>
      <w:numFmt w:val="decimal"/>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nsid w:val="2DC21A9C"/>
    <w:multiLevelType w:val="hybridMultilevel"/>
    <w:tmpl w:val="90C42082"/>
    <w:lvl w:ilvl="0" w:tplc="0C090019">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37DB7B56"/>
    <w:multiLevelType w:val="hybridMultilevel"/>
    <w:tmpl w:val="5EE4D3DA"/>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387050D7"/>
    <w:multiLevelType w:val="hybridMultilevel"/>
    <w:tmpl w:val="6324BEDE"/>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3FB421F8"/>
    <w:multiLevelType w:val="hybridMultilevel"/>
    <w:tmpl w:val="90C42082"/>
    <w:lvl w:ilvl="0" w:tplc="0C090019">
      <w:start w:val="1"/>
      <w:numFmt w:val="lowerLetter"/>
      <w:lvlText w:val="%1."/>
      <w:lvlJc w:val="left"/>
      <w:pPr>
        <w:ind w:left="1080" w:hanging="360"/>
      </w:pPr>
      <w:rPr>
        <w:rFonts w:cs="Times New Roman"/>
      </w:rPr>
    </w:lvl>
    <w:lvl w:ilvl="1" w:tplc="0C09001B">
      <w:start w:val="1"/>
      <w:numFmt w:val="lowerRoman"/>
      <w:lvlText w:val="%2."/>
      <w:lvlJc w:val="righ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nsid w:val="5BE53D20"/>
    <w:multiLevelType w:val="hybridMultilevel"/>
    <w:tmpl w:val="F662CE60"/>
    <w:lvl w:ilvl="0" w:tplc="0C090019">
      <w:start w:val="1"/>
      <w:numFmt w:val="lowerLetter"/>
      <w:lvlText w:val="%1."/>
      <w:lvlJc w:val="left"/>
      <w:pPr>
        <w:ind w:left="1080" w:hanging="360"/>
      </w:pPr>
      <w:rPr>
        <w:rFonts w:cs="Times New Roman" w:hint="default"/>
      </w:rPr>
    </w:lvl>
    <w:lvl w:ilvl="1" w:tplc="0C09001B">
      <w:start w:val="1"/>
      <w:numFmt w:val="lowerRoman"/>
      <w:lvlText w:val="%2."/>
      <w:lvlJc w:val="righ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nsid w:val="5C561E66"/>
    <w:multiLevelType w:val="hybridMultilevel"/>
    <w:tmpl w:val="ACD4D794"/>
    <w:lvl w:ilvl="0" w:tplc="0C090019">
      <w:start w:val="1"/>
      <w:numFmt w:val="lowerLetter"/>
      <w:lvlText w:val="%1."/>
      <w:lvlJc w:val="left"/>
      <w:pPr>
        <w:ind w:left="2160" w:hanging="360"/>
      </w:pPr>
      <w:rPr>
        <w:rFonts w:cs="Times New Roman"/>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8">
    <w:nsid w:val="634E7D52"/>
    <w:multiLevelType w:val="hybridMultilevel"/>
    <w:tmpl w:val="D78A78FC"/>
    <w:lvl w:ilvl="0" w:tplc="4E52FD24">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6DE6640D"/>
    <w:multiLevelType w:val="hybridMultilevel"/>
    <w:tmpl w:val="BE008C94"/>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nsid w:val="71506A19"/>
    <w:multiLevelType w:val="hybridMultilevel"/>
    <w:tmpl w:val="F49A44F4"/>
    <w:lvl w:ilvl="0" w:tplc="DB0C125E">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854AAC"/>
    <w:multiLevelType w:val="hybridMultilevel"/>
    <w:tmpl w:val="7268A05E"/>
    <w:lvl w:ilvl="0" w:tplc="213AF0E2">
      <w:start w:val="1"/>
      <w:numFmt w:val="decimal"/>
      <w:pStyle w:val="Normalnumbered"/>
      <w:lvlText w:val="%1."/>
      <w:lvlJc w:val="left"/>
      <w:pPr>
        <w:tabs>
          <w:tab w:val="num" w:pos="687"/>
        </w:tabs>
        <w:ind w:left="687" w:hanging="567"/>
      </w:pPr>
      <w:rPr>
        <w:rFonts w:cs="Times New Roman" w:hint="default"/>
        <w:i w:val="0"/>
      </w:rPr>
    </w:lvl>
    <w:lvl w:ilvl="1" w:tplc="BFC220B2">
      <w:start w:val="1"/>
      <w:numFmt w:val="lowerLetter"/>
      <w:lvlText w:val="%2."/>
      <w:lvlJc w:val="left"/>
      <w:pPr>
        <w:tabs>
          <w:tab w:val="num" w:pos="1440"/>
        </w:tabs>
        <w:ind w:left="1440" w:hanging="360"/>
      </w:pPr>
      <w:rPr>
        <w:rFonts w:cs="Times New Roman"/>
        <w:i w:val="0"/>
        <w:color w:val="auto"/>
      </w:rPr>
    </w:lvl>
    <w:lvl w:ilvl="2" w:tplc="BA001336">
      <w:start w:val="1"/>
      <w:numFmt w:val="lowerRoman"/>
      <w:lvlText w:val="%3."/>
      <w:lvlJc w:val="right"/>
      <w:pPr>
        <w:tabs>
          <w:tab w:val="num" w:pos="2165"/>
        </w:tabs>
        <w:ind w:left="2165" w:hanging="180"/>
      </w:pPr>
      <w:rPr>
        <w:rFonts w:cs="Times New Roman"/>
      </w:rPr>
    </w:lvl>
    <w:lvl w:ilvl="3" w:tplc="71A8C832" w:tentative="1">
      <w:start w:val="1"/>
      <w:numFmt w:val="decimal"/>
      <w:lvlText w:val="%4."/>
      <w:lvlJc w:val="left"/>
      <w:pPr>
        <w:tabs>
          <w:tab w:val="num" w:pos="2880"/>
        </w:tabs>
        <w:ind w:left="2880" w:hanging="360"/>
      </w:pPr>
      <w:rPr>
        <w:rFonts w:cs="Times New Roman"/>
      </w:rPr>
    </w:lvl>
    <w:lvl w:ilvl="4" w:tplc="D868CC20" w:tentative="1">
      <w:start w:val="1"/>
      <w:numFmt w:val="lowerLetter"/>
      <w:lvlText w:val="%5."/>
      <w:lvlJc w:val="left"/>
      <w:pPr>
        <w:tabs>
          <w:tab w:val="num" w:pos="3600"/>
        </w:tabs>
        <w:ind w:left="3600" w:hanging="360"/>
      </w:pPr>
      <w:rPr>
        <w:rFonts w:cs="Times New Roman"/>
      </w:rPr>
    </w:lvl>
    <w:lvl w:ilvl="5" w:tplc="69181354" w:tentative="1">
      <w:start w:val="1"/>
      <w:numFmt w:val="lowerRoman"/>
      <w:lvlText w:val="%6."/>
      <w:lvlJc w:val="right"/>
      <w:pPr>
        <w:tabs>
          <w:tab w:val="num" w:pos="4320"/>
        </w:tabs>
        <w:ind w:left="4320" w:hanging="180"/>
      </w:pPr>
      <w:rPr>
        <w:rFonts w:cs="Times New Roman"/>
      </w:rPr>
    </w:lvl>
    <w:lvl w:ilvl="6" w:tplc="C50CD902" w:tentative="1">
      <w:start w:val="1"/>
      <w:numFmt w:val="decimal"/>
      <w:lvlText w:val="%7."/>
      <w:lvlJc w:val="left"/>
      <w:pPr>
        <w:tabs>
          <w:tab w:val="num" w:pos="5040"/>
        </w:tabs>
        <w:ind w:left="5040" w:hanging="360"/>
      </w:pPr>
      <w:rPr>
        <w:rFonts w:cs="Times New Roman"/>
      </w:rPr>
    </w:lvl>
    <w:lvl w:ilvl="7" w:tplc="AC6C431C" w:tentative="1">
      <w:start w:val="1"/>
      <w:numFmt w:val="lowerLetter"/>
      <w:lvlText w:val="%8."/>
      <w:lvlJc w:val="left"/>
      <w:pPr>
        <w:tabs>
          <w:tab w:val="num" w:pos="5760"/>
        </w:tabs>
        <w:ind w:left="5760" w:hanging="360"/>
      </w:pPr>
      <w:rPr>
        <w:rFonts w:cs="Times New Roman"/>
      </w:rPr>
    </w:lvl>
    <w:lvl w:ilvl="8" w:tplc="FF6EBBB8"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4"/>
  </w:num>
  <w:num w:numId="4">
    <w:abstractNumId w:val="6"/>
  </w:num>
  <w:num w:numId="5">
    <w:abstractNumId w:val="9"/>
  </w:num>
  <w:num w:numId="6">
    <w:abstractNumId w:val="0"/>
  </w:num>
  <w:num w:numId="7">
    <w:abstractNumId w:val="2"/>
  </w:num>
  <w:num w:numId="8">
    <w:abstractNumId w:val="5"/>
  </w:num>
  <w:num w:numId="9">
    <w:abstractNumId w:val="8"/>
  </w:num>
  <w:num w:numId="10">
    <w:abstractNumId w:val="1"/>
  </w:num>
  <w:num w:numId="11">
    <w:abstractNumId w:val="7"/>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9B"/>
    <w:rsid w:val="000237FE"/>
    <w:rsid w:val="00041AC2"/>
    <w:rsid w:val="000427B7"/>
    <w:rsid w:val="00042B16"/>
    <w:rsid w:val="0004430A"/>
    <w:rsid w:val="00044803"/>
    <w:rsid w:val="00046DFB"/>
    <w:rsid w:val="00053E0B"/>
    <w:rsid w:val="00066FDA"/>
    <w:rsid w:val="00086D5D"/>
    <w:rsid w:val="000A4B3D"/>
    <w:rsid w:val="000A6221"/>
    <w:rsid w:val="000B1DAA"/>
    <w:rsid w:val="000B1E64"/>
    <w:rsid w:val="000B4303"/>
    <w:rsid w:val="000C1F19"/>
    <w:rsid w:val="000C3A91"/>
    <w:rsid w:val="000D0517"/>
    <w:rsid w:val="000D4791"/>
    <w:rsid w:val="00124D2F"/>
    <w:rsid w:val="00143231"/>
    <w:rsid w:val="00143AF9"/>
    <w:rsid w:val="00150956"/>
    <w:rsid w:val="00150BC0"/>
    <w:rsid w:val="001839C8"/>
    <w:rsid w:val="00185879"/>
    <w:rsid w:val="00187162"/>
    <w:rsid w:val="001A7BCB"/>
    <w:rsid w:val="001D38F9"/>
    <w:rsid w:val="001F0300"/>
    <w:rsid w:val="001F276C"/>
    <w:rsid w:val="001F68A2"/>
    <w:rsid w:val="00211240"/>
    <w:rsid w:val="00227AF2"/>
    <w:rsid w:val="00236ED6"/>
    <w:rsid w:val="00246B37"/>
    <w:rsid w:val="00257B92"/>
    <w:rsid w:val="0026058C"/>
    <w:rsid w:val="00280B54"/>
    <w:rsid w:val="00281199"/>
    <w:rsid w:val="0028602C"/>
    <w:rsid w:val="00295237"/>
    <w:rsid w:val="002A6E07"/>
    <w:rsid w:val="002C0E90"/>
    <w:rsid w:val="002C63C8"/>
    <w:rsid w:val="002D415F"/>
    <w:rsid w:val="002E786E"/>
    <w:rsid w:val="002F3038"/>
    <w:rsid w:val="002F644F"/>
    <w:rsid w:val="002F79CD"/>
    <w:rsid w:val="002F7D62"/>
    <w:rsid w:val="002F7E34"/>
    <w:rsid w:val="00306E13"/>
    <w:rsid w:val="00307C58"/>
    <w:rsid w:val="00312BFD"/>
    <w:rsid w:val="00336025"/>
    <w:rsid w:val="003567B3"/>
    <w:rsid w:val="00365EFF"/>
    <w:rsid w:val="00380966"/>
    <w:rsid w:val="003830B4"/>
    <w:rsid w:val="003838D9"/>
    <w:rsid w:val="00393866"/>
    <w:rsid w:val="00394382"/>
    <w:rsid w:val="003A22C5"/>
    <w:rsid w:val="003A5277"/>
    <w:rsid w:val="003C404B"/>
    <w:rsid w:val="003D1CDE"/>
    <w:rsid w:val="003F3A6A"/>
    <w:rsid w:val="00420AA1"/>
    <w:rsid w:val="0042795C"/>
    <w:rsid w:val="00441B9E"/>
    <w:rsid w:val="00455FEA"/>
    <w:rsid w:val="0048634C"/>
    <w:rsid w:val="00490E40"/>
    <w:rsid w:val="004D21FF"/>
    <w:rsid w:val="004D2939"/>
    <w:rsid w:val="004E3CC7"/>
    <w:rsid w:val="004F267A"/>
    <w:rsid w:val="00506DF2"/>
    <w:rsid w:val="00527E14"/>
    <w:rsid w:val="00560E80"/>
    <w:rsid w:val="005637A1"/>
    <w:rsid w:val="005813D2"/>
    <w:rsid w:val="005A0E4C"/>
    <w:rsid w:val="005B1250"/>
    <w:rsid w:val="00616F5E"/>
    <w:rsid w:val="0061795F"/>
    <w:rsid w:val="00624111"/>
    <w:rsid w:val="00631BA7"/>
    <w:rsid w:val="00650E1A"/>
    <w:rsid w:val="0065448D"/>
    <w:rsid w:val="00667DDF"/>
    <w:rsid w:val="00693021"/>
    <w:rsid w:val="00697E0F"/>
    <w:rsid w:val="006A6705"/>
    <w:rsid w:val="006C5AFF"/>
    <w:rsid w:val="006D0CC7"/>
    <w:rsid w:val="006D663C"/>
    <w:rsid w:val="006E05FF"/>
    <w:rsid w:val="006F16B8"/>
    <w:rsid w:val="006F57F7"/>
    <w:rsid w:val="006F747A"/>
    <w:rsid w:val="007227CB"/>
    <w:rsid w:val="00734466"/>
    <w:rsid w:val="00741F4F"/>
    <w:rsid w:val="00771E3E"/>
    <w:rsid w:val="00792774"/>
    <w:rsid w:val="007929B3"/>
    <w:rsid w:val="00794EF9"/>
    <w:rsid w:val="00796CEC"/>
    <w:rsid w:val="007A0059"/>
    <w:rsid w:val="007A634E"/>
    <w:rsid w:val="007B0C67"/>
    <w:rsid w:val="007F52F5"/>
    <w:rsid w:val="007F5937"/>
    <w:rsid w:val="00803177"/>
    <w:rsid w:val="0081053B"/>
    <w:rsid w:val="008128D0"/>
    <w:rsid w:val="00821B98"/>
    <w:rsid w:val="00822E43"/>
    <w:rsid w:val="008234AF"/>
    <w:rsid w:val="00831735"/>
    <w:rsid w:val="00832F23"/>
    <w:rsid w:val="00833798"/>
    <w:rsid w:val="008417EE"/>
    <w:rsid w:val="00844E03"/>
    <w:rsid w:val="0085029C"/>
    <w:rsid w:val="008612F3"/>
    <w:rsid w:val="008700D7"/>
    <w:rsid w:val="008759A6"/>
    <w:rsid w:val="0087743F"/>
    <w:rsid w:val="008816D3"/>
    <w:rsid w:val="00886D9E"/>
    <w:rsid w:val="00896D66"/>
    <w:rsid w:val="008A2AC3"/>
    <w:rsid w:val="008B4EC1"/>
    <w:rsid w:val="008B5CB2"/>
    <w:rsid w:val="008E3F87"/>
    <w:rsid w:val="008F4AFC"/>
    <w:rsid w:val="009203D7"/>
    <w:rsid w:val="009236BE"/>
    <w:rsid w:val="00931DB2"/>
    <w:rsid w:val="00965AFB"/>
    <w:rsid w:val="009732CD"/>
    <w:rsid w:val="009D0C2B"/>
    <w:rsid w:val="009D16DF"/>
    <w:rsid w:val="009E1088"/>
    <w:rsid w:val="009F640F"/>
    <w:rsid w:val="00A072C8"/>
    <w:rsid w:val="00A20F1E"/>
    <w:rsid w:val="00A309C2"/>
    <w:rsid w:val="00A32CC0"/>
    <w:rsid w:val="00A63E19"/>
    <w:rsid w:val="00A66F08"/>
    <w:rsid w:val="00A72CCC"/>
    <w:rsid w:val="00AB0098"/>
    <w:rsid w:val="00AC1BC3"/>
    <w:rsid w:val="00AD709D"/>
    <w:rsid w:val="00AE616F"/>
    <w:rsid w:val="00AE7B9B"/>
    <w:rsid w:val="00B45337"/>
    <w:rsid w:val="00B47EB3"/>
    <w:rsid w:val="00B55824"/>
    <w:rsid w:val="00B6481C"/>
    <w:rsid w:val="00B71FB2"/>
    <w:rsid w:val="00B73340"/>
    <w:rsid w:val="00B85F94"/>
    <w:rsid w:val="00B919D6"/>
    <w:rsid w:val="00B92FBE"/>
    <w:rsid w:val="00B96D62"/>
    <w:rsid w:val="00BA7CD0"/>
    <w:rsid w:val="00BD37C2"/>
    <w:rsid w:val="00BE2067"/>
    <w:rsid w:val="00BF2A76"/>
    <w:rsid w:val="00BF4EB3"/>
    <w:rsid w:val="00BF79CC"/>
    <w:rsid w:val="00C00972"/>
    <w:rsid w:val="00C02AD1"/>
    <w:rsid w:val="00C12879"/>
    <w:rsid w:val="00C17523"/>
    <w:rsid w:val="00C2190D"/>
    <w:rsid w:val="00C27CD0"/>
    <w:rsid w:val="00C34FEA"/>
    <w:rsid w:val="00C447E4"/>
    <w:rsid w:val="00C45A7F"/>
    <w:rsid w:val="00C51149"/>
    <w:rsid w:val="00C550B1"/>
    <w:rsid w:val="00C6607F"/>
    <w:rsid w:val="00CA0742"/>
    <w:rsid w:val="00CA0BBE"/>
    <w:rsid w:val="00CA676C"/>
    <w:rsid w:val="00CC5EDC"/>
    <w:rsid w:val="00D01C79"/>
    <w:rsid w:val="00D04555"/>
    <w:rsid w:val="00D06544"/>
    <w:rsid w:val="00D1438B"/>
    <w:rsid w:val="00D16873"/>
    <w:rsid w:val="00D20FFE"/>
    <w:rsid w:val="00D3373D"/>
    <w:rsid w:val="00D418B3"/>
    <w:rsid w:val="00D54000"/>
    <w:rsid w:val="00D71FEB"/>
    <w:rsid w:val="00D821F5"/>
    <w:rsid w:val="00D83BFD"/>
    <w:rsid w:val="00D869FF"/>
    <w:rsid w:val="00D90D4C"/>
    <w:rsid w:val="00D93EAE"/>
    <w:rsid w:val="00DA638E"/>
    <w:rsid w:val="00DB636B"/>
    <w:rsid w:val="00DC205D"/>
    <w:rsid w:val="00DD4A0F"/>
    <w:rsid w:val="00DE1585"/>
    <w:rsid w:val="00DE550B"/>
    <w:rsid w:val="00E0016C"/>
    <w:rsid w:val="00E0042C"/>
    <w:rsid w:val="00E037BD"/>
    <w:rsid w:val="00E05193"/>
    <w:rsid w:val="00E11CEC"/>
    <w:rsid w:val="00E149BE"/>
    <w:rsid w:val="00E25227"/>
    <w:rsid w:val="00E26CEC"/>
    <w:rsid w:val="00E3016B"/>
    <w:rsid w:val="00E51406"/>
    <w:rsid w:val="00E60ACF"/>
    <w:rsid w:val="00E63BCC"/>
    <w:rsid w:val="00E72A2B"/>
    <w:rsid w:val="00E77A51"/>
    <w:rsid w:val="00EA1208"/>
    <w:rsid w:val="00EA5BB6"/>
    <w:rsid w:val="00EB0DB6"/>
    <w:rsid w:val="00EC493F"/>
    <w:rsid w:val="00ED0352"/>
    <w:rsid w:val="00ED6EFE"/>
    <w:rsid w:val="00F2067D"/>
    <w:rsid w:val="00F2435B"/>
    <w:rsid w:val="00F33C11"/>
    <w:rsid w:val="00F36925"/>
    <w:rsid w:val="00F50309"/>
    <w:rsid w:val="00F75200"/>
    <w:rsid w:val="00F75FB5"/>
    <w:rsid w:val="00F77C3E"/>
    <w:rsid w:val="00F80FA2"/>
    <w:rsid w:val="00F82469"/>
    <w:rsid w:val="00FA7213"/>
    <w:rsid w:val="00FB2124"/>
    <w:rsid w:val="00FC1348"/>
    <w:rsid w:val="00FC633A"/>
    <w:rsid w:val="00FC70DC"/>
    <w:rsid w:val="00FD16FB"/>
    <w:rsid w:val="00FD17B2"/>
    <w:rsid w:val="00FD24E6"/>
    <w:rsid w:val="00FD52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7"/>
    <w:pPr>
      <w:spacing w:after="200" w:line="276" w:lineRule="auto"/>
    </w:pPr>
    <w:rPr>
      <w:rFonts w:cs="Times New Roman"/>
      <w:sz w:val="22"/>
      <w:szCs w:val="22"/>
      <w:lang w:eastAsia="en-US"/>
    </w:rPr>
  </w:style>
  <w:style w:type="paragraph" w:styleId="Heading1">
    <w:name w:val="heading 1"/>
    <w:basedOn w:val="Normal"/>
    <w:next w:val="Normal"/>
    <w:link w:val="Heading1Char"/>
    <w:uiPriority w:val="99"/>
    <w:qFormat/>
    <w:rsid w:val="00F77C3E"/>
    <w:pPr>
      <w:keepNext/>
      <w:spacing w:before="480" w:after="180" w:line="240" w:lineRule="auto"/>
      <w:outlineLvl w:val="0"/>
    </w:pPr>
    <w:rPr>
      <w:rFonts w:ascii="Consolas" w:hAnsi="Consolas" w:cs="Arial"/>
      <w:bCs/>
      <w:caps/>
      <w:color w:val="3D4B67"/>
      <w:kern w:val="32"/>
      <w:sz w:val="32"/>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7C3E"/>
    <w:rPr>
      <w:rFonts w:ascii="Consolas" w:hAnsi="Consolas" w:cs="Arial"/>
      <w:bCs/>
      <w:caps/>
      <w:color w:val="3D4B67"/>
      <w:kern w:val="32"/>
      <w:sz w:val="36"/>
      <w:szCs w:val="36"/>
    </w:rPr>
  </w:style>
  <w:style w:type="paragraph" w:customStyle="1" w:styleId="Normalnumbered">
    <w:name w:val="Normal numbered"/>
    <w:basedOn w:val="Normal"/>
    <w:uiPriority w:val="99"/>
    <w:rsid w:val="00AE7B9B"/>
    <w:pPr>
      <w:numPr>
        <w:numId w:val="1"/>
      </w:numPr>
      <w:spacing w:after="240" w:line="260" w:lineRule="exact"/>
      <w:jc w:val="both"/>
    </w:pPr>
    <w:rPr>
      <w:rFonts w:ascii="Corbel" w:hAnsi="Corbel"/>
      <w:color w:val="000000"/>
      <w:sz w:val="20"/>
      <w:szCs w:val="20"/>
      <w:lang w:eastAsia="en-AU"/>
    </w:rPr>
  </w:style>
  <w:style w:type="paragraph" w:styleId="ListParagraph">
    <w:name w:val="List Paragraph"/>
    <w:basedOn w:val="Normal"/>
    <w:uiPriority w:val="99"/>
    <w:qFormat/>
    <w:rsid w:val="00AE7B9B"/>
    <w:pPr>
      <w:ind w:left="720"/>
      <w:contextualSpacing/>
    </w:pPr>
  </w:style>
  <w:style w:type="character" w:styleId="BookTitle">
    <w:name w:val="Book Title"/>
    <w:uiPriority w:val="99"/>
    <w:qFormat/>
    <w:rsid w:val="00AE7B9B"/>
    <w:rPr>
      <w:rFonts w:cs="Times New Roman"/>
      <w:i/>
      <w:smallCaps/>
      <w:spacing w:val="5"/>
    </w:rPr>
  </w:style>
  <w:style w:type="table" w:styleId="TableGrid">
    <w:name w:val="Table Grid"/>
    <w:basedOn w:val="TableNormal"/>
    <w:uiPriority w:val="99"/>
    <w:rsid w:val="0083173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51149"/>
    <w:rPr>
      <w:rFonts w:cs="Times New Roman"/>
      <w:sz w:val="16"/>
      <w:szCs w:val="16"/>
    </w:rPr>
  </w:style>
  <w:style w:type="paragraph" w:styleId="CommentText">
    <w:name w:val="annotation text"/>
    <w:basedOn w:val="Normal"/>
    <w:link w:val="CommentTextChar"/>
    <w:uiPriority w:val="99"/>
    <w:semiHidden/>
    <w:rsid w:val="00C51149"/>
    <w:rPr>
      <w:sz w:val="20"/>
      <w:szCs w:val="20"/>
    </w:rPr>
  </w:style>
  <w:style w:type="character" w:customStyle="1" w:styleId="CommentTextChar">
    <w:name w:val="Comment Text Char"/>
    <w:link w:val="CommentText"/>
    <w:uiPriority w:val="99"/>
    <w:semiHidden/>
    <w:locked/>
    <w:rsid w:val="00C51149"/>
    <w:rPr>
      <w:rFonts w:cs="Times New Roman"/>
      <w:lang w:eastAsia="en-US"/>
    </w:rPr>
  </w:style>
  <w:style w:type="paragraph" w:styleId="CommentSubject">
    <w:name w:val="annotation subject"/>
    <w:basedOn w:val="CommentText"/>
    <w:next w:val="CommentText"/>
    <w:link w:val="CommentSubjectChar"/>
    <w:uiPriority w:val="99"/>
    <w:semiHidden/>
    <w:rsid w:val="00C51149"/>
    <w:rPr>
      <w:b/>
      <w:bCs/>
    </w:rPr>
  </w:style>
  <w:style w:type="character" w:customStyle="1" w:styleId="CommentSubjectChar">
    <w:name w:val="Comment Subject Char"/>
    <w:link w:val="CommentSubject"/>
    <w:uiPriority w:val="99"/>
    <w:semiHidden/>
    <w:locked/>
    <w:rsid w:val="00C51149"/>
    <w:rPr>
      <w:rFonts w:cs="Times New Roman"/>
      <w:b/>
      <w:bCs/>
      <w:lang w:eastAsia="en-US"/>
    </w:rPr>
  </w:style>
  <w:style w:type="paragraph" w:styleId="BalloonText">
    <w:name w:val="Balloon Text"/>
    <w:basedOn w:val="Normal"/>
    <w:link w:val="BalloonTextChar"/>
    <w:uiPriority w:val="99"/>
    <w:semiHidden/>
    <w:rsid w:val="00C51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51149"/>
    <w:rPr>
      <w:rFonts w:ascii="Tahoma" w:hAnsi="Tahoma" w:cs="Tahoma"/>
      <w:sz w:val="16"/>
      <w:szCs w:val="16"/>
      <w:lang w:eastAsia="en-US"/>
    </w:rPr>
  </w:style>
  <w:style w:type="paragraph" w:styleId="Header">
    <w:name w:val="header"/>
    <w:basedOn w:val="Normal"/>
    <w:link w:val="HeaderChar"/>
    <w:uiPriority w:val="99"/>
    <w:semiHidden/>
    <w:rsid w:val="00741F4F"/>
    <w:pPr>
      <w:tabs>
        <w:tab w:val="center" w:pos="4513"/>
        <w:tab w:val="right" w:pos="9026"/>
      </w:tabs>
      <w:spacing w:after="0" w:line="240" w:lineRule="auto"/>
    </w:pPr>
  </w:style>
  <w:style w:type="character" w:customStyle="1" w:styleId="HeaderChar">
    <w:name w:val="Header Char"/>
    <w:link w:val="Header"/>
    <w:uiPriority w:val="99"/>
    <w:semiHidden/>
    <w:locked/>
    <w:rsid w:val="00741F4F"/>
    <w:rPr>
      <w:rFonts w:cs="Times New Roman"/>
      <w:sz w:val="22"/>
      <w:szCs w:val="22"/>
      <w:lang w:eastAsia="en-US"/>
    </w:rPr>
  </w:style>
  <w:style w:type="paragraph" w:styleId="Footer">
    <w:name w:val="footer"/>
    <w:basedOn w:val="Normal"/>
    <w:link w:val="FooterChar"/>
    <w:uiPriority w:val="99"/>
    <w:rsid w:val="00741F4F"/>
    <w:pPr>
      <w:tabs>
        <w:tab w:val="center" w:pos="4513"/>
        <w:tab w:val="right" w:pos="9026"/>
      </w:tabs>
      <w:spacing w:after="0" w:line="240" w:lineRule="auto"/>
    </w:pPr>
  </w:style>
  <w:style w:type="character" w:customStyle="1" w:styleId="FooterChar">
    <w:name w:val="Footer Char"/>
    <w:link w:val="Footer"/>
    <w:uiPriority w:val="99"/>
    <w:locked/>
    <w:rsid w:val="00741F4F"/>
    <w:rPr>
      <w:rFonts w:cs="Times New Roman"/>
      <w:sz w:val="22"/>
      <w:szCs w:val="22"/>
      <w:lang w:eastAsia="en-US"/>
    </w:rPr>
  </w:style>
  <w:style w:type="paragraph" w:styleId="DocumentMap">
    <w:name w:val="Document Map"/>
    <w:basedOn w:val="Normal"/>
    <w:link w:val="DocumentMapChar"/>
    <w:uiPriority w:val="99"/>
    <w:semiHidden/>
    <w:rsid w:val="0004430A"/>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4323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7"/>
    <w:pPr>
      <w:spacing w:after="200" w:line="276" w:lineRule="auto"/>
    </w:pPr>
    <w:rPr>
      <w:rFonts w:cs="Times New Roman"/>
      <w:sz w:val="22"/>
      <w:szCs w:val="22"/>
      <w:lang w:eastAsia="en-US"/>
    </w:rPr>
  </w:style>
  <w:style w:type="paragraph" w:styleId="Heading1">
    <w:name w:val="heading 1"/>
    <w:basedOn w:val="Normal"/>
    <w:next w:val="Normal"/>
    <w:link w:val="Heading1Char"/>
    <w:uiPriority w:val="99"/>
    <w:qFormat/>
    <w:rsid w:val="00F77C3E"/>
    <w:pPr>
      <w:keepNext/>
      <w:spacing w:before="480" w:after="180" w:line="240" w:lineRule="auto"/>
      <w:outlineLvl w:val="0"/>
    </w:pPr>
    <w:rPr>
      <w:rFonts w:ascii="Consolas" w:hAnsi="Consolas" w:cs="Arial"/>
      <w:bCs/>
      <w:caps/>
      <w:color w:val="3D4B67"/>
      <w:kern w:val="32"/>
      <w:sz w:val="32"/>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7C3E"/>
    <w:rPr>
      <w:rFonts w:ascii="Consolas" w:hAnsi="Consolas" w:cs="Arial"/>
      <w:bCs/>
      <w:caps/>
      <w:color w:val="3D4B67"/>
      <w:kern w:val="32"/>
      <w:sz w:val="36"/>
      <w:szCs w:val="36"/>
    </w:rPr>
  </w:style>
  <w:style w:type="paragraph" w:customStyle="1" w:styleId="Normalnumbered">
    <w:name w:val="Normal numbered"/>
    <w:basedOn w:val="Normal"/>
    <w:uiPriority w:val="99"/>
    <w:rsid w:val="00AE7B9B"/>
    <w:pPr>
      <w:numPr>
        <w:numId w:val="1"/>
      </w:numPr>
      <w:spacing w:after="240" w:line="260" w:lineRule="exact"/>
      <w:jc w:val="both"/>
    </w:pPr>
    <w:rPr>
      <w:rFonts w:ascii="Corbel" w:hAnsi="Corbel"/>
      <w:color w:val="000000"/>
      <w:sz w:val="20"/>
      <w:szCs w:val="20"/>
      <w:lang w:eastAsia="en-AU"/>
    </w:rPr>
  </w:style>
  <w:style w:type="paragraph" w:styleId="ListParagraph">
    <w:name w:val="List Paragraph"/>
    <w:basedOn w:val="Normal"/>
    <w:uiPriority w:val="99"/>
    <w:qFormat/>
    <w:rsid w:val="00AE7B9B"/>
    <w:pPr>
      <w:ind w:left="720"/>
      <w:contextualSpacing/>
    </w:pPr>
  </w:style>
  <w:style w:type="character" w:styleId="BookTitle">
    <w:name w:val="Book Title"/>
    <w:uiPriority w:val="99"/>
    <w:qFormat/>
    <w:rsid w:val="00AE7B9B"/>
    <w:rPr>
      <w:rFonts w:cs="Times New Roman"/>
      <w:i/>
      <w:smallCaps/>
      <w:spacing w:val="5"/>
    </w:rPr>
  </w:style>
  <w:style w:type="table" w:styleId="TableGrid">
    <w:name w:val="Table Grid"/>
    <w:basedOn w:val="TableNormal"/>
    <w:uiPriority w:val="99"/>
    <w:rsid w:val="0083173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51149"/>
    <w:rPr>
      <w:rFonts w:cs="Times New Roman"/>
      <w:sz w:val="16"/>
      <w:szCs w:val="16"/>
    </w:rPr>
  </w:style>
  <w:style w:type="paragraph" w:styleId="CommentText">
    <w:name w:val="annotation text"/>
    <w:basedOn w:val="Normal"/>
    <w:link w:val="CommentTextChar"/>
    <w:uiPriority w:val="99"/>
    <w:semiHidden/>
    <w:rsid w:val="00C51149"/>
    <w:rPr>
      <w:sz w:val="20"/>
      <w:szCs w:val="20"/>
    </w:rPr>
  </w:style>
  <w:style w:type="character" w:customStyle="1" w:styleId="CommentTextChar">
    <w:name w:val="Comment Text Char"/>
    <w:link w:val="CommentText"/>
    <w:uiPriority w:val="99"/>
    <w:semiHidden/>
    <w:locked/>
    <w:rsid w:val="00C51149"/>
    <w:rPr>
      <w:rFonts w:cs="Times New Roman"/>
      <w:lang w:eastAsia="en-US"/>
    </w:rPr>
  </w:style>
  <w:style w:type="paragraph" w:styleId="CommentSubject">
    <w:name w:val="annotation subject"/>
    <w:basedOn w:val="CommentText"/>
    <w:next w:val="CommentText"/>
    <w:link w:val="CommentSubjectChar"/>
    <w:uiPriority w:val="99"/>
    <w:semiHidden/>
    <w:rsid w:val="00C51149"/>
    <w:rPr>
      <w:b/>
      <w:bCs/>
    </w:rPr>
  </w:style>
  <w:style w:type="character" w:customStyle="1" w:styleId="CommentSubjectChar">
    <w:name w:val="Comment Subject Char"/>
    <w:link w:val="CommentSubject"/>
    <w:uiPriority w:val="99"/>
    <w:semiHidden/>
    <w:locked/>
    <w:rsid w:val="00C51149"/>
    <w:rPr>
      <w:rFonts w:cs="Times New Roman"/>
      <w:b/>
      <w:bCs/>
      <w:lang w:eastAsia="en-US"/>
    </w:rPr>
  </w:style>
  <w:style w:type="paragraph" w:styleId="BalloonText">
    <w:name w:val="Balloon Text"/>
    <w:basedOn w:val="Normal"/>
    <w:link w:val="BalloonTextChar"/>
    <w:uiPriority w:val="99"/>
    <w:semiHidden/>
    <w:rsid w:val="00C51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51149"/>
    <w:rPr>
      <w:rFonts w:ascii="Tahoma" w:hAnsi="Tahoma" w:cs="Tahoma"/>
      <w:sz w:val="16"/>
      <w:szCs w:val="16"/>
      <w:lang w:eastAsia="en-US"/>
    </w:rPr>
  </w:style>
  <w:style w:type="paragraph" w:styleId="Header">
    <w:name w:val="header"/>
    <w:basedOn w:val="Normal"/>
    <w:link w:val="HeaderChar"/>
    <w:uiPriority w:val="99"/>
    <w:semiHidden/>
    <w:rsid w:val="00741F4F"/>
    <w:pPr>
      <w:tabs>
        <w:tab w:val="center" w:pos="4513"/>
        <w:tab w:val="right" w:pos="9026"/>
      </w:tabs>
      <w:spacing w:after="0" w:line="240" w:lineRule="auto"/>
    </w:pPr>
  </w:style>
  <w:style w:type="character" w:customStyle="1" w:styleId="HeaderChar">
    <w:name w:val="Header Char"/>
    <w:link w:val="Header"/>
    <w:uiPriority w:val="99"/>
    <w:semiHidden/>
    <w:locked/>
    <w:rsid w:val="00741F4F"/>
    <w:rPr>
      <w:rFonts w:cs="Times New Roman"/>
      <w:sz w:val="22"/>
      <w:szCs w:val="22"/>
      <w:lang w:eastAsia="en-US"/>
    </w:rPr>
  </w:style>
  <w:style w:type="paragraph" w:styleId="Footer">
    <w:name w:val="footer"/>
    <w:basedOn w:val="Normal"/>
    <w:link w:val="FooterChar"/>
    <w:uiPriority w:val="99"/>
    <w:rsid w:val="00741F4F"/>
    <w:pPr>
      <w:tabs>
        <w:tab w:val="center" w:pos="4513"/>
        <w:tab w:val="right" w:pos="9026"/>
      </w:tabs>
      <w:spacing w:after="0" w:line="240" w:lineRule="auto"/>
    </w:pPr>
  </w:style>
  <w:style w:type="character" w:customStyle="1" w:styleId="FooterChar">
    <w:name w:val="Footer Char"/>
    <w:link w:val="Footer"/>
    <w:uiPriority w:val="99"/>
    <w:locked/>
    <w:rsid w:val="00741F4F"/>
    <w:rPr>
      <w:rFonts w:cs="Times New Roman"/>
      <w:sz w:val="22"/>
      <w:szCs w:val="22"/>
      <w:lang w:eastAsia="en-US"/>
    </w:rPr>
  </w:style>
  <w:style w:type="paragraph" w:styleId="DocumentMap">
    <w:name w:val="Document Map"/>
    <w:basedOn w:val="Normal"/>
    <w:link w:val="DocumentMapChar"/>
    <w:uiPriority w:val="99"/>
    <w:semiHidden/>
    <w:rsid w:val="0004430A"/>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432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016">
      <w:bodyDiv w:val="1"/>
      <w:marLeft w:val="0"/>
      <w:marRight w:val="0"/>
      <w:marTop w:val="0"/>
      <w:marBottom w:val="0"/>
      <w:divBdr>
        <w:top w:val="none" w:sz="0" w:space="0" w:color="auto"/>
        <w:left w:val="none" w:sz="0" w:space="0" w:color="auto"/>
        <w:bottom w:val="none" w:sz="0" w:space="0" w:color="auto"/>
        <w:right w:val="none" w:sz="0" w:space="0" w:color="auto"/>
      </w:divBdr>
    </w:div>
    <w:div w:id="572619599">
      <w:marLeft w:val="0"/>
      <w:marRight w:val="0"/>
      <w:marTop w:val="0"/>
      <w:marBottom w:val="0"/>
      <w:divBdr>
        <w:top w:val="none" w:sz="0" w:space="0" w:color="auto"/>
        <w:left w:val="none" w:sz="0" w:space="0" w:color="auto"/>
        <w:bottom w:val="none" w:sz="0" w:space="0" w:color="auto"/>
        <w:right w:val="none" w:sz="0" w:space="0" w:color="auto"/>
      </w:divBdr>
    </w:div>
    <w:div w:id="572619600">
      <w:marLeft w:val="0"/>
      <w:marRight w:val="0"/>
      <w:marTop w:val="0"/>
      <w:marBottom w:val="0"/>
      <w:divBdr>
        <w:top w:val="none" w:sz="0" w:space="0" w:color="auto"/>
        <w:left w:val="none" w:sz="0" w:space="0" w:color="auto"/>
        <w:bottom w:val="none" w:sz="0" w:space="0" w:color="auto"/>
        <w:right w:val="none" w:sz="0" w:space="0" w:color="auto"/>
      </w:divBdr>
    </w:div>
    <w:div w:id="572619601">
      <w:marLeft w:val="0"/>
      <w:marRight w:val="0"/>
      <w:marTop w:val="0"/>
      <w:marBottom w:val="0"/>
      <w:divBdr>
        <w:top w:val="none" w:sz="0" w:space="0" w:color="auto"/>
        <w:left w:val="none" w:sz="0" w:space="0" w:color="auto"/>
        <w:bottom w:val="none" w:sz="0" w:space="0" w:color="auto"/>
        <w:right w:val="none" w:sz="0" w:space="0" w:color="auto"/>
      </w:divBdr>
    </w:div>
    <w:div w:id="572619602">
      <w:marLeft w:val="0"/>
      <w:marRight w:val="0"/>
      <w:marTop w:val="0"/>
      <w:marBottom w:val="0"/>
      <w:divBdr>
        <w:top w:val="none" w:sz="0" w:space="0" w:color="auto"/>
        <w:left w:val="none" w:sz="0" w:space="0" w:color="auto"/>
        <w:bottom w:val="none" w:sz="0" w:space="0" w:color="auto"/>
        <w:right w:val="none" w:sz="0" w:space="0" w:color="auto"/>
      </w:divBdr>
    </w:div>
    <w:div w:id="572619603">
      <w:marLeft w:val="0"/>
      <w:marRight w:val="0"/>
      <w:marTop w:val="0"/>
      <w:marBottom w:val="0"/>
      <w:divBdr>
        <w:top w:val="none" w:sz="0" w:space="0" w:color="auto"/>
        <w:left w:val="none" w:sz="0" w:space="0" w:color="auto"/>
        <w:bottom w:val="none" w:sz="0" w:space="0" w:color="auto"/>
        <w:right w:val="none" w:sz="0" w:space="0" w:color="auto"/>
      </w:divBdr>
    </w:div>
    <w:div w:id="572619604">
      <w:marLeft w:val="0"/>
      <w:marRight w:val="0"/>
      <w:marTop w:val="0"/>
      <w:marBottom w:val="0"/>
      <w:divBdr>
        <w:top w:val="none" w:sz="0" w:space="0" w:color="auto"/>
        <w:left w:val="none" w:sz="0" w:space="0" w:color="auto"/>
        <w:bottom w:val="none" w:sz="0" w:space="0" w:color="auto"/>
        <w:right w:val="none" w:sz="0" w:space="0" w:color="auto"/>
      </w:divBdr>
    </w:div>
    <w:div w:id="572619605">
      <w:marLeft w:val="0"/>
      <w:marRight w:val="0"/>
      <w:marTop w:val="0"/>
      <w:marBottom w:val="0"/>
      <w:divBdr>
        <w:top w:val="none" w:sz="0" w:space="0" w:color="auto"/>
        <w:left w:val="none" w:sz="0" w:space="0" w:color="auto"/>
        <w:bottom w:val="none" w:sz="0" w:space="0" w:color="auto"/>
        <w:right w:val="none" w:sz="0" w:space="0" w:color="auto"/>
      </w:divBdr>
    </w:div>
    <w:div w:id="572619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06EC5-EEB8-4987-A1B4-399125F4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44519F14</Template>
  <TotalTime>0</TotalTime>
  <Pages>6</Pages>
  <Words>1779</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2016-12-05T23:39:00Z</dcterms:created>
  <dcterms:modified xsi:type="dcterms:W3CDTF">2016-12-05T23:39:00Z</dcterms:modified>
</cp:coreProperties>
</file>