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2254" w:rsidRPr="00A9325E" w:rsidRDefault="000C21E7" w:rsidP="005554A0">
      <w:pPr>
        <w:jc w:val="center"/>
        <w:rPr>
          <w:b/>
          <w:bCs/>
          <w:color w:val="000000"/>
          <w:sz w:val="23"/>
          <w:szCs w:val="23"/>
        </w:rPr>
      </w:pPr>
      <w:bookmarkStart w:id="0" w:name="_GoBack"/>
      <w:bookmarkEnd w:id="0"/>
      <w:r>
        <w:rPr>
          <w:b/>
          <w:bCs/>
          <w:color w:val="000000"/>
          <w:sz w:val="23"/>
          <w:szCs w:val="23"/>
        </w:rPr>
        <w:t>INTERGOVERNMENTAL AGREEMENT</w:t>
      </w:r>
    </w:p>
    <w:p w:rsidR="00B52254" w:rsidRPr="00A9325E" w:rsidRDefault="00903AF8" w:rsidP="004F4124">
      <w:pPr>
        <w:spacing w:before="720"/>
        <w:jc w:val="center"/>
        <w:rPr>
          <w:b/>
          <w:bCs/>
          <w:color w:val="000000"/>
          <w:sz w:val="23"/>
          <w:szCs w:val="23"/>
        </w:rPr>
      </w:pPr>
      <w:r>
        <w:rPr>
          <w:b/>
          <w:bCs/>
          <w:color w:val="000000"/>
          <w:sz w:val="23"/>
          <w:szCs w:val="23"/>
        </w:rPr>
        <w:t xml:space="preserve">FOR </w:t>
      </w:r>
      <w:r w:rsidR="00B52254" w:rsidRPr="00A9325E">
        <w:rPr>
          <w:b/>
          <w:bCs/>
          <w:color w:val="000000"/>
          <w:sz w:val="23"/>
          <w:szCs w:val="23"/>
        </w:rPr>
        <w:t>A NATIONAL EXCHANGE OF CRIMINAL HISTORY INFORMATION</w:t>
      </w:r>
    </w:p>
    <w:p w:rsidR="00102C82" w:rsidRPr="00A9325E" w:rsidRDefault="00B52254" w:rsidP="004F4124">
      <w:pPr>
        <w:spacing w:before="720"/>
        <w:jc w:val="center"/>
        <w:rPr>
          <w:b/>
          <w:bCs/>
          <w:color w:val="000000"/>
          <w:sz w:val="23"/>
          <w:szCs w:val="23"/>
        </w:rPr>
      </w:pPr>
      <w:r w:rsidRPr="00A9325E">
        <w:rPr>
          <w:b/>
          <w:bCs/>
          <w:color w:val="000000"/>
          <w:sz w:val="23"/>
          <w:szCs w:val="23"/>
        </w:rPr>
        <w:t>FOR PEOPLE WORKING WITH CHILDREN</w:t>
      </w:r>
    </w:p>
    <w:p w:rsidR="00102C82" w:rsidRDefault="00102C82" w:rsidP="00A9325E">
      <w:pPr>
        <w:spacing w:after="240"/>
        <w:rPr>
          <w:color w:val="000000"/>
          <w:sz w:val="28"/>
          <w:szCs w:val="28"/>
        </w:rPr>
      </w:pPr>
    </w:p>
    <w:p w:rsidR="00622035" w:rsidRPr="00A9325E" w:rsidRDefault="00622035" w:rsidP="00A9325E">
      <w:pPr>
        <w:spacing w:after="240"/>
        <w:rPr>
          <w:color w:val="000000"/>
          <w:sz w:val="28"/>
          <w:szCs w:val="28"/>
        </w:rPr>
      </w:pPr>
    </w:p>
    <w:p w:rsidR="00102C82" w:rsidRDefault="00102C82" w:rsidP="00A9325E">
      <w:pPr>
        <w:spacing w:before="60"/>
        <w:rPr>
          <w:color w:val="000000"/>
          <w:sz w:val="28"/>
          <w:szCs w:val="28"/>
        </w:rPr>
      </w:pPr>
      <w:r>
        <w:rPr>
          <w:b/>
          <w:bCs/>
          <w:color w:val="000000"/>
          <w:sz w:val="28"/>
          <w:szCs w:val="28"/>
        </w:rPr>
        <w:t>Parties:</w:t>
      </w:r>
      <w:r>
        <w:rPr>
          <w:color w:val="000000"/>
          <w:sz w:val="28"/>
          <w:szCs w:val="28"/>
        </w:rPr>
        <w:t xml:space="preserve"> </w:t>
      </w:r>
      <w:r>
        <w:rPr>
          <w:color w:val="000000"/>
          <w:sz w:val="28"/>
          <w:szCs w:val="28"/>
        </w:rPr>
        <w:tab/>
        <w:t xml:space="preserve">The Commonwealth of Australia (“Commonwealth”) </w:t>
      </w:r>
    </w:p>
    <w:p w:rsidR="00102C82" w:rsidRDefault="00102C82" w:rsidP="00A9325E">
      <w:pPr>
        <w:spacing w:before="60"/>
        <w:rPr>
          <w:color w:val="000000"/>
          <w:sz w:val="28"/>
          <w:szCs w:val="28"/>
        </w:rPr>
      </w:pPr>
      <w:r>
        <w:tab/>
      </w:r>
      <w:r>
        <w:tab/>
      </w:r>
      <w:r>
        <w:rPr>
          <w:color w:val="000000"/>
          <w:sz w:val="28"/>
          <w:szCs w:val="28"/>
        </w:rPr>
        <w:t xml:space="preserve">The State of New South Wales (“NSW”) </w:t>
      </w:r>
    </w:p>
    <w:p w:rsidR="00102C82" w:rsidRDefault="00102C82" w:rsidP="00A9325E">
      <w:pPr>
        <w:spacing w:before="60"/>
        <w:rPr>
          <w:color w:val="000000"/>
          <w:sz w:val="28"/>
          <w:szCs w:val="28"/>
        </w:rPr>
      </w:pPr>
      <w:r>
        <w:rPr>
          <w:color w:val="000000"/>
          <w:sz w:val="28"/>
          <w:szCs w:val="28"/>
        </w:rPr>
        <w:tab/>
      </w:r>
      <w:r>
        <w:rPr>
          <w:color w:val="000000"/>
          <w:sz w:val="28"/>
          <w:szCs w:val="28"/>
        </w:rPr>
        <w:tab/>
        <w:t xml:space="preserve">The State of Victoria (“Victoria”) </w:t>
      </w:r>
    </w:p>
    <w:p w:rsidR="00102C82" w:rsidRDefault="00102C82" w:rsidP="00A9325E">
      <w:pPr>
        <w:spacing w:before="60"/>
        <w:rPr>
          <w:color w:val="000000"/>
          <w:sz w:val="28"/>
          <w:szCs w:val="28"/>
        </w:rPr>
      </w:pPr>
      <w:r>
        <w:rPr>
          <w:color w:val="000000"/>
          <w:sz w:val="28"/>
          <w:szCs w:val="28"/>
        </w:rPr>
        <w:tab/>
      </w:r>
      <w:r>
        <w:rPr>
          <w:color w:val="000000"/>
          <w:sz w:val="28"/>
          <w:szCs w:val="28"/>
        </w:rPr>
        <w:tab/>
        <w:t xml:space="preserve">The State of Queensland (“Queensland”) </w:t>
      </w:r>
    </w:p>
    <w:p w:rsidR="00102C82" w:rsidRDefault="00102C82" w:rsidP="00A9325E">
      <w:pPr>
        <w:spacing w:before="60"/>
        <w:rPr>
          <w:color w:val="000000"/>
          <w:sz w:val="28"/>
          <w:szCs w:val="28"/>
        </w:rPr>
      </w:pPr>
      <w:r>
        <w:rPr>
          <w:color w:val="000000"/>
          <w:sz w:val="28"/>
          <w:szCs w:val="28"/>
        </w:rPr>
        <w:tab/>
      </w:r>
      <w:r>
        <w:rPr>
          <w:color w:val="000000"/>
          <w:sz w:val="28"/>
          <w:szCs w:val="28"/>
        </w:rPr>
        <w:tab/>
        <w:t>The State of Western Australia (“Western Australia”)</w:t>
      </w:r>
    </w:p>
    <w:p w:rsidR="00102C82" w:rsidRDefault="00102C82" w:rsidP="00A9325E">
      <w:pPr>
        <w:spacing w:before="60"/>
        <w:rPr>
          <w:color w:val="000000"/>
          <w:sz w:val="28"/>
          <w:szCs w:val="28"/>
        </w:rPr>
      </w:pPr>
      <w:r>
        <w:rPr>
          <w:color w:val="000000"/>
          <w:sz w:val="28"/>
          <w:szCs w:val="28"/>
        </w:rPr>
        <w:tab/>
      </w:r>
      <w:r>
        <w:rPr>
          <w:color w:val="000000"/>
          <w:sz w:val="28"/>
          <w:szCs w:val="28"/>
        </w:rPr>
        <w:tab/>
        <w:t xml:space="preserve">The State of South Australia (“South Australia”) </w:t>
      </w:r>
    </w:p>
    <w:p w:rsidR="00102C82" w:rsidRDefault="00102C82" w:rsidP="00A9325E">
      <w:pPr>
        <w:spacing w:before="60"/>
        <w:rPr>
          <w:color w:val="000000"/>
          <w:sz w:val="28"/>
          <w:szCs w:val="28"/>
        </w:rPr>
      </w:pPr>
      <w:r>
        <w:rPr>
          <w:color w:val="000000"/>
          <w:sz w:val="28"/>
          <w:szCs w:val="28"/>
        </w:rPr>
        <w:tab/>
      </w:r>
      <w:r>
        <w:rPr>
          <w:color w:val="000000"/>
          <w:sz w:val="28"/>
          <w:szCs w:val="28"/>
        </w:rPr>
        <w:tab/>
        <w:t xml:space="preserve">The State of Tasmania (“Tasmania”) </w:t>
      </w:r>
    </w:p>
    <w:p w:rsidR="00077141" w:rsidRDefault="00102C82" w:rsidP="00A9325E">
      <w:pPr>
        <w:spacing w:before="60"/>
        <w:rPr>
          <w:color w:val="000000"/>
          <w:sz w:val="28"/>
          <w:szCs w:val="28"/>
        </w:rPr>
      </w:pPr>
      <w:r>
        <w:rPr>
          <w:color w:val="000000"/>
          <w:sz w:val="28"/>
          <w:szCs w:val="28"/>
        </w:rPr>
        <w:tab/>
      </w:r>
      <w:r>
        <w:rPr>
          <w:color w:val="000000"/>
          <w:sz w:val="28"/>
          <w:szCs w:val="28"/>
        </w:rPr>
        <w:tab/>
      </w:r>
      <w:r w:rsidR="00077141">
        <w:rPr>
          <w:color w:val="000000"/>
          <w:sz w:val="28"/>
          <w:szCs w:val="28"/>
        </w:rPr>
        <w:t xml:space="preserve">The Australian Capital Territory (“ACT”) </w:t>
      </w:r>
    </w:p>
    <w:p w:rsidR="00982980" w:rsidRPr="00A11984" w:rsidRDefault="00102C82" w:rsidP="00BB4EA1">
      <w:pPr>
        <w:spacing w:before="60"/>
        <w:ind w:left="720" w:firstLine="720"/>
        <w:rPr>
          <w:color w:val="000000"/>
          <w:sz w:val="28"/>
          <w:szCs w:val="28"/>
        </w:rPr>
      </w:pPr>
      <w:r>
        <w:rPr>
          <w:color w:val="000000"/>
          <w:sz w:val="28"/>
          <w:szCs w:val="28"/>
        </w:rPr>
        <w:t xml:space="preserve">The Northern Territory of Australia (“Northern Territory”) </w:t>
      </w:r>
    </w:p>
    <w:p w:rsidR="00102C82" w:rsidRDefault="00102C82" w:rsidP="00A9325E">
      <w:pPr>
        <w:spacing w:before="360"/>
        <w:rPr>
          <w:b/>
          <w:bCs/>
          <w:color w:val="000000"/>
          <w:sz w:val="28"/>
          <w:szCs w:val="28"/>
        </w:rPr>
      </w:pPr>
      <w:r>
        <w:rPr>
          <w:b/>
          <w:bCs/>
          <w:color w:val="000000"/>
          <w:sz w:val="28"/>
          <w:szCs w:val="28"/>
        </w:rPr>
        <w:t xml:space="preserve">Recitals: </w:t>
      </w:r>
    </w:p>
    <w:p w:rsidR="005C4BFD" w:rsidRDefault="00767975" w:rsidP="00EC334D">
      <w:pPr>
        <w:numPr>
          <w:ilvl w:val="0"/>
          <w:numId w:val="1"/>
        </w:numPr>
        <w:tabs>
          <w:tab w:val="clear" w:pos="360"/>
        </w:tabs>
        <w:rPr>
          <w:color w:val="000000"/>
        </w:rPr>
      </w:pPr>
      <w:r w:rsidRPr="00767975">
        <w:rPr>
          <w:color w:val="000000"/>
        </w:rPr>
        <w:t xml:space="preserve">Safeguarding children from sexual, physical and other </w:t>
      </w:r>
      <w:r w:rsidR="00EC334D">
        <w:rPr>
          <w:color w:val="000000"/>
        </w:rPr>
        <w:t>harm</w:t>
      </w:r>
      <w:r w:rsidR="00390366" w:rsidRPr="00390366">
        <w:t xml:space="preserve"> </w:t>
      </w:r>
      <w:r w:rsidRPr="00767975">
        <w:rPr>
          <w:color w:val="000000"/>
        </w:rPr>
        <w:t>is a</w:t>
      </w:r>
      <w:r w:rsidR="00F207F2">
        <w:rPr>
          <w:color w:val="000000"/>
        </w:rPr>
        <w:t xml:space="preserve"> key social responsibility and</w:t>
      </w:r>
      <w:r w:rsidRPr="00767975">
        <w:rPr>
          <w:color w:val="000000"/>
        </w:rPr>
        <w:t xml:space="preserve"> priority of Australian gover</w:t>
      </w:r>
      <w:r>
        <w:rPr>
          <w:color w:val="000000"/>
        </w:rPr>
        <w:t>nments. Assessing</w:t>
      </w:r>
      <w:r w:rsidRPr="00767975">
        <w:rPr>
          <w:color w:val="000000"/>
        </w:rPr>
        <w:t xml:space="preserve"> the criminal history of people working with children or seeking to work with children is an important </w:t>
      </w:r>
      <w:r w:rsidR="00383B63">
        <w:rPr>
          <w:color w:val="000000"/>
        </w:rPr>
        <w:t xml:space="preserve">component of the </w:t>
      </w:r>
      <w:r w:rsidR="00383B63" w:rsidRPr="00767975">
        <w:rPr>
          <w:color w:val="000000"/>
        </w:rPr>
        <w:t xml:space="preserve">overall strategy for </w:t>
      </w:r>
      <w:r w:rsidR="00383B63">
        <w:rPr>
          <w:color w:val="000000"/>
        </w:rPr>
        <w:t xml:space="preserve">protecting the </w:t>
      </w:r>
      <w:r w:rsidR="00383B63" w:rsidRPr="00767975">
        <w:rPr>
          <w:color w:val="000000"/>
        </w:rPr>
        <w:t>safety and wellbeing of children</w:t>
      </w:r>
      <w:r w:rsidR="00383B63">
        <w:rPr>
          <w:color w:val="000000"/>
        </w:rPr>
        <w:t>.</w:t>
      </w:r>
    </w:p>
    <w:p w:rsidR="0027275E" w:rsidRDefault="00031A11">
      <w:pPr>
        <w:numPr>
          <w:ilvl w:val="0"/>
          <w:numId w:val="1"/>
        </w:numPr>
        <w:rPr>
          <w:color w:val="000000"/>
        </w:rPr>
      </w:pPr>
      <w:r>
        <w:rPr>
          <w:color w:val="000000"/>
        </w:rPr>
        <w:t xml:space="preserve">On 29 November </w:t>
      </w:r>
      <w:r w:rsidR="00A11984">
        <w:rPr>
          <w:color w:val="000000"/>
        </w:rPr>
        <w:t>2008</w:t>
      </w:r>
      <w:r w:rsidR="00E80434" w:rsidRPr="00E80434">
        <w:rPr>
          <w:color w:val="000000"/>
        </w:rPr>
        <w:t>, the Council of Australian Governments (</w:t>
      </w:r>
      <w:r w:rsidR="00E80434" w:rsidRPr="00E80434">
        <w:rPr>
          <w:b/>
          <w:color w:val="000000"/>
        </w:rPr>
        <w:t>“COAG”</w:t>
      </w:r>
      <w:r w:rsidR="00E80434" w:rsidRPr="00E80434">
        <w:rPr>
          <w:color w:val="000000"/>
        </w:rPr>
        <w:t>) agreed to establish an interjurisdictional exchange of criminal history information for people w</w:t>
      </w:r>
      <w:r w:rsidR="00E80434">
        <w:rPr>
          <w:color w:val="000000"/>
        </w:rPr>
        <w:t>orking with children</w:t>
      </w:r>
      <w:r w:rsidR="00E80434" w:rsidRPr="00E80434">
        <w:rPr>
          <w:color w:val="000000"/>
        </w:rPr>
        <w:t xml:space="preserve">, </w:t>
      </w:r>
      <w:r w:rsidR="00950283">
        <w:rPr>
          <w:color w:val="000000"/>
        </w:rPr>
        <w:t>commencing with a 12 month trial</w:t>
      </w:r>
      <w:r w:rsidR="00E80434" w:rsidRPr="00E80434">
        <w:rPr>
          <w:color w:val="000000"/>
        </w:rPr>
        <w:t xml:space="preserve">. This followed COAG’s agreement in principle </w:t>
      </w:r>
      <w:r w:rsidR="008C20CB">
        <w:rPr>
          <w:color w:val="000000"/>
        </w:rPr>
        <w:t>on 13</w:t>
      </w:r>
      <w:r w:rsidR="00E80434" w:rsidRPr="00E80434">
        <w:rPr>
          <w:color w:val="000000"/>
        </w:rPr>
        <w:t xml:space="preserve"> April 2007 to a framework for such an exchange.</w:t>
      </w:r>
    </w:p>
    <w:p w:rsidR="0027275E" w:rsidRDefault="00520988">
      <w:pPr>
        <w:numPr>
          <w:ilvl w:val="0"/>
          <w:numId w:val="1"/>
        </w:numPr>
        <w:rPr>
          <w:color w:val="000000"/>
        </w:rPr>
      </w:pPr>
      <w:r w:rsidRPr="00520988">
        <w:rPr>
          <w:color w:val="000000"/>
        </w:rPr>
        <w:t>On 26 Nov</w:t>
      </w:r>
      <w:r w:rsidR="005703F5">
        <w:rPr>
          <w:color w:val="000000"/>
        </w:rPr>
        <w:t xml:space="preserve">ember 2009, </w:t>
      </w:r>
      <w:r w:rsidR="00441DFC">
        <w:rPr>
          <w:color w:val="000000"/>
        </w:rPr>
        <w:t>the States</w:t>
      </w:r>
      <w:r w:rsidR="00DF3C1F">
        <w:rPr>
          <w:color w:val="000000"/>
        </w:rPr>
        <w:t xml:space="preserve">, Territories and </w:t>
      </w:r>
      <w:r w:rsidR="00441DFC">
        <w:rPr>
          <w:color w:val="000000"/>
        </w:rPr>
        <w:t xml:space="preserve">the Commonwealth </w:t>
      </w:r>
      <w:r w:rsidRPr="00520988">
        <w:rPr>
          <w:color w:val="000000"/>
        </w:rPr>
        <w:t>signed a Memorandum of Understanding establishing arrangements for the trial</w:t>
      </w:r>
      <w:r w:rsidR="00077141">
        <w:rPr>
          <w:color w:val="000000"/>
        </w:rPr>
        <w:t xml:space="preserve"> (“</w:t>
      </w:r>
      <w:r w:rsidR="00077141" w:rsidRPr="00BD0651">
        <w:rPr>
          <w:b/>
          <w:color w:val="000000"/>
        </w:rPr>
        <w:t>MOU</w:t>
      </w:r>
      <w:r w:rsidR="00077141">
        <w:rPr>
          <w:b/>
          <w:color w:val="000000"/>
        </w:rPr>
        <w:t>”</w:t>
      </w:r>
      <w:r w:rsidR="00077141">
        <w:rPr>
          <w:color w:val="000000"/>
        </w:rPr>
        <w:t>)</w:t>
      </w:r>
      <w:r w:rsidRPr="00520988">
        <w:rPr>
          <w:color w:val="000000"/>
        </w:rPr>
        <w:t>, which commenced on 30 November 2009</w:t>
      </w:r>
      <w:r w:rsidR="00077141">
        <w:rPr>
          <w:color w:val="000000"/>
        </w:rPr>
        <w:t>.</w:t>
      </w:r>
      <w:r w:rsidR="0053241E">
        <w:rPr>
          <w:color w:val="000000"/>
        </w:rPr>
        <w:t xml:space="preserve"> </w:t>
      </w:r>
      <w:r w:rsidRPr="00520988">
        <w:rPr>
          <w:color w:val="000000"/>
        </w:rPr>
        <w:t>An independent evaluation of the trial, completed in March 2011, recommended the permanent continuation of the</w:t>
      </w:r>
      <w:r w:rsidR="0008454A">
        <w:rPr>
          <w:color w:val="000000"/>
        </w:rPr>
        <w:t xml:space="preserve"> Exchange of Criminal History Information for People Working with Children (“</w:t>
      </w:r>
      <w:r w:rsidR="00D641CC">
        <w:rPr>
          <w:b/>
          <w:color w:val="000000"/>
        </w:rPr>
        <w:t>the Exchange</w:t>
      </w:r>
      <w:r w:rsidR="0008454A">
        <w:rPr>
          <w:color w:val="000000"/>
        </w:rPr>
        <w:t>”)</w:t>
      </w:r>
      <w:r w:rsidRPr="00520988">
        <w:rPr>
          <w:color w:val="000000"/>
        </w:rPr>
        <w:t>.</w:t>
      </w:r>
      <w:r w:rsidR="004065F5">
        <w:rPr>
          <w:color w:val="000000"/>
        </w:rPr>
        <w:t xml:space="preserve"> </w:t>
      </w:r>
      <w:r w:rsidR="00BD0651" w:rsidRPr="00BD0651">
        <w:rPr>
          <w:color w:val="000000"/>
        </w:rPr>
        <w:t xml:space="preserve">This agreement supersedes </w:t>
      </w:r>
      <w:r w:rsidR="002C045D">
        <w:rPr>
          <w:color w:val="000000"/>
        </w:rPr>
        <w:t xml:space="preserve">and replaces </w:t>
      </w:r>
      <w:r w:rsidR="00BD0651" w:rsidRPr="00BD0651">
        <w:rPr>
          <w:color w:val="000000"/>
        </w:rPr>
        <w:t xml:space="preserve">the </w:t>
      </w:r>
      <w:r w:rsidR="0053241E">
        <w:rPr>
          <w:color w:val="000000"/>
        </w:rPr>
        <w:t>MOU</w:t>
      </w:r>
      <w:r w:rsidR="00003CBC">
        <w:rPr>
          <w:color w:val="000000"/>
        </w:rPr>
        <w:t xml:space="preserve">, and reflects the commitment of the parties to the ongoing </w:t>
      </w:r>
      <w:r w:rsidR="00C0592A">
        <w:rPr>
          <w:color w:val="000000"/>
        </w:rPr>
        <w:t xml:space="preserve">optimisation </w:t>
      </w:r>
      <w:r w:rsidR="00003CBC">
        <w:rPr>
          <w:color w:val="000000"/>
        </w:rPr>
        <w:t>of the Exchange.</w:t>
      </w:r>
    </w:p>
    <w:p w:rsidR="00F77233" w:rsidRDefault="00F77233" w:rsidP="00F77233">
      <w:pPr>
        <w:ind w:left="360"/>
        <w:rPr>
          <w:color w:val="000000"/>
        </w:rPr>
      </w:pPr>
    </w:p>
    <w:p w:rsidR="0027275E" w:rsidRDefault="002C045D">
      <w:pPr>
        <w:numPr>
          <w:ilvl w:val="0"/>
          <w:numId w:val="1"/>
        </w:numPr>
        <w:rPr>
          <w:color w:val="000000"/>
        </w:rPr>
      </w:pPr>
      <w:r>
        <w:rPr>
          <w:color w:val="000000"/>
        </w:rPr>
        <w:lastRenderedPageBreak/>
        <w:t>The parties</w:t>
      </w:r>
      <w:r w:rsidR="00520988">
        <w:rPr>
          <w:color w:val="000000"/>
        </w:rPr>
        <w:t xml:space="preserve"> have removed legislative and administrative restrictions to the routine </w:t>
      </w:r>
      <w:r>
        <w:rPr>
          <w:color w:val="000000"/>
        </w:rPr>
        <w:t>supply</w:t>
      </w:r>
      <w:r w:rsidR="00520988">
        <w:rPr>
          <w:color w:val="000000"/>
        </w:rPr>
        <w:t xml:space="preserve"> of the following information </w:t>
      </w:r>
      <w:proofErr w:type="spellStart"/>
      <w:r w:rsidR="00520988">
        <w:rPr>
          <w:color w:val="000000"/>
        </w:rPr>
        <w:t>interjurisdictionally</w:t>
      </w:r>
      <w:proofErr w:type="spellEnd"/>
      <w:r w:rsidR="00520988">
        <w:rPr>
          <w:color w:val="000000"/>
        </w:rPr>
        <w:t>:</w:t>
      </w:r>
    </w:p>
    <w:p w:rsidR="0027275E" w:rsidRDefault="00FE74F4" w:rsidP="00045969">
      <w:pPr>
        <w:keepNext/>
        <w:numPr>
          <w:ilvl w:val="0"/>
          <w:numId w:val="18"/>
        </w:numPr>
        <w:tabs>
          <w:tab w:val="clear" w:pos="360"/>
        </w:tabs>
        <w:ind w:left="1134"/>
        <w:rPr>
          <w:color w:val="000000"/>
        </w:rPr>
      </w:pPr>
      <w:r>
        <w:rPr>
          <w:color w:val="000000"/>
        </w:rPr>
        <w:t>criminal history information</w:t>
      </w:r>
      <w:r w:rsidR="00441DFC">
        <w:rPr>
          <w:color w:val="000000"/>
        </w:rPr>
        <w:t xml:space="preserve"> which includes</w:t>
      </w:r>
      <w:r w:rsidR="00E80434">
        <w:rPr>
          <w:color w:val="000000"/>
        </w:rPr>
        <w:t xml:space="preserve">: </w:t>
      </w:r>
    </w:p>
    <w:p w:rsidR="00E80434" w:rsidRDefault="001D2830" w:rsidP="00520988">
      <w:pPr>
        <w:numPr>
          <w:ilvl w:val="2"/>
          <w:numId w:val="1"/>
        </w:numPr>
        <w:tabs>
          <w:tab w:val="clear" w:pos="2340"/>
        </w:tabs>
        <w:spacing w:before="60"/>
        <w:ind w:left="1701" w:hanging="539"/>
        <w:rPr>
          <w:color w:val="000000"/>
        </w:rPr>
      </w:pPr>
      <w:r>
        <w:rPr>
          <w:color w:val="000000"/>
        </w:rPr>
        <w:t xml:space="preserve">   </w:t>
      </w:r>
      <w:r w:rsidR="0024445D">
        <w:rPr>
          <w:color w:val="000000"/>
        </w:rPr>
        <w:t xml:space="preserve"> </w:t>
      </w:r>
      <w:r w:rsidR="00E80434" w:rsidRPr="00E80434">
        <w:rPr>
          <w:color w:val="000000"/>
        </w:rPr>
        <w:t>spent convictions;</w:t>
      </w:r>
    </w:p>
    <w:p w:rsidR="00F2272D" w:rsidRDefault="00E80434" w:rsidP="00520988">
      <w:pPr>
        <w:numPr>
          <w:ilvl w:val="2"/>
          <w:numId w:val="1"/>
        </w:numPr>
        <w:tabs>
          <w:tab w:val="clear" w:pos="2340"/>
        </w:tabs>
        <w:spacing w:before="60"/>
        <w:ind w:left="1701" w:hanging="539"/>
        <w:rPr>
          <w:color w:val="000000"/>
        </w:rPr>
      </w:pPr>
      <w:r w:rsidRPr="00E80434">
        <w:rPr>
          <w:color w:val="000000"/>
        </w:rPr>
        <w:t>pending charges</w:t>
      </w:r>
      <w:r w:rsidR="00483D7E">
        <w:rPr>
          <w:color w:val="000000"/>
        </w:rPr>
        <w:t>;</w:t>
      </w:r>
      <w:r w:rsidRPr="00E80434">
        <w:rPr>
          <w:color w:val="000000"/>
        </w:rPr>
        <w:t xml:space="preserve"> and </w:t>
      </w:r>
    </w:p>
    <w:p w:rsidR="00E80434" w:rsidRPr="00E80434" w:rsidRDefault="00F2272D" w:rsidP="00520988">
      <w:pPr>
        <w:numPr>
          <w:ilvl w:val="2"/>
          <w:numId w:val="1"/>
        </w:numPr>
        <w:tabs>
          <w:tab w:val="clear" w:pos="2340"/>
        </w:tabs>
        <w:spacing w:before="60"/>
        <w:ind w:left="1701" w:hanging="539"/>
        <w:rPr>
          <w:color w:val="000000"/>
        </w:rPr>
      </w:pPr>
      <w:r>
        <w:rPr>
          <w:color w:val="000000"/>
        </w:rPr>
        <w:t xml:space="preserve">except for Victoria, </w:t>
      </w:r>
      <w:r w:rsidR="00E80434" w:rsidRPr="00E80434">
        <w:rPr>
          <w:color w:val="000000"/>
        </w:rPr>
        <w:t>non-conviction charges, including acquittals and withdrawn charges</w:t>
      </w:r>
      <w:r w:rsidR="00705D84">
        <w:rPr>
          <w:color w:val="000000"/>
        </w:rPr>
        <w:t xml:space="preserve">; </w:t>
      </w:r>
      <w:r>
        <w:rPr>
          <w:color w:val="000000"/>
        </w:rPr>
        <w:t xml:space="preserve">and </w:t>
      </w:r>
    </w:p>
    <w:p w:rsidR="0027275E" w:rsidRDefault="00F2272D" w:rsidP="00045969">
      <w:pPr>
        <w:numPr>
          <w:ilvl w:val="0"/>
          <w:numId w:val="18"/>
        </w:numPr>
        <w:tabs>
          <w:tab w:val="clear" w:pos="360"/>
        </w:tabs>
        <w:spacing w:before="120"/>
        <w:ind w:left="1134" w:hanging="357"/>
        <w:rPr>
          <w:color w:val="000000"/>
        </w:rPr>
      </w:pPr>
      <w:proofErr w:type="gramStart"/>
      <w:r>
        <w:rPr>
          <w:color w:val="000000"/>
        </w:rPr>
        <w:t>further</w:t>
      </w:r>
      <w:proofErr w:type="gramEnd"/>
      <w:r>
        <w:rPr>
          <w:color w:val="000000"/>
        </w:rPr>
        <w:t xml:space="preserve"> information </w:t>
      </w:r>
      <w:r w:rsidR="005F4656">
        <w:rPr>
          <w:color w:val="000000"/>
        </w:rPr>
        <w:t xml:space="preserve">held by a police service </w:t>
      </w:r>
      <w:r w:rsidR="00366827">
        <w:rPr>
          <w:color w:val="000000"/>
        </w:rPr>
        <w:t xml:space="preserve">to clarify </w:t>
      </w:r>
      <w:r>
        <w:rPr>
          <w:color w:val="000000"/>
        </w:rPr>
        <w:t>the circumstances of the offence or alleged offence</w:t>
      </w:r>
      <w:r w:rsidR="00E80434" w:rsidRPr="00E80434">
        <w:rPr>
          <w:color w:val="000000"/>
        </w:rPr>
        <w:t xml:space="preserve">, </w:t>
      </w:r>
      <w:r w:rsidR="00766E7C">
        <w:rPr>
          <w:color w:val="000000"/>
        </w:rPr>
        <w:t xml:space="preserve">such as whether the offence involved a </w:t>
      </w:r>
      <w:r w:rsidR="00E80434" w:rsidRPr="00E80434">
        <w:rPr>
          <w:color w:val="000000"/>
        </w:rPr>
        <w:t>child</w:t>
      </w:r>
      <w:r w:rsidR="004746CC">
        <w:rPr>
          <w:color w:val="000000"/>
        </w:rPr>
        <w:t>,</w:t>
      </w:r>
      <w:r w:rsidR="00E80434" w:rsidRPr="00E80434">
        <w:rPr>
          <w:color w:val="000000"/>
        </w:rPr>
        <w:t xml:space="preserve"> </w:t>
      </w:r>
      <w:r w:rsidR="004746CC">
        <w:rPr>
          <w:color w:val="000000"/>
        </w:rPr>
        <w:t xml:space="preserve">if requested by an </w:t>
      </w:r>
      <w:r w:rsidR="00322251">
        <w:rPr>
          <w:color w:val="000000"/>
        </w:rPr>
        <w:t xml:space="preserve">interjurisdictional </w:t>
      </w:r>
      <w:r w:rsidR="004746CC">
        <w:rPr>
          <w:color w:val="000000"/>
        </w:rPr>
        <w:t>employment screening unit.</w:t>
      </w:r>
    </w:p>
    <w:p w:rsidR="00A763C8" w:rsidRDefault="00A763C8" w:rsidP="00A763C8">
      <w:pPr>
        <w:numPr>
          <w:ilvl w:val="0"/>
          <w:numId w:val="1"/>
        </w:numPr>
        <w:rPr>
          <w:color w:val="000000"/>
        </w:rPr>
      </w:pPr>
      <w:r>
        <w:rPr>
          <w:color w:val="000000"/>
        </w:rPr>
        <w:t xml:space="preserve">Prior to the </w:t>
      </w:r>
      <w:r w:rsidR="004746CC">
        <w:rPr>
          <w:color w:val="000000"/>
        </w:rPr>
        <w:t xml:space="preserve">commencement of </w:t>
      </w:r>
      <w:r w:rsidR="00D641CC">
        <w:rPr>
          <w:color w:val="000000"/>
        </w:rPr>
        <w:t>the Exchange</w:t>
      </w:r>
      <w:r>
        <w:rPr>
          <w:color w:val="000000"/>
        </w:rPr>
        <w:t xml:space="preserve"> </w:t>
      </w:r>
      <w:r w:rsidR="00B571D0">
        <w:rPr>
          <w:color w:val="000000"/>
        </w:rPr>
        <w:t>under the M</w:t>
      </w:r>
      <w:r w:rsidR="00955785">
        <w:rPr>
          <w:color w:val="000000"/>
        </w:rPr>
        <w:t>O</w:t>
      </w:r>
      <w:r w:rsidR="00B571D0">
        <w:rPr>
          <w:color w:val="000000"/>
        </w:rPr>
        <w:t>U</w:t>
      </w:r>
      <w:r>
        <w:rPr>
          <w:color w:val="000000"/>
        </w:rPr>
        <w:t>, t</w:t>
      </w:r>
      <w:r w:rsidRPr="00FA5B0F">
        <w:rPr>
          <w:color w:val="000000"/>
        </w:rPr>
        <w:t>he cri</w:t>
      </w:r>
      <w:r>
        <w:rPr>
          <w:color w:val="000000"/>
        </w:rPr>
        <w:t xml:space="preserve">minal history information </w:t>
      </w:r>
      <w:r w:rsidRPr="00FA5B0F">
        <w:rPr>
          <w:color w:val="000000"/>
        </w:rPr>
        <w:t xml:space="preserve">considered by Australian </w:t>
      </w:r>
      <w:r w:rsidR="00077141">
        <w:rPr>
          <w:color w:val="000000"/>
        </w:rPr>
        <w:t>child-related</w:t>
      </w:r>
      <w:r w:rsidRPr="00FA5B0F">
        <w:rPr>
          <w:color w:val="000000"/>
        </w:rPr>
        <w:t xml:space="preserve"> employment screening units </w:t>
      </w:r>
      <w:r>
        <w:rPr>
          <w:color w:val="000000"/>
        </w:rPr>
        <w:t>wa</w:t>
      </w:r>
      <w:r w:rsidRPr="00FA5B0F">
        <w:rPr>
          <w:color w:val="000000"/>
        </w:rPr>
        <w:t xml:space="preserve">s </w:t>
      </w:r>
      <w:r>
        <w:rPr>
          <w:color w:val="000000"/>
        </w:rPr>
        <w:t xml:space="preserve">typically </w:t>
      </w:r>
      <w:r w:rsidRPr="00FA5B0F">
        <w:rPr>
          <w:color w:val="000000"/>
        </w:rPr>
        <w:t xml:space="preserve">extensive when sourced </w:t>
      </w:r>
      <w:proofErr w:type="spellStart"/>
      <w:r w:rsidRPr="00FA5B0F">
        <w:rPr>
          <w:color w:val="000000"/>
        </w:rPr>
        <w:t>i</w:t>
      </w:r>
      <w:r w:rsidR="000F5B46">
        <w:rPr>
          <w:color w:val="000000"/>
        </w:rPr>
        <w:t>nt</w:t>
      </w:r>
      <w:r w:rsidR="00D71BBC">
        <w:rPr>
          <w:color w:val="000000"/>
        </w:rPr>
        <w:t>ra</w:t>
      </w:r>
      <w:r>
        <w:rPr>
          <w:color w:val="000000"/>
        </w:rPr>
        <w:t>jurisdictionally</w:t>
      </w:r>
      <w:proofErr w:type="spellEnd"/>
      <w:r w:rsidR="001D2830">
        <w:rPr>
          <w:color w:val="000000"/>
        </w:rPr>
        <w:t>,</w:t>
      </w:r>
      <w:r>
        <w:rPr>
          <w:color w:val="000000"/>
        </w:rPr>
        <w:t xml:space="preserve"> </w:t>
      </w:r>
      <w:r w:rsidRPr="00FA5B0F">
        <w:rPr>
          <w:color w:val="000000"/>
        </w:rPr>
        <w:t xml:space="preserve">but </w:t>
      </w:r>
      <w:r w:rsidR="00D71BBC">
        <w:rPr>
          <w:color w:val="000000"/>
        </w:rPr>
        <w:t xml:space="preserve">was </w:t>
      </w:r>
      <w:r w:rsidRPr="00FA5B0F">
        <w:rPr>
          <w:color w:val="000000"/>
        </w:rPr>
        <w:t xml:space="preserve">limited </w:t>
      </w:r>
      <w:r w:rsidR="002C045D">
        <w:rPr>
          <w:color w:val="000000"/>
        </w:rPr>
        <w:t xml:space="preserve">primarily to unspent convictions </w:t>
      </w:r>
      <w:r w:rsidRPr="00FA5B0F">
        <w:rPr>
          <w:color w:val="000000"/>
        </w:rPr>
        <w:t>when sourced from other</w:t>
      </w:r>
      <w:r>
        <w:rPr>
          <w:color w:val="000000"/>
        </w:rPr>
        <w:t xml:space="preserve"> jurisdictions. </w:t>
      </w:r>
      <w:r w:rsidRPr="005C4BFD">
        <w:rPr>
          <w:color w:val="000000"/>
        </w:rPr>
        <w:t>Given the population’s increasing mobility across st</w:t>
      </w:r>
      <w:r>
        <w:rPr>
          <w:color w:val="000000"/>
        </w:rPr>
        <w:t>ate and territory borders, this inconsistency</w:t>
      </w:r>
      <w:r w:rsidRPr="005C4BFD">
        <w:rPr>
          <w:color w:val="000000"/>
        </w:rPr>
        <w:t xml:space="preserve"> </w:t>
      </w:r>
      <w:r>
        <w:rPr>
          <w:color w:val="000000"/>
        </w:rPr>
        <w:t xml:space="preserve">had </w:t>
      </w:r>
      <w:r w:rsidRPr="005C4BFD">
        <w:rPr>
          <w:color w:val="000000"/>
        </w:rPr>
        <w:t>the potential to co</w:t>
      </w:r>
      <w:r>
        <w:rPr>
          <w:color w:val="000000"/>
        </w:rPr>
        <w:t xml:space="preserve">mpromise the integrity of </w:t>
      </w:r>
      <w:r w:rsidR="00077141">
        <w:rPr>
          <w:color w:val="000000"/>
        </w:rPr>
        <w:t>child-related</w:t>
      </w:r>
      <w:r w:rsidRPr="005C4BFD">
        <w:rPr>
          <w:color w:val="000000"/>
        </w:rPr>
        <w:t xml:space="preserve"> employment screening.</w:t>
      </w:r>
    </w:p>
    <w:p w:rsidR="0024445D" w:rsidRPr="00A763C8" w:rsidRDefault="00077141" w:rsidP="00A763C8">
      <w:pPr>
        <w:numPr>
          <w:ilvl w:val="0"/>
          <w:numId w:val="1"/>
        </w:numPr>
        <w:rPr>
          <w:color w:val="000000"/>
        </w:rPr>
      </w:pPr>
      <w:r>
        <w:t>Child-related</w:t>
      </w:r>
      <w:r w:rsidR="00476CC7">
        <w:t xml:space="preserve"> employment screening units benefit from interjurisdictional provision of criminal history information and follow-up circumstances information because it better informs decisions about the risk of harm to children.</w:t>
      </w:r>
    </w:p>
    <w:p w:rsidR="00F207F2" w:rsidRDefault="00483D7E" w:rsidP="00F207F2">
      <w:pPr>
        <w:numPr>
          <w:ilvl w:val="0"/>
          <w:numId w:val="1"/>
        </w:numPr>
        <w:rPr>
          <w:color w:val="000000"/>
        </w:rPr>
      </w:pPr>
      <w:r>
        <w:rPr>
          <w:color w:val="000000"/>
        </w:rPr>
        <w:t xml:space="preserve">COAG </w:t>
      </w:r>
      <w:r w:rsidR="00F207F2">
        <w:rPr>
          <w:color w:val="000000"/>
        </w:rPr>
        <w:t>acknowledge</w:t>
      </w:r>
      <w:r>
        <w:rPr>
          <w:color w:val="000000"/>
        </w:rPr>
        <w:t>s</w:t>
      </w:r>
      <w:r w:rsidR="00F207F2">
        <w:rPr>
          <w:color w:val="000000"/>
        </w:rPr>
        <w:t xml:space="preserve"> </w:t>
      </w:r>
      <w:r w:rsidR="00E80434" w:rsidRPr="00E80434">
        <w:rPr>
          <w:color w:val="000000"/>
        </w:rPr>
        <w:t xml:space="preserve">the sensitive nature </w:t>
      </w:r>
      <w:r w:rsidR="00F207F2">
        <w:rPr>
          <w:color w:val="000000"/>
        </w:rPr>
        <w:t xml:space="preserve">of criminal history information </w:t>
      </w:r>
      <w:r w:rsidR="00E80434" w:rsidRPr="00E80434">
        <w:rPr>
          <w:color w:val="000000"/>
        </w:rPr>
        <w:t xml:space="preserve">and </w:t>
      </w:r>
      <w:r w:rsidR="00F207F2">
        <w:rPr>
          <w:color w:val="000000"/>
        </w:rPr>
        <w:t xml:space="preserve">the </w:t>
      </w:r>
      <w:r w:rsidR="00E80434" w:rsidRPr="00E80434">
        <w:rPr>
          <w:color w:val="000000"/>
        </w:rPr>
        <w:t xml:space="preserve">potential </w:t>
      </w:r>
      <w:r w:rsidR="00B571D0">
        <w:rPr>
          <w:color w:val="000000"/>
        </w:rPr>
        <w:t xml:space="preserve">that </w:t>
      </w:r>
      <w:r w:rsidR="00F207F2">
        <w:rPr>
          <w:color w:val="000000"/>
        </w:rPr>
        <w:t xml:space="preserve">its provision </w:t>
      </w:r>
      <w:r w:rsidR="00B571D0">
        <w:rPr>
          <w:color w:val="000000"/>
        </w:rPr>
        <w:t xml:space="preserve">has </w:t>
      </w:r>
      <w:r w:rsidR="00E80434" w:rsidRPr="00E80434">
        <w:rPr>
          <w:color w:val="000000"/>
        </w:rPr>
        <w:t xml:space="preserve">to </w:t>
      </w:r>
      <w:r w:rsidR="0023577B" w:rsidRPr="00E80434">
        <w:rPr>
          <w:color w:val="000000"/>
        </w:rPr>
        <w:t xml:space="preserve">adversely </w:t>
      </w:r>
      <w:r w:rsidR="00B30DBB">
        <w:rPr>
          <w:color w:val="000000"/>
        </w:rPr>
        <w:t>a</w:t>
      </w:r>
      <w:r w:rsidR="00F207F2">
        <w:rPr>
          <w:color w:val="000000"/>
        </w:rPr>
        <w:t xml:space="preserve">ffect </w:t>
      </w:r>
      <w:r w:rsidR="00F207F2" w:rsidRPr="005C1E4C">
        <w:rPr>
          <w:color w:val="000000"/>
        </w:rPr>
        <w:t xml:space="preserve">individuals’ rights to rehabilitation, privacy, paid employment and the freedom to participate in their community as volunteers. </w:t>
      </w:r>
      <w:r w:rsidR="00B571D0">
        <w:rPr>
          <w:color w:val="000000"/>
        </w:rPr>
        <w:t xml:space="preserve">Those potential </w:t>
      </w:r>
      <w:r w:rsidR="00F207F2" w:rsidRPr="005C1E4C">
        <w:rPr>
          <w:color w:val="000000"/>
        </w:rPr>
        <w:t xml:space="preserve">implications are particularly acute when the criminal history information </w:t>
      </w:r>
      <w:r w:rsidR="005C1E4C">
        <w:rPr>
          <w:color w:val="000000"/>
        </w:rPr>
        <w:t xml:space="preserve">is an acquittal, or untested information, such as pending or withdrawn charges, or </w:t>
      </w:r>
      <w:r w:rsidR="005C1E4C" w:rsidRPr="005C1E4C">
        <w:rPr>
          <w:color w:val="000000"/>
        </w:rPr>
        <w:t xml:space="preserve">relates to </w:t>
      </w:r>
      <w:r w:rsidR="00A3588A">
        <w:rPr>
          <w:color w:val="000000"/>
        </w:rPr>
        <w:t xml:space="preserve">offences </w:t>
      </w:r>
      <w:r w:rsidR="005C1E4C" w:rsidRPr="005C1E4C">
        <w:rPr>
          <w:color w:val="000000"/>
        </w:rPr>
        <w:t>alleged</w:t>
      </w:r>
      <w:r w:rsidR="00A3588A">
        <w:rPr>
          <w:color w:val="000000"/>
        </w:rPr>
        <w:t>ly</w:t>
      </w:r>
      <w:r w:rsidR="005C1E4C" w:rsidRPr="005C1E4C">
        <w:rPr>
          <w:color w:val="000000"/>
        </w:rPr>
        <w:t xml:space="preserve"> </w:t>
      </w:r>
      <w:r w:rsidR="00A3588A">
        <w:rPr>
          <w:color w:val="000000"/>
        </w:rPr>
        <w:t xml:space="preserve">committed </w:t>
      </w:r>
      <w:r w:rsidR="005C1E4C" w:rsidRPr="005C1E4C">
        <w:rPr>
          <w:color w:val="000000"/>
        </w:rPr>
        <w:t>by the person when they were a juvenile</w:t>
      </w:r>
      <w:r w:rsidR="00F207F2" w:rsidRPr="005C1E4C">
        <w:rPr>
          <w:color w:val="000000"/>
        </w:rPr>
        <w:t>.</w:t>
      </w:r>
    </w:p>
    <w:p w:rsidR="00FF7094" w:rsidRDefault="005C1E4C" w:rsidP="00FF7094">
      <w:pPr>
        <w:numPr>
          <w:ilvl w:val="0"/>
          <w:numId w:val="1"/>
        </w:numPr>
        <w:rPr>
          <w:color w:val="000000"/>
        </w:rPr>
      </w:pPr>
      <w:r>
        <w:rPr>
          <w:color w:val="000000"/>
        </w:rPr>
        <w:t xml:space="preserve">Accordingly, </w:t>
      </w:r>
      <w:r w:rsidR="002E5C3B">
        <w:rPr>
          <w:color w:val="000000"/>
        </w:rPr>
        <w:t xml:space="preserve">in order </w:t>
      </w:r>
      <w:r>
        <w:rPr>
          <w:color w:val="000000"/>
        </w:rPr>
        <w:t xml:space="preserve">to participate in </w:t>
      </w:r>
      <w:r w:rsidR="00D641CC">
        <w:rPr>
          <w:color w:val="000000"/>
        </w:rPr>
        <w:t>the Exchange</w:t>
      </w:r>
      <w:r>
        <w:rPr>
          <w:color w:val="000000"/>
        </w:rPr>
        <w:t xml:space="preserve">, </w:t>
      </w:r>
      <w:r w:rsidR="00077141">
        <w:rPr>
          <w:color w:val="000000"/>
        </w:rPr>
        <w:t>child-related</w:t>
      </w:r>
      <w:r>
        <w:rPr>
          <w:color w:val="000000"/>
        </w:rPr>
        <w:t xml:space="preserve"> employment screening units </w:t>
      </w:r>
      <w:r w:rsidR="002E5C3B">
        <w:rPr>
          <w:color w:val="000000"/>
        </w:rPr>
        <w:t xml:space="preserve">must conform </w:t>
      </w:r>
      <w:r w:rsidR="00077141">
        <w:rPr>
          <w:color w:val="000000"/>
        </w:rPr>
        <w:t xml:space="preserve">to </w:t>
      </w:r>
      <w:r w:rsidR="008C20CB">
        <w:rPr>
          <w:color w:val="000000"/>
        </w:rPr>
        <w:t xml:space="preserve">strict conditions on the </w:t>
      </w:r>
      <w:r w:rsidR="008C20CB">
        <w:t xml:space="preserve">receipt and use of the </w:t>
      </w:r>
      <w:r w:rsidR="00A3588A">
        <w:t xml:space="preserve">expanded range of criminal history </w:t>
      </w:r>
      <w:r w:rsidR="00366827">
        <w:t xml:space="preserve">shared </w:t>
      </w:r>
      <w:r w:rsidR="008C20CB">
        <w:t>information</w:t>
      </w:r>
      <w:r w:rsidR="008C20CB">
        <w:rPr>
          <w:color w:val="000000"/>
        </w:rPr>
        <w:t xml:space="preserve">. </w:t>
      </w:r>
      <w:r w:rsidR="008C20CB" w:rsidRPr="00195B9C">
        <w:rPr>
          <w:color w:val="000000"/>
          <w:spacing w:val="-2"/>
        </w:rPr>
        <w:t xml:space="preserve">These </w:t>
      </w:r>
      <w:r w:rsidR="002E5C3B" w:rsidRPr="00195B9C">
        <w:rPr>
          <w:color w:val="000000"/>
          <w:spacing w:val="-2"/>
        </w:rPr>
        <w:t>participation requirements</w:t>
      </w:r>
      <w:r w:rsidR="008C20CB" w:rsidRPr="00195B9C">
        <w:rPr>
          <w:color w:val="000000"/>
          <w:spacing w:val="-2"/>
        </w:rPr>
        <w:t xml:space="preserve"> </w:t>
      </w:r>
      <w:r w:rsidR="007E6793" w:rsidRPr="00195B9C">
        <w:rPr>
          <w:color w:val="000000"/>
          <w:spacing w:val="-2"/>
        </w:rPr>
        <w:t>ar</w:t>
      </w:r>
      <w:r w:rsidR="00483D7E" w:rsidRPr="00195B9C">
        <w:rPr>
          <w:color w:val="000000"/>
          <w:spacing w:val="-2"/>
        </w:rPr>
        <w:t xml:space="preserve">e </w:t>
      </w:r>
      <w:r w:rsidR="003D1F2A">
        <w:rPr>
          <w:color w:val="000000"/>
          <w:spacing w:val="-2"/>
        </w:rPr>
        <w:t>set out in Schedule 1 and referred to in clause 4.</w:t>
      </w:r>
      <w:r w:rsidR="00981BB0">
        <w:rPr>
          <w:color w:val="000000"/>
          <w:spacing w:val="-2"/>
        </w:rPr>
        <w:t>10</w:t>
      </w:r>
      <w:r w:rsidR="00483D7E" w:rsidRPr="00195B9C">
        <w:rPr>
          <w:color w:val="000000"/>
          <w:spacing w:val="-2"/>
        </w:rPr>
        <w:t>.</w:t>
      </w:r>
    </w:p>
    <w:p w:rsidR="000B4565" w:rsidRPr="0053241E" w:rsidRDefault="00545EFD" w:rsidP="0053241E">
      <w:pPr>
        <w:numPr>
          <w:ilvl w:val="0"/>
          <w:numId w:val="1"/>
        </w:numPr>
        <w:rPr>
          <w:color w:val="000000"/>
        </w:rPr>
      </w:pPr>
      <w:r>
        <w:rPr>
          <w:color w:val="000000"/>
        </w:rPr>
        <w:t xml:space="preserve">Parties </w:t>
      </w:r>
      <w:r w:rsidR="004B2E51">
        <w:rPr>
          <w:color w:val="000000"/>
        </w:rPr>
        <w:t xml:space="preserve">that </w:t>
      </w:r>
      <w:r>
        <w:rPr>
          <w:color w:val="000000"/>
        </w:rPr>
        <w:t>have</w:t>
      </w:r>
      <w:r w:rsidR="00FB53D4">
        <w:rPr>
          <w:color w:val="000000"/>
        </w:rPr>
        <w:t xml:space="preserve"> participating screenings units </w:t>
      </w:r>
      <w:r w:rsidR="00EC1A38">
        <w:rPr>
          <w:color w:val="000000"/>
        </w:rPr>
        <w:t>have</w:t>
      </w:r>
      <w:r w:rsidR="002233F2">
        <w:rPr>
          <w:color w:val="000000"/>
        </w:rPr>
        <w:t xml:space="preserve"> </w:t>
      </w:r>
      <w:r w:rsidR="0053241E" w:rsidRPr="0053241E">
        <w:rPr>
          <w:color w:val="000000"/>
        </w:rPr>
        <w:t xml:space="preserve">made the legislative and administrative changes necessary </w:t>
      </w:r>
      <w:r w:rsidR="00E3165B">
        <w:rPr>
          <w:color w:val="000000"/>
        </w:rPr>
        <w:t xml:space="preserve">to </w:t>
      </w:r>
      <w:r w:rsidR="0053241E" w:rsidRPr="0053241E">
        <w:rPr>
          <w:color w:val="000000"/>
        </w:rPr>
        <w:t>ensure compl</w:t>
      </w:r>
      <w:r w:rsidR="00FB53D4">
        <w:rPr>
          <w:color w:val="000000"/>
        </w:rPr>
        <w:t>iance</w:t>
      </w:r>
      <w:r w:rsidR="0053241E" w:rsidRPr="0053241E">
        <w:rPr>
          <w:color w:val="000000"/>
        </w:rPr>
        <w:t xml:space="preserve"> with the participation requirements</w:t>
      </w:r>
      <w:r w:rsidR="00EC1A38">
        <w:rPr>
          <w:color w:val="000000"/>
        </w:rPr>
        <w:t xml:space="preserve"> </w:t>
      </w:r>
      <w:r w:rsidR="00FB53D4">
        <w:rPr>
          <w:color w:val="000000"/>
        </w:rPr>
        <w:t>set out in Schedule 1.</w:t>
      </w:r>
      <w:r w:rsidR="0053241E">
        <w:rPr>
          <w:color w:val="000000"/>
        </w:rPr>
        <w:t xml:space="preserve"> </w:t>
      </w:r>
      <w:r w:rsidR="001D2830" w:rsidRPr="0053241E">
        <w:rPr>
          <w:color w:val="000000"/>
        </w:rPr>
        <w:t xml:space="preserve">Participating screening units included in Schedule 2 at the commencement of this agreement </w:t>
      </w:r>
      <w:r>
        <w:rPr>
          <w:color w:val="000000"/>
        </w:rPr>
        <w:t xml:space="preserve">have </w:t>
      </w:r>
      <w:r w:rsidR="001D2830" w:rsidRPr="0053241E">
        <w:rPr>
          <w:color w:val="000000"/>
        </w:rPr>
        <w:t xml:space="preserve">documented their compliance </w:t>
      </w:r>
      <w:r w:rsidR="00984021" w:rsidRPr="0053241E">
        <w:rPr>
          <w:color w:val="000000"/>
        </w:rPr>
        <w:t>with the participation requirements</w:t>
      </w:r>
      <w:r w:rsidR="00707596" w:rsidRPr="0053241E">
        <w:rPr>
          <w:color w:val="000000"/>
        </w:rPr>
        <w:t>.</w:t>
      </w:r>
      <w:r w:rsidR="0053241E" w:rsidRPr="0053241E">
        <w:rPr>
          <w:color w:val="000000"/>
        </w:rPr>
        <w:t xml:space="preserve"> </w:t>
      </w:r>
    </w:p>
    <w:p w:rsidR="006A3E39" w:rsidRDefault="00D641CC" w:rsidP="00856D98">
      <w:pPr>
        <w:numPr>
          <w:ilvl w:val="0"/>
          <w:numId w:val="1"/>
        </w:numPr>
        <w:rPr>
          <w:color w:val="000000"/>
        </w:rPr>
      </w:pPr>
      <w:r>
        <w:rPr>
          <w:color w:val="000000"/>
        </w:rPr>
        <w:t>The Exchange</w:t>
      </w:r>
      <w:r w:rsidR="00856D98" w:rsidRPr="006A3E39">
        <w:rPr>
          <w:color w:val="000000"/>
        </w:rPr>
        <w:t xml:space="preserve"> </w:t>
      </w:r>
      <w:r w:rsidR="0082322B" w:rsidRPr="006A3E39">
        <w:rPr>
          <w:color w:val="000000"/>
        </w:rPr>
        <w:t xml:space="preserve">does not require </w:t>
      </w:r>
      <w:r w:rsidR="006A3E39">
        <w:rPr>
          <w:color w:val="000000"/>
        </w:rPr>
        <w:t xml:space="preserve">uniformity in jurisdictions’ approaches to criminal history screening for </w:t>
      </w:r>
      <w:r w:rsidR="00077141">
        <w:rPr>
          <w:color w:val="000000"/>
        </w:rPr>
        <w:t>child-related</w:t>
      </w:r>
      <w:r w:rsidR="006A3E39">
        <w:rPr>
          <w:color w:val="000000"/>
        </w:rPr>
        <w:t xml:space="preserve"> employment</w:t>
      </w:r>
      <w:r w:rsidR="00366827">
        <w:rPr>
          <w:color w:val="000000"/>
        </w:rPr>
        <w:t>.</w:t>
      </w:r>
    </w:p>
    <w:p w:rsidR="00C16B62" w:rsidRDefault="00322251" w:rsidP="00C16B62">
      <w:pPr>
        <w:numPr>
          <w:ilvl w:val="0"/>
          <w:numId w:val="1"/>
        </w:numPr>
        <w:rPr>
          <w:color w:val="000000"/>
        </w:rPr>
      </w:pPr>
      <w:r>
        <w:rPr>
          <w:color w:val="000000"/>
        </w:rPr>
        <w:t>T</w:t>
      </w:r>
      <w:r w:rsidR="00D641CC">
        <w:rPr>
          <w:color w:val="000000"/>
        </w:rPr>
        <w:t>he Exchange</w:t>
      </w:r>
      <w:r>
        <w:rPr>
          <w:color w:val="000000"/>
        </w:rPr>
        <w:t xml:space="preserve"> is not</w:t>
      </w:r>
      <w:r w:rsidR="002B51A4">
        <w:rPr>
          <w:color w:val="000000"/>
        </w:rPr>
        <w:t xml:space="preserve"> intended to displace the existing arrangements that apply to police services’ provision of criminal history information for employment screening, </w:t>
      </w:r>
      <w:r w:rsidR="009B0866">
        <w:rPr>
          <w:color w:val="000000"/>
        </w:rPr>
        <w:t xml:space="preserve">conducted </w:t>
      </w:r>
      <w:r w:rsidR="002B51A4">
        <w:rPr>
          <w:color w:val="000000"/>
        </w:rPr>
        <w:t xml:space="preserve">through </w:t>
      </w:r>
      <w:r w:rsidR="003B27D0">
        <w:rPr>
          <w:color w:val="000000"/>
        </w:rPr>
        <w:t xml:space="preserve">the </w:t>
      </w:r>
      <w:r w:rsidR="002B51A4">
        <w:rPr>
          <w:color w:val="000000"/>
        </w:rPr>
        <w:t xml:space="preserve">National </w:t>
      </w:r>
      <w:r w:rsidR="009B0866">
        <w:rPr>
          <w:color w:val="000000"/>
        </w:rPr>
        <w:t>Police Check</w:t>
      </w:r>
      <w:r w:rsidR="00C133E0">
        <w:rPr>
          <w:color w:val="000000"/>
        </w:rPr>
        <w:t>ing</w:t>
      </w:r>
      <w:r w:rsidR="009B0866">
        <w:rPr>
          <w:color w:val="000000"/>
        </w:rPr>
        <w:t xml:space="preserve"> Service</w:t>
      </w:r>
      <w:r w:rsidR="002B51A4">
        <w:rPr>
          <w:color w:val="000000"/>
        </w:rPr>
        <w:t xml:space="preserve">. </w:t>
      </w:r>
    </w:p>
    <w:p w:rsidR="00102C82" w:rsidRDefault="00490516" w:rsidP="00705D84">
      <w:pPr>
        <w:keepNext/>
        <w:spacing w:before="480"/>
        <w:rPr>
          <w:b/>
          <w:bCs/>
          <w:color w:val="000000"/>
          <w:sz w:val="28"/>
          <w:szCs w:val="28"/>
        </w:rPr>
      </w:pPr>
      <w:r>
        <w:rPr>
          <w:b/>
          <w:bCs/>
          <w:color w:val="000000"/>
          <w:sz w:val="28"/>
          <w:szCs w:val="28"/>
        </w:rPr>
        <w:lastRenderedPageBreak/>
        <w:t>Operative p</w:t>
      </w:r>
      <w:r w:rsidR="00102C82">
        <w:rPr>
          <w:b/>
          <w:bCs/>
          <w:color w:val="000000"/>
          <w:sz w:val="28"/>
          <w:szCs w:val="28"/>
        </w:rPr>
        <w:t xml:space="preserve">rovisions: </w:t>
      </w:r>
    </w:p>
    <w:p w:rsidR="00102C82" w:rsidRPr="00E51B49" w:rsidRDefault="00102C82" w:rsidP="00A9325E">
      <w:pPr>
        <w:rPr>
          <w:color w:val="000000"/>
        </w:rPr>
      </w:pPr>
      <w:r w:rsidRPr="00E51B49">
        <w:rPr>
          <w:color w:val="000000"/>
        </w:rPr>
        <w:t xml:space="preserve">The Parties agree as follows: </w:t>
      </w:r>
    </w:p>
    <w:p w:rsidR="00B46B8B" w:rsidRPr="00B46B8B" w:rsidRDefault="00ED67EE" w:rsidP="00045969">
      <w:pPr>
        <w:pStyle w:val="Heading1"/>
        <w:numPr>
          <w:ilvl w:val="0"/>
          <w:numId w:val="10"/>
        </w:numPr>
        <w:spacing w:before="480"/>
        <w:rPr>
          <w:sz w:val="28"/>
          <w:szCs w:val="28"/>
        </w:rPr>
      </w:pPr>
      <w:r>
        <w:rPr>
          <w:sz w:val="28"/>
          <w:szCs w:val="28"/>
        </w:rPr>
        <w:t>O</w:t>
      </w:r>
      <w:r w:rsidR="002B3124">
        <w:rPr>
          <w:sz w:val="28"/>
          <w:szCs w:val="28"/>
        </w:rPr>
        <w:t>bjective</w:t>
      </w:r>
    </w:p>
    <w:p w:rsidR="00B46B8B" w:rsidRPr="001B45BB" w:rsidRDefault="00B46B8B" w:rsidP="00045969">
      <w:pPr>
        <w:pStyle w:val="NormalBlack"/>
        <w:numPr>
          <w:ilvl w:val="1"/>
          <w:numId w:val="11"/>
        </w:numPr>
        <w:ind w:left="540" w:hanging="540"/>
      </w:pPr>
      <w:r w:rsidRPr="001B45BB">
        <w:t xml:space="preserve">This </w:t>
      </w:r>
      <w:r w:rsidR="001D35E2" w:rsidRPr="001B45BB">
        <w:t xml:space="preserve">agreement </w:t>
      </w:r>
      <w:r w:rsidRPr="001B45BB">
        <w:t xml:space="preserve">sets out </w:t>
      </w:r>
      <w:r w:rsidR="00F05647" w:rsidRPr="001B45BB">
        <w:t xml:space="preserve">permanent </w:t>
      </w:r>
      <w:r w:rsidRPr="001B45BB">
        <w:t>arrangements f</w:t>
      </w:r>
      <w:r w:rsidR="00BE1218" w:rsidRPr="001B45BB">
        <w:t>or the national</w:t>
      </w:r>
      <w:r w:rsidRPr="001B45BB">
        <w:t xml:space="preserve"> exchange of criminal history information for people working with children</w:t>
      </w:r>
      <w:r w:rsidR="00347975" w:rsidRPr="001B45BB">
        <w:t xml:space="preserve">, </w:t>
      </w:r>
      <w:r w:rsidRPr="001B45BB">
        <w:t>to better protect children from harm.</w:t>
      </w:r>
      <w:r w:rsidR="00AD241C" w:rsidRPr="001B45BB">
        <w:t xml:space="preserve"> </w:t>
      </w:r>
    </w:p>
    <w:p w:rsidR="00102C82" w:rsidRPr="004F4124" w:rsidRDefault="00AE0452" w:rsidP="00045969">
      <w:pPr>
        <w:pStyle w:val="Heading1"/>
        <w:numPr>
          <w:ilvl w:val="0"/>
          <w:numId w:val="11"/>
        </w:numPr>
        <w:tabs>
          <w:tab w:val="clear" w:pos="360"/>
        </w:tabs>
        <w:spacing w:before="480"/>
        <w:ind w:left="540" w:hanging="540"/>
        <w:rPr>
          <w:sz w:val="28"/>
          <w:szCs w:val="28"/>
        </w:rPr>
      </w:pPr>
      <w:r w:rsidRPr="004F4124">
        <w:rPr>
          <w:sz w:val="28"/>
          <w:szCs w:val="28"/>
        </w:rPr>
        <w:t>Definitions</w:t>
      </w:r>
    </w:p>
    <w:p w:rsidR="00E51B49" w:rsidRPr="00E51B49" w:rsidRDefault="00AE0452" w:rsidP="00045969">
      <w:pPr>
        <w:pStyle w:val="NormalBlack"/>
        <w:numPr>
          <w:ilvl w:val="1"/>
          <w:numId w:val="11"/>
        </w:numPr>
        <w:ind w:left="540" w:hanging="540"/>
      </w:pPr>
      <w:r w:rsidRPr="00E51B49">
        <w:t xml:space="preserve">In this </w:t>
      </w:r>
      <w:r w:rsidR="00D71BBC">
        <w:t>agreement</w:t>
      </w:r>
      <w:r w:rsidRPr="00E51B49">
        <w:t xml:space="preserve">, unless a contrary intention </w:t>
      </w:r>
      <w:r w:rsidR="00366827">
        <w:t>appears</w:t>
      </w:r>
      <w:r w:rsidRPr="00E51B49">
        <w:t>:</w:t>
      </w:r>
    </w:p>
    <w:p w:rsidR="007E6793" w:rsidRDefault="007E6793" w:rsidP="00E51B49">
      <w:pPr>
        <w:rPr>
          <w:color w:val="000000"/>
        </w:rPr>
      </w:pPr>
      <w:r w:rsidRPr="007E6793">
        <w:rPr>
          <w:b/>
          <w:color w:val="000000"/>
        </w:rPr>
        <w:t>“Child”</w:t>
      </w:r>
      <w:r w:rsidRPr="007E6793">
        <w:rPr>
          <w:color w:val="000000"/>
        </w:rPr>
        <w:t xml:space="preserve"> means a person </w:t>
      </w:r>
      <w:r w:rsidR="00490516" w:rsidRPr="007E6793">
        <w:rPr>
          <w:color w:val="000000"/>
        </w:rPr>
        <w:t>less than</w:t>
      </w:r>
      <w:r w:rsidRPr="007E6793">
        <w:rPr>
          <w:color w:val="000000"/>
        </w:rPr>
        <w:t xml:space="preserve"> 18 years of age. </w:t>
      </w:r>
    </w:p>
    <w:p w:rsidR="00DF0866" w:rsidRPr="007E6793" w:rsidRDefault="00DF0866" w:rsidP="00DF0866">
      <w:pPr>
        <w:rPr>
          <w:color w:val="000000"/>
        </w:rPr>
      </w:pPr>
      <w:r>
        <w:rPr>
          <w:b/>
          <w:color w:val="000000"/>
        </w:rPr>
        <w:t>“</w:t>
      </w:r>
      <w:r w:rsidR="00077141">
        <w:rPr>
          <w:b/>
          <w:color w:val="000000"/>
        </w:rPr>
        <w:t>Child-related</w:t>
      </w:r>
      <w:r w:rsidRPr="00E652B7">
        <w:rPr>
          <w:b/>
          <w:color w:val="000000"/>
        </w:rPr>
        <w:t xml:space="preserve"> employment screening</w:t>
      </w:r>
      <w:r>
        <w:rPr>
          <w:b/>
          <w:color w:val="000000"/>
        </w:rPr>
        <w:t>”</w:t>
      </w:r>
      <w:r w:rsidRPr="007E6793">
        <w:rPr>
          <w:color w:val="000000"/>
        </w:rPr>
        <w:t xml:space="preserve"> means </w:t>
      </w:r>
      <w:r>
        <w:rPr>
          <w:color w:val="000000"/>
        </w:rPr>
        <w:t xml:space="preserve">using information about a person </w:t>
      </w:r>
      <w:r w:rsidR="00B571D0">
        <w:rPr>
          <w:color w:val="000000"/>
        </w:rPr>
        <w:t xml:space="preserve">who works, or seeks to work, with children </w:t>
      </w:r>
      <w:r>
        <w:rPr>
          <w:color w:val="000000"/>
        </w:rPr>
        <w:t xml:space="preserve">in a way that is authorised or required under a law of a jurisdiction </w:t>
      </w:r>
      <w:r w:rsidR="00B571D0">
        <w:rPr>
          <w:color w:val="000000"/>
        </w:rPr>
        <w:t xml:space="preserve">for the purpose of </w:t>
      </w:r>
      <w:r w:rsidR="00B30DBB">
        <w:rPr>
          <w:color w:val="000000"/>
        </w:rPr>
        <w:t>assessing the</w:t>
      </w:r>
      <w:r w:rsidR="00EC1A38">
        <w:rPr>
          <w:color w:val="000000"/>
        </w:rPr>
        <w:t xml:space="preserve"> risk to the sa</w:t>
      </w:r>
      <w:r w:rsidR="00322251">
        <w:rPr>
          <w:color w:val="000000"/>
        </w:rPr>
        <w:t xml:space="preserve">fety of children posed by that </w:t>
      </w:r>
      <w:r w:rsidR="00EC1A38">
        <w:rPr>
          <w:color w:val="000000"/>
        </w:rPr>
        <w:t>person working with children</w:t>
      </w:r>
      <w:r w:rsidR="00B30DBB">
        <w:rPr>
          <w:color w:val="000000"/>
        </w:rPr>
        <w:t>.</w:t>
      </w:r>
      <w:r>
        <w:rPr>
          <w:color w:val="000000"/>
        </w:rPr>
        <w:t xml:space="preserve"> </w:t>
      </w:r>
    </w:p>
    <w:p w:rsidR="004C6803" w:rsidRDefault="004C6803" w:rsidP="00DF0866">
      <w:r>
        <w:rPr>
          <w:b/>
        </w:rPr>
        <w:t>“</w:t>
      </w:r>
      <w:r w:rsidR="00F97DE1">
        <w:rPr>
          <w:b/>
        </w:rPr>
        <w:t>C</w:t>
      </w:r>
      <w:r w:rsidR="00C138B1">
        <w:rPr>
          <w:b/>
        </w:rPr>
        <w:t xml:space="preserve">ircumstances </w:t>
      </w:r>
      <w:r>
        <w:rPr>
          <w:b/>
        </w:rPr>
        <w:t>information”</w:t>
      </w:r>
      <w:r>
        <w:t xml:space="preserve"> has the meaning given to that </w:t>
      </w:r>
      <w:r w:rsidR="00563482">
        <w:t>term</w:t>
      </w:r>
      <w:r>
        <w:t xml:space="preserve"> in clause</w:t>
      </w:r>
      <w:r w:rsidR="00005F6C">
        <w:t xml:space="preserve"> </w:t>
      </w:r>
      <w:r w:rsidR="00A9777B">
        <w:fldChar w:fldCharType="begin"/>
      </w:r>
      <w:r w:rsidR="00005F6C">
        <w:instrText xml:space="preserve"> REF _Ref328668291 \r \h </w:instrText>
      </w:r>
      <w:r w:rsidR="00A9777B">
        <w:fldChar w:fldCharType="separate"/>
      </w:r>
      <w:r w:rsidR="005578FA">
        <w:t>4.4</w:t>
      </w:r>
      <w:r w:rsidR="00A9777B">
        <w:fldChar w:fldCharType="end"/>
      </w:r>
      <w:r>
        <w:t>.</w:t>
      </w:r>
    </w:p>
    <w:p w:rsidR="00476CC7" w:rsidRDefault="00476CC7" w:rsidP="00DF0866">
      <w:pPr>
        <w:rPr>
          <w:b/>
          <w:color w:val="000000"/>
        </w:rPr>
      </w:pPr>
      <w:r>
        <w:rPr>
          <w:b/>
          <w:color w:val="000000"/>
        </w:rPr>
        <w:t xml:space="preserve">“COAG Senior Officials” </w:t>
      </w:r>
      <w:r w:rsidRPr="00551D08">
        <w:rPr>
          <w:color w:val="000000"/>
        </w:rPr>
        <w:t xml:space="preserve">means </w:t>
      </w:r>
      <w:r w:rsidR="00216155" w:rsidRPr="00551D08">
        <w:rPr>
          <w:color w:val="000000"/>
        </w:rPr>
        <w:t>the H</w:t>
      </w:r>
      <w:r w:rsidRPr="00551D08">
        <w:rPr>
          <w:color w:val="000000"/>
        </w:rPr>
        <w:t>eads of State and Territory First Ministers</w:t>
      </w:r>
      <w:r w:rsidR="00DE28A5" w:rsidRPr="00551D08">
        <w:rPr>
          <w:color w:val="000000"/>
        </w:rPr>
        <w:t xml:space="preserve"> Departments or their delegates.</w:t>
      </w:r>
    </w:p>
    <w:p w:rsidR="00DF0866" w:rsidRDefault="00DF0866" w:rsidP="008D137D">
      <w:pPr>
        <w:rPr>
          <w:color w:val="000000"/>
        </w:rPr>
      </w:pPr>
      <w:r>
        <w:rPr>
          <w:b/>
          <w:color w:val="000000"/>
        </w:rPr>
        <w:t>“</w:t>
      </w:r>
      <w:r w:rsidRPr="007E6793">
        <w:rPr>
          <w:b/>
          <w:color w:val="000000"/>
        </w:rPr>
        <w:t>Conviction</w:t>
      </w:r>
      <w:r>
        <w:rPr>
          <w:b/>
          <w:color w:val="000000"/>
        </w:rPr>
        <w:t>”</w:t>
      </w:r>
      <w:r w:rsidRPr="007E6793">
        <w:rPr>
          <w:color w:val="000000"/>
        </w:rPr>
        <w:t xml:space="preserve"> </w:t>
      </w:r>
      <w:r w:rsidR="008D137D">
        <w:rPr>
          <w:color w:val="000000"/>
        </w:rPr>
        <w:t>means</w:t>
      </w:r>
      <w:r w:rsidRPr="007E6793">
        <w:rPr>
          <w:color w:val="000000"/>
        </w:rPr>
        <w:t xml:space="preserve"> any recorded or un-recorded conviction or finding of guilt for a criminal offence </w:t>
      </w:r>
      <w:r w:rsidR="00341630" w:rsidRPr="00630AC5">
        <w:rPr>
          <w:color w:val="000000"/>
        </w:rPr>
        <w:t>or acceptance of a plea of guilty by a court</w:t>
      </w:r>
      <w:r w:rsidR="005508B7">
        <w:rPr>
          <w:color w:val="000000"/>
        </w:rPr>
        <w:t xml:space="preserve"> </w:t>
      </w:r>
      <w:r w:rsidRPr="007E6793">
        <w:rPr>
          <w:color w:val="000000"/>
        </w:rPr>
        <w:t xml:space="preserve">(whether the person was dealt with as an adult or a child). </w:t>
      </w:r>
      <w:r w:rsidR="00272DC5">
        <w:rPr>
          <w:color w:val="000000"/>
        </w:rPr>
        <w:t>A conviction includes a conviction for which a pardon has been granted.</w:t>
      </w:r>
      <w:r w:rsidRPr="007E6793">
        <w:rPr>
          <w:color w:val="000000"/>
        </w:rPr>
        <w:t xml:space="preserve"> Depending on context, conviction can also include an outcome of a mental health proceeding in relation to a criminal offence. </w:t>
      </w:r>
    </w:p>
    <w:p w:rsidR="00A37F95" w:rsidRPr="007E6793" w:rsidRDefault="00A37F95" w:rsidP="00A37F95">
      <w:pPr>
        <w:rPr>
          <w:color w:val="000000"/>
        </w:rPr>
      </w:pPr>
      <w:r w:rsidRPr="00E652B7">
        <w:rPr>
          <w:b/>
          <w:color w:val="000000"/>
        </w:rPr>
        <w:t>“Criminal offence”</w:t>
      </w:r>
      <w:r w:rsidRPr="007E6793">
        <w:rPr>
          <w:color w:val="000000"/>
        </w:rPr>
        <w:t xml:space="preserve"> means an offence punishable</w:t>
      </w:r>
      <w:r>
        <w:rPr>
          <w:color w:val="000000"/>
        </w:rPr>
        <w:t xml:space="preserve"> by law</w:t>
      </w:r>
      <w:r w:rsidR="00272DC5">
        <w:rPr>
          <w:color w:val="000000"/>
        </w:rPr>
        <w:t xml:space="preserve"> as defined in each jurisdiction.</w:t>
      </w:r>
      <w:r>
        <w:rPr>
          <w:color w:val="000000"/>
        </w:rPr>
        <w:t xml:space="preserve">  </w:t>
      </w:r>
    </w:p>
    <w:p w:rsidR="00DF0866" w:rsidRDefault="00DF0866" w:rsidP="00A37F95">
      <w:pPr>
        <w:rPr>
          <w:color w:val="000000"/>
        </w:rPr>
      </w:pPr>
      <w:r>
        <w:rPr>
          <w:b/>
          <w:color w:val="000000"/>
        </w:rPr>
        <w:t xml:space="preserve">“CrimTrac” </w:t>
      </w:r>
      <w:r>
        <w:rPr>
          <w:color w:val="000000"/>
        </w:rPr>
        <w:t xml:space="preserve">means the CrimTrac Agency, an </w:t>
      </w:r>
      <w:r w:rsidRPr="00E51B49">
        <w:rPr>
          <w:color w:val="000000"/>
        </w:rPr>
        <w:t xml:space="preserve">Executive Agency established under section 65 of the </w:t>
      </w:r>
      <w:r w:rsidRPr="00E51B49">
        <w:rPr>
          <w:i/>
          <w:color w:val="000000"/>
        </w:rPr>
        <w:t>Public Service Act 1999</w:t>
      </w:r>
      <w:r w:rsidRPr="00E51B49">
        <w:rPr>
          <w:color w:val="000000"/>
        </w:rPr>
        <w:t xml:space="preserve"> (Cth) (ABN 171 93 904 699)</w:t>
      </w:r>
      <w:r>
        <w:rPr>
          <w:color w:val="000000"/>
        </w:rPr>
        <w:t>.</w:t>
      </w:r>
    </w:p>
    <w:p w:rsidR="00C138B1" w:rsidRDefault="00F97DE1" w:rsidP="00A37F95">
      <w:pPr>
        <w:rPr>
          <w:b/>
          <w:color w:val="000000"/>
        </w:rPr>
      </w:pPr>
      <w:r>
        <w:rPr>
          <w:b/>
        </w:rPr>
        <w:t>“D</w:t>
      </w:r>
      <w:r w:rsidR="00C138B1" w:rsidRPr="00F50303">
        <w:rPr>
          <w:b/>
        </w:rPr>
        <w:t>ual function participating screening units”</w:t>
      </w:r>
      <w:r w:rsidR="00C138B1" w:rsidRPr="007E5F50">
        <w:rPr>
          <w:b/>
          <w:color w:val="000000"/>
        </w:rPr>
        <w:t xml:space="preserve"> </w:t>
      </w:r>
      <w:r w:rsidR="00BD0651" w:rsidRPr="00BD0651">
        <w:rPr>
          <w:color w:val="000000"/>
        </w:rPr>
        <w:t xml:space="preserve">has the meaning given to that term in clause </w:t>
      </w:r>
      <w:r w:rsidR="00B30DBB">
        <w:t>5.3</w:t>
      </w:r>
      <w:r w:rsidR="00BD0651" w:rsidRPr="00BD0651">
        <w:rPr>
          <w:color w:val="000000"/>
        </w:rPr>
        <w:t>.</w:t>
      </w:r>
    </w:p>
    <w:p w:rsidR="004C6803" w:rsidRPr="004C6803" w:rsidRDefault="004C6803" w:rsidP="00A37F95">
      <w:r>
        <w:rPr>
          <w:b/>
        </w:rPr>
        <w:t>“</w:t>
      </w:r>
      <w:r w:rsidR="004D40DA">
        <w:rPr>
          <w:b/>
        </w:rPr>
        <w:t>E</w:t>
      </w:r>
      <w:r w:rsidR="00C138B1" w:rsidRPr="00F12028">
        <w:rPr>
          <w:b/>
        </w:rPr>
        <w:t xml:space="preserve">xpanded </w:t>
      </w:r>
      <w:r w:rsidRPr="00F12028">
        <w:rPr>
          <w:b/>
        </w:rPr>
        <w:t>criminal history information</w:t>
      </w:r>
      <w:r>
        <w:rPr>
          <w:b/>
        </w:rPr>
        <w:t>”</w:t>
      </w:r>
      <w:r>
        <w:t xml:space="preserve"> has the meaning given to that </w:t>
      </w:r>
      <w:r w:rsidR="00563482">
        <w:t>term</w:t>
      </w:r>
      <w:r>
        <w:t xml:space="preserve"> in clause</w:t>
      </w:r>
      <w:r w:rsidR="00C138B1">
        <w:t xml:space="preserve"> </w:t>
      </w:r>
      <w:r w:rsidR="00A9777B">
        <w:fldChar w:fldCharType="begin"/>
      </w:r>
      <w:r w:rsidR="00C138B1">
        <w:instrText xml:space="preserve"> REF _Ref328669098 \w \h </w:instrText>
      </w:r>
      <w:r w:rsidR="00A9777B">
        <w:fldChar w:fldCharType="separate"/>
      </w:r>
      <w:r w:rsidR="005578FA">
        <w:t>4.3</w:t>
      </w:r>
      <w:r w:rsidR="00A9777B">
        <w:fldChar w:fldCharType="end"/>
      </w:r>
      <w:r>
        <w:t xml:space="preserve">. </w:t>
      </w:r>
    </w:p>
    <w:p w:rsidR="009A6AAD" w:rsidRDefault="00415C30" w:rsidP="00A37F95">
      <w:pPr>
        <w:rPr>
          <w:b/>
          <w:color w:val="000000"/>
        </w:rPr>
      </w:pPr>
      <w:r>
        <w:rPr>
          <w:b/>
          <w:color w:val="000000"/>
        </w:rPr>
        <w:t>“</w:t>
      </w:r>
      <w:r w:rsidR="009A6AAD">
        <w:rPr>
          <w:b/>
          <w:color w:val="000000"/>
        </w:rPr>
        <w:t>First Minister</w:t>
      </w:r>
      <w:r>
        <w:rPr>
          <w:b/>
          <w:color w:val="000000"/>
        </w:rPr>
        <w:t xml:space="preserve">” </w:t>
      </w:r>
      <w:r w:rsidRPr="00415C30">
        <w:rPr>
          <w:color w:val="000000"/>
        </w:rPr>
        <w:t>means</w:t>
      </w:r>
      <w:r>
        <w:rPr>
          <w:color w:val="000000"/>
        </w:rPr>
        <w:t>:</w:t>
      </w:r>
      <w:r w:rsidR="009A6AAD" w:rsidRPr="00415C30">
        <w:rPr>
          <w:color w:val="000000"/>
        </w:rPr>
        <w:t xml:space="preserve"> </w:t>
      </w:r>
    </w:p>
    <w:p w:rsidR="00F97DE1" w:rsidRDefault="00BD0651" w:rsidP="00045969">
      <w:pPr>
        <w:numPr>
          <w:ilvl w:val="0"/>
          <w:numId w:val="19"/>
        </w:numPr>
        <w:rPr>
          <w:color w:val="000000"/>
        </w:rPr>
      </w:pPr>
      <w:r w:rsidRPr="00BD0651">
        <w:rPr>
          <w:color w:val="000000"/>
        </w:rPr>
        <w:t xml:space="preserve">in respect of the Commonwealth, the Prime Minister; </w:t>
      </w:r>
    </w:p>
    <w:p w:rsidR="00F97DE1" w:rsidRDefault="00BD0651" w:rsidP="00045969">
      <w:pPr>
        <w:numPr>
          <w:ilvl w:val="0"/>
          <w:numId w:val="19"/>
        </w:numPr>
        <w:rPr>
          <w:color w:val="000000"/>
        </w:rPr>
      </w:pPr>
      <w:r w:rsidRPr="00BD0651">
        <w:rPr>
          <w:color w:val="000000"/>
        </w:rPr>
        <w:t>in respect of a State, the Premier</w:t>
      </w:r>
      <w:r w:rsidR="00DF3C1F">
        <w:rPr>
          <w:color w:val="000000"/>
        </w:rPr>
        <w:t xml:space="preserve"> of that State</w:t>
      </w:r>
      <w:r w:rsidRPr="00BD0651">
        <w:rPr>
          <w:color w:val="000000"/>
        </w:rPr>
        <w:t xml:space="preserve">; and </w:t>
      </w:r>
    </w:p>
    <w:p w:rsidR="00F97DE1" w:rsidRDefault="009A6AAD" w:rsidP="00045969">
      <w:pPr>
        <w:numPr>
          <w:ilvl w:val="0"/>
          <w:numId w:val="19"/>
        </w:numPr>
        <w:rPr>
          <w:color w:val="000000"/>
        </w:rPr>
      </w:pPr>
      <w:proofErr w:type="gramStart"/>
      <w:r w:rsidRPr="009A6AAD">
        <w:rPr>
          <w:color w:val="000000"/>
        </w:rPr>
        <w:lastRenderedPageBreak/>
        <w:t>in</w:t>
      </w:r>
      <w:proofErr w:type="gramEnd"/>
      <w:r w:rsidRPr="009A6AAD">
        <w:rPr>
          <w:color w:val="000000"/>
        </w:rPr>
        <w:t xml:space="preserve"> </w:t>
      </w:r>
      <w:r w:rsidR="00BD0651" w:rsidRPr="00BD0651">
        <w:rPr>
          <w:color w:val="000000"/>
        </w:rPr>
        <w:t xml:space="preserve">respect of a </w:t>
      </w:r>
      <w:r w:rsidR="00742721" w:rsidRPr="009A6AAD">
        <w:rPr>
          <w:color w:val="000000"/>
        </w:rPr>
        <w:t>Territory</w:t>
      </w:r>
      <w:r w:rsidR="00BD0651" w:rsidRPr="00BD0651">
        <w:rPr>
          <w:color w:val="000000"/>
        </w:rPr>
        <w:t>, the Chief Minister</w:t>
      </w:r>
      <w:r w:rsidR="00DF3C1F">
        <w:rPr>
          <w:color w:val="000000"/>
        </w:rPr>
        <w:t xml:space="preserve"> of that Territory.</w:t>
      </w:r>
      <w:r w:rsidR="00BD0651" w:rsidRPr="00BD0651">
        <w:rPr>
          <w:color w:val="000000"/>
        </w:rPr>
        <w:t xml:space="preserve"> </w:t>
      </w:r>
    </w:p>
    <w:p w:rsidR="00732A11" w:rsidRDefault="00A37F95" w:rsidP="00500A65">
      <w:r w:rsidRPr="00F12028">
        <w:rPr>
          <w:b/>
        </w:rPr>
        <w:t>“Held”</w:t>
      </w:r>
      <w:r w:rsidRPr="00F12028">
        <w:t xml:space="preserve"> </w:t>
      </w:r>
      <w:r w:rsidR="00B30DBB">
        <w:t xml:space="preserve">refers to criminal history information held </w:t>
      </w:r>
      <w:r w:rsidRPr="00F12028">
        <w:t xml:space="preserve">by jurisdictions’ police services </w:t>
      </w:r>
      <w:r w:rsidR="00B30DBB">
        <w:t xml:space="preserve">including information </w:t>
      </w:r>
      <w:r w:rsidRPr="00F12028">
        <w:t>held by CrimTrac on behalf of jurisdictions’</w:t>
      </w:r>
      <w:r>
        <w:t xml:space="preserve"> police services.</w:t>
      </w:r>
    </w:p>
    <w:p w:rsidR="00563482" w:rsidRDefault="00BD0651" w:rsidP="00500A65">
      <w:r w:rsidRPr="00BD0651">
        <w:rPr>
          <w:b/>
        </w:rPr>
        <w:t>“</w:t>
      </w:r>
      <w:r w:rsidR="00580764">
        <w:rPr>
          <w:b/>
        </w:rPr>
        <w:t>Interjurisdictional</w:t>
      </w:r>
      <w:r w:rsidR="00580764" w:rsidRPr="009550F5">
        <w:rPr>
          <w:b/>
        </w:rPr>
        <w:t xml:space="preserve"> </w:t>
      </w:r>
      <w:r w:rsidRPr="00BD0651">
        <w:rPr>
          <w:b/>
        </w:rPr>
        <w:t>expanded criminal history information”</w:t>
      </w:r>
      <w:r w:rsidR="00563482">
        <w:t xml:space="preserve"> has the meaning given to that term in clause</w:t>
      </w:r>
      <w:r w:rsidR="00005F6C">
        <w:t xml:space="preserve"> </w:t>
      </w:r>
      <w:r w:rsidR="00A9777B">
        <w:fldChar w:fldCharType="begin"/>
      </w:r>
      <w:r w:rsidR="00005F6C">
        <w:instrText xml:space="preserve"> REF _Ref328668437 \r \h </w:instrText>
      </w:r>
      <w:r w:rsidR="00A9777B">
        <w:fldChar w:fldCharType="separate"/>
      </w:r>
      <w:r w:rsidR="005578FA">
        <w:t>4.17</w:t>
      </w:r>
      <w:r w:rsidR="00A9777B">
        <w:fldChar w:fldCharType="end"/>
      </w:r>
      <w:r w:rsidR="000E00BE">
        <w:t>.</w:t>
      </w:r>
    </w:p>
    <w:p w:rsidR="00DF0866" w:rsidRDefault="00DF0866" w:rsidP="00DF0866">
      <w:pPr>
        <w:rPr>
          <w:color w:val="000000"/>
        </w:rPr>
      </w:pPr>
      <w:r>
        <w:rPr>
          <w:b/>
          <w:color w:val="000000"/>
        </w:rPr>
        <w:t>“</w:t>
      </w:r>
      <w:r w:rsidRPr="007E6793">
        <w:rPr>
          <w:b/>
          <w:color w:val="000000"/>
        </w:rPr>
        <w:t>Non-conviction charge</w:t>
      </w:r>
      <w:r>
        <w:rPr>
          <w:b/>
          <w:color w:val="000000"/>
        </w:rPr>
        <w:t>”</w:t>
      </w:r>
      <w:r w:rsidRPr="007E6793">
        <w:rPr>
          <w:color w:val="000000"/>
        </w:rPr>
        <w:t xml:space="preserve"> means, whether a person was charged as an adult or a child, a charge:</w:t>
      </w:r>
      <w:r>
        <w:rPr>
          <w:color w:val="000000"/>
        </w:rPr>
        <w:t xml:space="preserve"> that has been withdrawn; </w:t>
      </w:r>
      <w:r w:rsidRPr="007E6793">
        <w:rPr>
          <w:color w:val="000000"/>
        </w:rPr>
        <w:t xml:space="preserve">that has been the subject of a </w:t>
      </w:r>
      <w:proofErr w:type="spellStart"/>
      <w:r w:rsidRPr="007E6793">
        <w:rPr>
          <w:color w:val="000000"/>
        </w:rPr>
        <w:t>nolle</w:t>
      </w:r>
      <w:proofErr w:type="spellEnd"/>
      <w:r w:rsidRPr="007E6793">
        <w:rPr>
          <w:color w:val="000000"/>
        </w:rPr>
        <w:t xml:space="preserve"> </w:t>
      </w:r>
      <w:proofErr w:type="spellStart"/>
      <w:r w:rsidRPr="007E6793">
        <w:rPr>
          <w:color w:val="000000"/>
        </w:rPr>
        <w:t>prosequi</w:t>
      </w:r>
      <w:proofErr w:type="spellEnd"/>
      <w:r w:rsidRPr="007E6793">
        <w:rPr>
          <w:color w:val="000000"/>
        </w:rPr>
        <w:t>, a no true bill or a submission of no evidence to offer</w:t>
      </w:r>
      <w:r>
        <w:rPr>
          <w:color w:val="000000"/>
        </w:rPr>
        <w:t xml:space="preserve">; </w:t>
      </w:r>
      <w:r w:rsidRPr="007E6793">
        <w:rPr>
          <w:color w:val="000000"/>
        </w:rPr>
        <w:t>that led to a conviction</w:t>
      </w:r>
      <w:r>
        <w:rPr>
          <w:color w:val="000000"/>
        </w:rPr>
        <w:t xml:space="preserve"> that was quashed on appeal; or </w:t>
      </w:r>
      <w:r w:rsidRPr="007E6793">
        <w:rPr>
          <w:color w:val="000000"/>
        </w:rPr>
        <w:t>upon which a person was acquitted or disposed of by a court otherwise than by way of conviction.</w:t>
      </w:r>
    </w:p>
    <w:p w:rsidR="00563482" w:rsidRDefault="00BD0651" w:rsidP="00DF0866">
      <w:pPr>
        <w:rPr>
          <w:b/>
          <w:bCs/>
          <w:lang w:eastAsia="en-AU"/>
        </w:rPr>
      </w:pPr>
      <w:r w:rsidRPr="00BD0651">
        <w:rPr>
          <w:b/>
        </w:rPr>
        <w:t>“</w:t>
      </w:r>
      <w:r w:rsidR="00100B9D" w:rsidRPr="00563482">
        <w:rPr>
          <w:b/>
        </w:rPr>
        <w:t>Participation</w:t>
      </w:r>
      <w:r w:rsidR="00C138B1" w:rsidRPr="00563482">
        <w:rPr>
          <w:b/>
        </w:rPr>
        <w:t xml:space="preserve"> </w:t>
      </w:r>
      <w:r w:rsidRPr="00BD0651">
        <w:rPr>
          <w:b/>
        </w:rPr>
        <w:t>requirements”</w:t>
      </w:r>
      <w:r w:rsidR="00563482">
        <w:t xml:space="preserve"> has the meaning given to that term in clause</w:t>
      </w:r>
      <w:r w:rsidR="00005F6C">
        <w:t xml:space="preserve"> </w:t>
      </w:r>
      <w:r w:rsidR="00A9777B">
        <w:fldChar w:fldCharType="begin"/>
      </w:r>
      <w:r w:rsidR="00005F6C">
        <w:instrText xml:space="preserve"> REF _Ref328668469 \r \h </w:instrText>
      </w:r>
      <w:r w:rsidR="00A9777B">
        <w:fldChar w:fldCharType="separate"/>
      </w:r>
      <w:r w:rsidR="005578FA">
        <w:t>4.10</w:t>
      </w:r>
      <w:r w:rsidR="00A9777B">
        <w:fldChar w:fldCharType="end"/>
      </w:r>
      <w:r w:rsidR="004269C7">
        <w:t xml:space="preserve">. </w:t>
      </w:r>
      <w:r w:rsidR="005B1E9A">
        <w:t>Participation requirements are listed in Schedule 1</w:t>
      </w:r>
      <w:r w:rsidR="000E00BE">
        <w:t>.</w:t>
      </w:r>
    </w:p>
    <w:p w:rsidR="00563482" w:rsidRPr="00563482" w:rsidRDefault="00563482" w:rsidP="00DF0866">
      <w:pPr>
        <w:rPr>
          <w:bCs/>
          <w:lang w:eastAsia="en-AU"/>
        </w:rPr>
      </w:pPr>
      <w:r>
        <w:rPr>
          <w:b/>
          <w:bCs/>
          <w:lang w:eastAsia="en-AU"/>
        </w:rPr>
        <w:t>“</w:t>
      </w:r>
      <w:r w:rsidR="00100B9D">
        <w:rPr>
          <w:b/>
          <w:bCs/>
          <w:lang w:eastAsia="en-AU"/>
        </w:rPr>
        <w:t>Participating</w:t>
      </w:r>
      <w:r w:rsidR="00C138B1">
        <w:rPr>
          <w:b/>
          <w:bCs/>
          <w:lang w:eastAsia="en-AU"/>
        </w:rPr>
        <w:t xml:space="preserve"> </w:t>
      </w:r>
      <w:r>
        <w:rPr>
          <w:b/>
          <w:bCs/>
          <w:lang w:eastAsia="en-AU"/>
        </w:rPr>
        <w:t xml:space="preserve">screening units” </w:t>
      </w:r>
      <w:r w:rsidR="00BD0651" w:rsidRPr="00BD0651">
        <w:rPr>
          <w:bCs/>
          <w:lang w:eastAsia="en-AU"/>
        </w:rPr>
        <w:t>has the meaning given to that term in clause</w:t>
      </w:r>
      <w:r w:rsidR="00005F6C">
        <w:rPr>
          <w:bCs/>
          <w:lang w:eastAsia="en-AU"/>
        </w:rPr>
        <w:t xml:space="preserve"> </w:t>
      </w:r>
      <w:r w:rsidR="005B1E9A">
        <w:rPr>
          <w:bCs/>
          <w:lang w:eastAsia="en-AU"/>
        </w:rPr>
        <w:t>4.1</w:t>
      </w:r>
      <w:r w:rsidR="00045969">
        <w:rPr>
          <w:bCs/>
          <w:lang w:eastAsia="en-AU"/>
        </w:rPr>
        <w:t>1</w:t>
      </w:r>
      <w:r w:rsidR="005B1E9A">
        <w:rPr>
          <w:bCs/>
          <w:lang w:eastAsia="en-AU"/>
        </w:rPr>
        <w:t>. Participating screening units are listed in Schedule 2</w:t>
      </w:r>
      <w:r w:rsidR="00BD0651" w:rsidRPr="00BD0651">
        <w:rPr>
          <w:bCs/>
          <w:lang w:eastAsia="en-AU"/>
        </w:rPr>
        <w:t>.</w:t>
      </w:r>
    </w:p>
    <w:p w:rsidR="009E3F50" w:rsidRDefault="00DF0866" w:rsidP="00DF0866">
      <w:pPr>
        <w:rPr>
          <w:color w:val="000000"/>
        </w:rPr>
      </w:pPr>
      <w:r w:rsidRPr="005245F1">
        <w:rPr>
          <w:b/>
          <w:bCs/>
          <w:lang w:eastAsia="en-AU"/>
        </w:rPr>
        <w:t>“</w:t>
      </w:r>
      <w:r w:rsidRPr="005245F1">
        <w:rPr>
          <w:b/>
          <w:color w:val="000000"/>
        </w:rPr>
        <w:t>Pending charge”</w:t>
      </w:r>
      <w:r w:rsidRPr="007E6793">
        <w:rPr>
          <w:color w:val="000000"/>
        </w:rPr>
        <w:t xml:space="preserve"> means a current charge for a criminal offence that has not yet been finalised (whether the person is being dealt with as an adult or a child).</w:t>
      </w:r>
    </w:p>
    <w:p w:rsidR="00A37F95" w:rsidRDefault="00A37F95" w:rsidP="00A37F95">
      <w:r w:rsidRPr="00D777C4">
        <w:rPr>
          <w:b/>
        </w:rPr>
        <w:t>“Police service”</w:t>
      </w:r>
      <w:r>
        <w:t xml:space="preserve"> of a jurisdiction includes the Australian Federal Police for the Australian Capital Territory. </w:t>
      </w:r>
    </w:p>
    <w:p w:rsidR="00DF0866" w:rsidRDefault="007E6793" w:rsidP="00DF0866">
      <w:pPr>
        <w:rPr>
          <w:color w:val="000000"/>
        </w:rPr>
      </w:pPr>
      <w:r>
        <w:rPr>
          <w:b/>
          <w:color w:val="000000"/>
        </w:rPr>
        <w:t>“</w:t>
      </w:r>
      <w:r w:rsidRPr="007E6793">
        <w:rPr>
          <w:b/>
          <w:color w:val="000000"/>
        </w:rPr>
        <w:t>Spent conviction</w:t>
      </w:r>
      <w:r>
        <w:rPr>
          <w:b/>
          <w:color w:val="000000"/>
        </w:rPr>
        <w:t>”</w:t>
      </w:r>
      <w:r w:rsidR="009B171D">
        <w:rPr>
          <w:color w:val="000000"/>
        </w:rPr>
        <w:t xml:space="preserve"> means a </w:t>
      </w:r>
      <w:r w:rsidRPr="00EE7E6B">
        <w:rPr>
          <w:color w:val="000000"/>
        </w:rPr>
        <w:t>convict</w:t>
      </w:r>
      <w:r w:rsidR="009B171D">
        <w:rPr>
          <w:color w:val="000000"/>
        </w:rPr>
        <w:t>ion</w:t>
      </w:r>
      <w:r w:rsidRPr="00EE7E6B">
        <w:rPr>
          <w:color w:val="000000"/>
        </w:rPr>
        <w:t xml:space="preserve"> which</w:t>
      </w:r>
      <w:r w:rsidR="009B171D">
        <w:rPr>
          <w:color w:val="000000"/>
        </w:rPr>
        <w:t xml:space="preserve"> statute deem</w:t>
      </w:r>
      <w:r w:rsidR="00272DC5">
        <w:rPr>
          <w:color w:val="000000"/>
        </w:rPr>
        <w:t>s</w:t>
      </w:r>
      <w:r w:rsidR="009B171D">
        <w:rPr>
          <w:color w:val="000000"/>
        </w:rPr>
        <w:t xml:space="preserve"> </w:t>
      </w:r>
      <w:r w:rsidRPr="00EE7E6B">
        <w:rPr>
          <w:color w:val="000000"/>
        </w:rPr>
        <w:t>no longer part of the person’s criminal history and whic</w:t>
      </w:r>
      <w:r w:rsidR="009B171D">
        <w:rPr>
          <w:color w:val="000000"/>
        </w:rPr>
        <w:t>h the person need not disclose.</w:t>
      </w:r>
    </w:p>
    <w:p w:rsidR="001D35E2" w:rsidRPr="001D35E2" w:rsidRDefault="001D35E2" w:rsidP="00DF0866">
      <w:pPr>
        <w:rPr>
          <w:color w:val="000000"/>
        </w:rPr>
      </w:pPr>
      <w:r w:rsidRPr="00292520">
        <w:rPr>
          <w:b/>
          <w:color w:val="000000"/>
        </w:rPr>
        <w:t>“</w:t>
      </w:r>
      <w:r w:rsidR="00476CC7">
        <w:rPr>
          <w:b/>
          <w:color w:val="000000"/>
        </w:rPr>
        <w:t>Steering Committee</w:t>
      </w:r>
      <w:r>
        <w:rPr>
          <w:b/>
          <w:color w:val="000000"/>
        </w:rPr>
        <w:t>”</w:t>
      </w:r>
      <w:r>
        <w:rPr>
          <w:color w:val="000000"/>
        </w:rPr>
        <w:t xml:space="preserve"> means</w:t>
      </w:r>
      <w:r w:rsidR="004739BC">
        <w:rPr>
          <w:color w:val="000000"/>
        </w:rPr>
        <w:t xml:space="preserve"> the </w:t>
      </w:r>
      <w:r w:rsidR="005703F5">
        <w:rPr>
          <w:color w:val="000000"/>
        </w:rPr>
        <w:t>group</w:t>
      </w:r>
      <w:r w:rsidR="004739BC">
        <w:rPr>
          <w:color w:val="000000"/>
        </w:rPr>
        <w:t xml:space="preserve"> consisting of representatives of </w:t>
      </w:r>
      <w:r w:rsidR="00D04BCE">
        <w:rPr>
          <w:color w:val="000000"/>
        </w:rPr>
        <w:t>State,</w:t>
      </w:r>
      <w:r w:rsidR="00DE28A5">
        <w:rPr>
          <w:color w:val="000000"/>
        </w:rPr>
        <w:t xml:space="preserve"> Territory</w:t>
      </w:r>
      <w:r w:rsidR="00D04BCE">
        <w:rPr>
          <w:color w:val="000000"/>
        </w:rPr>
        <w:t>, and Commonwealth</w:t>
      </w:r>
      <w:r w:rsidR="00DE28A5">
        <w:rPr>
          <w:color w:val="000000"/>
        </w:rPr>
        <w:t xml:space="preserve"> </w:t>
      </w:r>
      <w:r w:rsidR="00F05647">
        <w:rPr>
          <w:color w:val="000000"/>
        </w:rPr>
        <w:t>police</w:t>
      </w:r>
      <w:r w:rsidR="004739BC">
        <w:rPr>
          <w:color w:val="000000"/>
        </w:rPr>
        <w:t xml:space="preserve"> services</w:t>
      </w:r>
      <w:r w:rsidR="00C70A1D">
        <w:rPr>
          <w:color w:val="000000"/>
        </w:rPr>
        <w:t>,</w:t>
      </w:r>
      <w:r w:rsidR="004739BC">
        <w:rPr>
          <w:color w:val="000000"/>
        </w:rPr>
        <w:t xml:space="preserve"> </w:t>
      </w:r>
      <w:r w:rsidR="000E40AB">
        <w:rPr>
          <w:color w:val="000000"/>
        </w:rPr>
        <w:t>and/</w:t>
      </w:r>
      <w:r w:rsidR="004739BC">
        <w:rPr>
          <w:color w:val="000000"/>
        </w:rPr>
        <w:t xml:space="preserve">or </w:t>
      </w:r>
      <w:r w:rsidR="00077141">
        <w:rPr>
          <w:color w:val="000000"/>
        </w:rPr>
        <w:t>child-related</w:t>
      </w:r>
      <w:r w:rsidR="005703F5">
        <w:rPr>
          <w:color w:val="000000"/>
        </w:rPr>
        <w:t xml:space="preserve"> employment screening units</w:t>
      </w:r>
      <w:r w:rsidR="00DE28A5">
        <w:rPr>
          <w:color w:val="000000"/>
        </w:rPr>
        <w:t xml:space="preserve"> nominated</w:t>
      </w:r>
      <w:r w:rsidR="004739BC">
        <w:rPr>
          <w:color w:val="000000"/>
        </w:rPr>
        <w:t xml:space="preserve"> </w:t>
      </w:r>
      <w:r w:rsidR="00D71BBC">
        <w:rPr>
          <w:color w:val="000000"/>
        </w:rPr>
        <w:t>under this agreement</w:t>
      </w:r>
      <w:r w:rsidR="00C70A1D">
        <w:rPr>
          <w:color w:val="000000"/>
        </w:rPr>
        <w:t>,</w:t>
      </w:r>
      <w:r w:rsidR="00E73BBE">
        <w:rPr>
          <w:color w:val="000000"/>
        </w:rPr>
        <w:t xml:space="preserve"> and/or CrimTrac</w:t>
      </w:r>
      <w:r w:rsidR="00732A11">
        <w:rPr>
          <w:color w:val="000000"/>
        </w:rPr>
        <w:t>,</w:t>
      </w:r>
      <w:r w:rsidR="005877F4">
        <w:rPr>
          <w:color w:val="000000"/>
        </w:rPr>
        <w:t xml:space="preserve"> and/or First Minister</w:t>
      </w:r>
      <w:r w:rsidR="00C0592A">
        <w:rPr>
          <w:color w:val="000000"/>
        </w:rPr>
        <w:t>’</w:t>
      </w:r>
      <w:r w:rsidR="005877F4">
        <w:rPr>
          <w:color w:val="000000"/>
        </w:rPr>
        <w:t xml:space="preserve">s </w:t>
      </w:r>
      <w:r w:rsidR="00C0592A">
        <w:rPr>
          <w:color w:val="000000"/>
        </w:rPr>
        <w:t>Departments</w:t>
      </w:r>
      <w:r w:rsidR="00C70A1D">
        <w:rPr>
          <w:color w:val="000000"/>
        </w:rPr>
        <w:t>,</w:t>
      </w:r>
      <w:r w:rsidR="00732A11">
        <w:rPr>
          <w:color w:val="000000"/>
        </w:rPr>
        <w:t xml:space="preserve"> </w:t>
      </w:r>
      <w:r w:rsidR="00C70A1D">
        <w:rPr>
          <w:color w:val="000000"/>
        </w:rPr>
        <w:t>and/</w:t>
      </w:r>
      <w:r w:rsidR="00732A11">
        <w:rPr>
          <w:color w:val="000000"/>
        </w:rPr>
        <w:t>or D</w:t>
      </w:r>
      <w:r w:rsidR="00793428">
        <w:rPr>
          <w:color w:val="000000"/>
        </w:rPr>
        <w:t>epartments that administer</w:t>
      </w:r>
      <w:r w:rsidR="00732A11">
        <w:rPr>
          <w:color w:val="000000"/>
        </w:rPr>
        <w:t xml:space="preserve"> legislation </w:t>
      </w:r>
      <w:r w:rsidR="00EA4821">
        <w:rPr>
          <w:color w:val="000000"/>
        </w:rPr>
        <w:t xml:space="preserve">relevant to </w:t>
      </w:r>
      <w:r w:rsidR="00732A11">
        <w:rPr>
          <w:color w:val="000000"/>
        </w:rPr>
        <w:t>this agreement</w:t>
      </w:r>
      <w:r w:rsidR="004739BC">
        <w:rPr>
          <w:color w:val="000000"/>
        </w:rPr>
        <w:t>.</w:t>
      </w:r>
      <w:r w:rsidR="004C6803" w:rsidRPr="004C6803">
        <w:rPr>
          <w:color w:val="000000"/>
        </w:rPr>
        <w:t xml:space="preserve"> </w:t>
      </w:r>
    </w:p>
    <w:p w:rsidR="00F97DE1" w:rsidRDefault="008A110D">
      <w:pPr>
        <w:rPr>
          <w:color w:val="000000"/>
        </w:rPr>
      </w:pPr>
      <w:r w:rsidRPr="00F12028">
        <w:rPr>
          <w:b/>
        </w:rPr>
        <w:t>“Supply”</w:t>
      </w:r>
      <w:r w:rsidR="00AD241C">
        <w:rPr>
          <w:b/>
        </w:rPr>
        <w:t xml:space="preserve"> </w:t>
      </w:r>
      <w:r w:rsidR="00BD0651" w:rsidRPr="00BD0651">
        <w:t>means</w:t>
      </w:r>
      <w:r w:rsidR="00AD241C">
        <w:t xml:space="preserve">, </w:t>
      </w:r>
      <w:r w:rsidR="00AD241C">
        <w:rPr>
          <w:color w:val="000000"/>
        </w:rPr>
        <w:t xml:space="preserve">in respect of </w:t>
      </w:r>
      <w:r w:rsidRPr="008A110D">
        <w:rPr>
          <w:color w:val="000000"/>
        </w:rPr>
        <w:t>criminal history information or circumstances information (to a participating inter</w:t>
      </w:r>
      <w:r w:rsidR="00322251">
        <w:rPr>
          <w:color w:val="000000"/>
        </w:rPr>
        <w:t>jurisdictional</w:t>
      </w:r>
      <w:r w:rsidRPr="008A110D">
        <w:rPr>
          <w:color w:val="000000"/>
        </w:rPr>
        <w:t xml:space="preserve"> screening unit)</w:t>
      </w:r>
      <w:r w:rsidR="00AD241C">
        <w:rPr>
          <w:color w:val="000000"/>
        </w:rPr>
        <w:t>,</w:t>
      </w:r>
      <w:r w:rsidRPr="008A110D">
        <w:rPr>
          <w:color w:val="000000"/>
        </w:rPr>
        <w:t xml:space="preserve"> using best endeavours to locate, retri</w:t>
      </w:r>
      <w:r w:rsidR="00B44CBE">
        <w:rPr>
          <w:color w:val="000000"/>
        </w:rPr>
        <w:t>eve and provide the information; and</w:t>
      </w:r>
      <w:r w:rsidR="00AD241C">
        <w:rPr>
          <w:color w:val="000000"/>
        </w:rPr>
        <w:t xml:space="preserve"> includes</w:t>
      </w:r>
      <w:r w:rsidR="00DF3C1F">
        <w:rPr>
          <w:color w:val="000000"/>
        </w:rPr>
        <w:t xml:space="preserve"> </w:t>
      </w:r>
      <w:r w:rsidR="00AD241C">
        <w:rPr>
          <w:color w:val="000000"/>
        </w:rPr>
        <w:t xml:space="preserve">the </w:t>
      </w:r>
      <w:r w:rsidR="00F12028" w:rsidRPr="008A110D">
        <w:rPr>
          <w:color w:val="000000"/>
        </w:rPr>
        <w:t xml:space="preserve">supply of the criminal history information to </w:t>
      </w:r>
      <w:r w:rsidR="001B45BB">
        <w:rPr>
          <w:color w:val="000000"/>
        </w:rPr>
        <w:t xml:space="preserve">a </w:t>
      </w:r>
      <w:r w:rsidR="00322251" w:rsidRPr="008A110D">
        <w:rPr>
          <w:color w:val="000000"/>
        </w:rPr>
        <w:t>participating</w:t>
      </w:r>
      <w:r w:rsidR="00322251">
        <w:rPr>
          <w:color w:val="000000"/>
        </w:rPr>
        <w:t xml:space="preserve"> interjurisdictional </w:t>
      </w:r>
      <w:r w:rsidR="001B45BB" w:rsidRPr="008A110D">
        <w:rPr>
          <w:color w:val="000000"/>
        </w:rPr>
        <w:t xml:space="preserve">screening </w:t>
      </w:r>
      <w:r w:rsidR="00F12028" w:rsidRPr="008A110D">
        <w:rPr>
          <w:color w:val="000000"/>
        </w:rPr>
        <w:t>unit via CrimTrac or the police service of that unit’s jurisdiction.</w:t>
      </w:r>
    </w:p>
    <w:p w:rsidR="00B30DBB" w:rsidRDefault="00B30DBB" w:rsidP="00A11984">
      <w:pPr>
        <w:rPr>
          <w:b/>
        </w:rPr>
      </w:pPr>
      <w:r>
        <w:rPr>
          <w:b/>
        </w:rPr>
        <w:t xml:space="preserve">“Third party government entity” </w:t>
      </w:r>
      <w:r w:rsidRPr="00551D08">
        <w:t>means a government department, agency or statutory body that is permitted or required to screen the criminal history of a person that has been the subject of criminal history screening by a participating screening unit previously.</w:t>
      </w:r>
    </w:p>
    <w:p w:rsidR="00A11984" w:rsidRPr="00A11984" w:rsidRDefault="005F4656" w:rsidP="00A11984">
      <w:r>
        <w:rPr>
          <w:b/>
        </w:rPr>
        <w:t>“Working</w:t>
      </w:r>
      <w:r w:rsidR="002C3C3D" w:rsidRPr="00C716AC">
        <w:rPr>
          <w:b/>
        </w:rPr>
        <w:t xml:space="preserve"> with children</w:t>
      </w:r>
      <w:r w:rsidR="00EF4CA3" w:rsidRPr="00C716AC">
        <w:rPr>
          <w:b/>
        </w:rPr>
        <w:t>”</w:t>
      </w:r>
      <w:r w:rsidR="00EF4CA3">
        <w:t xml:space="preserve"> or </w:t>
      </w:r>
      <w:r w:rsidR="00EF4CA3" w:rsidRPr="00C716AC">
        <w:rPr>
          <w:b/>
        </w:rPr>
        <w:t>“child-related employment”</w:t>
      </w:r>
      <w:r>
        <w:t xml:space="preserve"> </w:t>
      </w:r>
      <w:r w:rsidR="00C716AC">
        <w:t>is defined by</w:t>
      </w:r>
      <w:r w:rsidR="00EF4CA3">
        <w:t xml:space="preserve"> relevant </w:t>
      </w:r>
      <w:r w:rsidR="00C716AC">
        <w:t>legislation in</w:t>
      </w:r>
      <w:r w:rsidR="00EF4CA3">
        <w:t xml:space="preserve"> each </w:t>
      </w:r>
      <w:r w:rsidR="00C716AC">
        <w:t xml:space="preserve">jurisdiction that is a party </w:t>
      </w:r>
      <w:r w:rsidR="00EF4CA3">
        <w:t>to this agreement</w:t>
      </w:r>
      <w:r>
        <w:t>.</w:t>
      </w:r>
      <w:r w:rsidR="00EF4CA3">
        <w:t xml:space="preserve"> </w:t>
      </w:r>
      <w:r w:rsidR="00545EFD">
        <w:t xml:space="preserve">Working with children </w:t>
      </w:r>
      <w:r w:rsidR="00471165">
        <w:t xml:space="preserve">may </w:t>
      </w:r>
      <w:r w:rsidR="00545EFD">
        <w:t xml:space="preserve">include </w:t>
      </w:r>
      <w:r w:rsidR="00732A11">
        <w:t xml:space="preserve">paid roles, </w:t>
      </w:r>
      <w:r w:rsidR="00545EFD">
        <w:t>unpaid roles,</w:t>
      </w:r>
      <w:r w:rsidR="00732A11">
        <w:t xml:space="preserve"> </w:t>
      </w:r>
      <w:r w:rsidR="00E73BBE">
        <w:t xml:space="preserve">and </w:t>
      </w:r>
      <w:r w:rsidR="00732A11">
        <w:t>self-employed roles</w:t>
      </w:r>
      <w:r w:rsidR="00545EFD">
        <w:t>.</w:t>
      </w:r>
      <w:r w:rsidR="00EF4CA3">
        <w:t xml:space="preserve"> </w:t>
      </w:r>
    </w:p>
    <w:p w:rsidR="00B44CBE" w:rsidRDefault="00553940" w:rsidP="00B44CBE">
      <w:pPr>
        <w:spacing w:before="120"/>
      </w:pPr>
      <w:r>
        <w:rPr>
          <w:color w:val="000000"/>
        </w:rPr>
        <w:t xml:space="preserve">Other terms are defined in the body of the </w:t>
      </w:r>
      <w:r w:rsidR="00D71BBC">
        <w:rPr>
          <w:color w:val="000000"/>
        </w:rPr>
        <w:t>agreement</w:t>
      </w:r>
      <w:r>
        <w:rPr>
          <w:color w:val="000000"/>
        </w:rPr>
        <w:t>.</w:t>
      </w:r>
      <w:r w:rsidR="009B3906" w:rsidRPr="009B3906">
        <w:rPr>
          <w:color w:val="000000"/>
          <w:sz w:val="20"/>
          <w:szCs w:val="20"/>
          <w:highlight w:val="cyan"/>
        </w:rPr>
        <w:t xml:space="preserve"> </w:t>
      </w:r>
    </w:p>
    <w:p w:rsidR="00EC6966" w:rsidRPr="000D1B78" w:rsidRDefault="00EC6966" w:rsidP="00045969">
      <w:pPr>
        <w:pStyle w:val="Heading1"/>
        <w:numPr>
          <w:ilvl w:val="0"/>
          <w:numId w:val="11"/>
        </w:numPr>
        <w:tabs>
          <w:tab w:val="clear" w:pos="360"/>
        </w:tabs>
        <w:spacing w:before="480"/>
        <w:ind w:left="540" w:hanging="540"/>
        <w:rPr>
          <w:sz w:val="28"/>
          <w:szCs w:val="28"/>
        </w:rPr>
      </w:pPr>
      <w:r w:rsidRPr="000D1B78">
        <w:rPr>
          <w:sz w:val="28"/>
          <w:szCs w:val="28"/>
        </w:rPr>
        <w:lastRenderedPageBreak/>
        <w:t>Interpretation</w:t>
      </w:r>
    </w:p>
    <w:p w:rsidR="00472926" w:rsidRDefault="00472926" w:rsidP="00045969">
      <w:pPr>
        <w:pStyle w:val="NormalBlack"/>
        <w:numPr>
          <w:ilvl w:val="1"/>
          <w:numId w:val="11"/>
        </w:numPr>
        <w:ind w:left="540" w:hanging="540"/>
      </w:pPr>
      <w:r>
        <w:t xml:space="preserve">This </w:t>
      </w:r>
      <w:r w:rsidR="00907C30">
        <w:t>agreement</w:t>
      </w:r>
      <w:r>
        <w:t>:</w:t>
      </w:r>
    </w:p>
    <w:p w:rsidR="00472926" w:rsidRPr="00CA247D" w:rsidRDefault="00472926" w:rsidP="00045969">
      <w:pPr>
        <w:pStyle w:val="NormalBlack"/>
        <w:numPr>
          <w:ilvl w:val="2"/>
          <w:numId w:val="11"/>
        </w:numPr>
        <w:tabs>
          <w:tab w:val="clear" w:pos="1430"/>
        </w:tabs>
        <w:spacing w:before="120"/>
        <w:ind w:left="1259" w:hanging="720"/>
      </w:pPr>
      <w:r w:rsidRPr="00CA247D">
        <w:t>is not legally binding; and</w:t>
      </w:r>
    </w:p>
    <w:p w:rsidR="00472926" w:rsidRPr="001C2EE1" w:rsidRDefault="00472926" w:rsidP="00045969">
      <w:pPr>
        <w:pStyle w:val="NormalBlack"/>
        <w:numPr>
          <w:ilvl w:val="2"/>
          <w:numId w:val="11"/>
        </w:numPr>
        <w:tabs>
          <w:tab w:val="clear" w:pos="1430"/>
        </w:tabs>
        <w:spacing w:before="120"/>
        <w:ind w:left="1259" w:hanging="720"/>
      </w:pPr>
      <w:proofErr w:type="gramStart"/>
      <w:r w:rsidRPr="00CA247D">
        <w:t>re</w:t>
      </w:r>
      <w:r>
        <w:t>cords</w:t>
      </w:r>
      <w:proofErr w:type="gramEnd"/>
      <w:r>
        <w:t xml:space="preserve"> the intentions of the parties, and their police services and participating screening units, and CrimTrac</w:t>
      </w:r>
      <w:r w:rsidR="00E20505">
        <w:t>,</w:t>
      </w:r>
      <w:r>
        <w:t xml:space="preserve"> </w:t>
      </w:r>
      <w:r w:rsidRPr="00CA247D">
        <w:t xml:space="preserve">to abide by the </w:t>
      </w:r>
      <w:r>
        <w:t xml:space="preserve">arrangements </w:t>
      </w:r>
      <w:r w:rsidRPr="00CA247D">
        <w:t xml:space="preserve">set out in </w:t>
      </w:r>
      <w:r>
        <w:t>the</w:t>
      </w:r>
      <w:r w:rsidRPr="00CA247D">
        <w:t xml:space="preserve"> </w:t>
      </w:r>
      <w:r w:rsidR="00907C30">
        <w:t>agreement</w:t>
      </w:r>
      <w:r w:rsidRPr="00CA247D">
        <w:t>.</w:t>
      </w:r>
    </w:p>
    <w:p w:rsidR="00D06435" w:rsidRDefault="00915983" w:rsidP="00045969">
      <w:pPr>
        <w:pStyle w:val="NormalBlack"/>
        <w:numPr>
          <w:ilvl w:val="1"/>
          <w:numId w:val="11"/>
        </w:numPr>
        <w:ind w:left="540" w:hanging="540"/>
      </w:pPr>
      <w:r w:rsidRPr="00E340B7">
        <w:t xml:space="preserve">This </w:t>
      </w:r>
      <w:r w:rsidR="00907C30">
        <w:t>agreement</w:t>
      </w:r>
      <w:r w:rsidR="00907C30" w:rsidRPr="00E340B7">
        <w:t xml:space="preserve"> </w:t>
      </w:r>
      <w:r w:rsidR="00E340B7" w:rsidRPr="00E340B7">
        <w:t xml:space="preserve">does not require or permit something that is not lawfully </w:t>
      </w:r>
      <w:r w:rsidR="00B44CBE">
        <w:t>permitted</w:t>
      </w:r>
      <w:r w:rsidR="00E340B7" w:rsidRPr="00E340B7">
        <w:t xml:space="preserve">. </w:t>
      </w:r>
    </w:p>
    <w:p w:rsidR="00A139AB" w:rsidRDefault="003924A2" w:rsidP="00045969">
      <w:pPr>
        <w:pStyle w:val="NormalBlack"/>
        <w:numPr>
          <w:ilvl w:val="1"/>
          <w:numId w:val="11"/>
        </w:numPr>
        <w:ind w:left="540" w:hanging="540"/>
      </w:pPr>
      <w:r>
        <w:t>U</w:t>
      </w:r>
      <w:r w:rsidR="00472926">
        <w:t xml:space="preserve">se, or non-use, </w:t>
      </w:r>
      <w:r w:rsidR="00A139AB">
        <w:t>of any</w:t>
      </w:r>
      <w:r w:rsidR="00472926">
        <w:t xml:space="preserve"> particular </w:t>
      </w:r>
      <w:r w:rsidR="00A139AB">
        <w:t xml:space="preserve">information received under this exchange is at the discretion of the recipient, in line with </w:t>
      </w:r>
      <w:r w:rsidR="00891798">
        <w:t>applicable legislation and</w:t>
      </w:r>
      <w:r w:rsidR="000B0A72">
        <w:t xml:space="preserve"> policies.</w:t>
      </w:r>
      <w:r w:rsidR="00A139AB">
        <w:t xml:space="preserve"> </w:t>
      </w:r>
    </w:p>
    <w:p w:rsidR="000D4B6A" w:rsidRPr="00F35612" w:rsidRDefault="00891798" w:rsidP="00045969">
      <w:pPr>
        <w:pStyle w:val="NormalBlack"/>
        <w:numPr>
          <w:ilvl w:val="1"/>
          <w:numId w:val="11"/>
        </w:numPr>
        <w:ind w:left="540" w:hanging="540"/>
      </w:pPr>
      <w:r w:rsidRPr="00F35612">
        <w:t xml:space="preserve">Unless </w:t>
      </w:r>
      <w:r w:rsidR="00ED67EE" w:rsidRPr="00F35612">
        <w:t xml:space="preserve">a contrary intention </w:t>
      </w:r>
      <w:r w:rsidR="00272DC5">
        <w:t>appears</w:t>
      </w:r>
      <w:r w:rsidR="00ED67EE" w:rsidRPr="00F35612">
        <w:t xml:space="preserve">, </w:t>
      </w:r>
      <w:r w:rsidRPr="00F35612">
        <w:t xml:space="preserve">the parties do not intend this </w:t>
      </w:r>
      <w:r w:rsidR="00907C30">
        <w:t xml:space="preserve">agreement </w:t>
      </w:r>
      <w:r w:rsidRPr="00F35612">
        <w:t>to displace</w:t>
      </w:r>
      <w:r w:rsidR="00F35612" w:rsidRPr="00F35612">
        <w:t xml:space="preserve"> </w:t>
      </w:r>
      <w:r w:rsidRPr="00F35612">
        <w:t xml:space="preserve">existing arrangements </w:t>
      </w:r>
      <w:r w:rsidR="00F35612" w:rsidRPr="00F35612">
        <w:t>relating to the National Police Check</w:t>
      </w:r>
      <w:r w:rsidR="00C133E0">
        <w:t>ing</w:t>
      </w:r>
      <w:r w:rsidR="00F35612" w:rsidRPr="00F35612">
        <w:t xml:space="preserve"> Service referred to </w:t>
      </w:r>
      <w:r w:rsidRPr="00195B9C">
        <w:t xml:space="preserve">in </w:t>
      </w:r>
      <w:r w:rsidR="005B0858" w:rsidRPr="00195B9C">
        <w:t>clause</w:t>
      </w:r>
      <w:r w:rsidR="00707596">
        <w:t>s</w:t>
      </w:r>
      <w:r w:rsidR="00005F6C">
        <w:t xml:space="preserve"> </w:t>
      </w:r>
      <w:r w:rsidR="003D1F2A">
        <w:t>4.1</w:t>
      </w:r>
      <w:r w:rsidR="00981BB0">
        <w:t>3</w:t>
      </w:r>
      <w:r w:rsidR="00BB4EA1">
        <w:t>-</w:t>
      </w:r>
      <w:r w:rsidR="003D1F2A">
        <w:t>4.1</w:t>
      </w:r>
      <w:r w:rsidR="00981BB0">
        <w:t>6</w:t>
      </w:r>
      <w:r w:rsidRPr="00195B9C">
        <w:t>.</w:t>
      </w:r>
    </w:p>
    <w:p w:rsidR="00472926" w:rsidRPr="00BB4EA1" w:rsidRDefault="00472926" w:rsidP="00472926">
      <w:pPr>
        <w:pStyle w:val="NormalBlack"/>
        <w:keepNext/>
        <w:numPr>
          <w:ilvl w:val="0"/>
          <w:numId w:val="0"/>
        </w:numPr>
        <w:rPr>
          <w:i/>
        </w:rPr>
      </w:pPr>
      <w:r w:rsidRPr="00BB4EA1">
        <w:rPr>
          <w:i/>
        </w:rPr>
        <w:t>Victoria</w:t>
      </w:r>
      <w:r w:rsidR="005B0858" w:rsidRPr="00BB4EA1">
        <w:rPr>
          <w:i/>
        </w:rPr>
        <w:t xml:space="preserve"> and non-conviction charges</w:t>
      </w:r>
    </w:p>
    <w:p w:rsidR="00472926" w:rsidRDefault="00472926" w:rsidP="00045969">
      <w:pPr>
        <w:pStyle w:val="NormalBlack"/>
        <w:numPr>
          <w:ilvl w:val="1"/>
          <w:numId w:val="11"/>
        </w:numPr>
        <w:ind w:left="540" w:hanging="540"/>
      </w:pPr>
      <w:bookmarkStart w:id="1" w:name="_Ref328672295"/>
      <w:r>
        <w:t xml:space="preserve">The parties acknowledge </w:t>
      </w:r>
      <w:r w:rsidR="00272DC5">
        <w:t>that Victoria will</w:t>
      </w:r>
      <w:r>
        <w:t xml:space="preserve"> not exchange non-conviction charges or information relating to Victorian non-conviction charges under </w:t>
      </w:r>
      <w:r w:rsidR="00D641CC">
        <w:t>the Exchange</w:t>
      </w:r>
      <w:r>
        <w:t>. Accordingly:</w:t>
      </w:r>
      <w:bookmarkEnd w:id="1"/>
    </w:p>
    <w:p w:rsidR="00472926" w:rsidRDefault="00472926" w:rsidP="00045969">
      <w:pPr>
        <w:pStyle w:val="NormalBlack"/>
        <w:numPr>
          <w:ilvl w:val="2"/>
          <w:numId w:val="11"/>
        </w:numPr>
        <w:tabs>
          <w:tab w:val="clear" w:pos="1430"/>
        </w:tabs>
        <w:spacing w:before="120"/>
        <w:ind w:left="1259" w:hanging="720"/>
      </w:pPr>
      <w:r>
        <w:t>Victoria</w:t>
      </w:r>
      <w:r w:rsidR="00C5006A">
        <w:t xml:space="preserve">, </w:t>
      </w:r>
      <w:r>
        <w:t xml:space="preserve">need not </w:t>
      </w:r>
      <w:r w:rsidR="005B0858">
        <w:t xml:space="preserve">remove any barriers to </w:t>
      </w:r>
      <w:r w:rsidR="00C5006A">
        <w:t xml:space="preserve">its police service supplying non-conviction charges under </w:t>
      </w:r>
      <w:r w:rsidR="00D641CC">
        <w:t>the Exchange</w:t>
      </w:r>
      <w:r w:rsidR="00C5006A">
        <w:t>;</w:t>
      </w:r>
    </w:p>
    <w:p w:rsidR="00472926" w:rsidRDefault="00472926" w:rsidP="00045969">
      <w:pPr>
        <w:pStyle w:val="NormalBlack"/>
        <w:numPr>
          <w:ilvl w:val="2"/>
          <w:numId w:val="11"/>
        </w:numPr>
        <w:tabs>
          <w:tab w:val="clear" w:pos="1430"/>
        </w:tabs>
        <w:spacing w:before="120"/>
        <w:ind w:left="1259" w:hanging="720"/>
      </w:pPr>
      <w:r>
        <w:t xml:space="preserve">Victoria’s police service need not supply Victorian non-conviction charges or information relating to Victorian non-conviction charges </w:t>
      </w:r>
      <w:proofErr w:type="spellStart"/>
      <w:r>
        <w:t>interjurisdictionally</w:t>
      </w:r>
      <w:proofErr w:type="spellEnd"/>
      <w:r>
        <w:t xml:space="preserve"> under </w:t>
      </w:r>
      <w:r w:rsidR="00D641CC">
        <w:t>the Exchange</w:t>
      </w:r>
      <w:r>
        <w:t>;</w:t>
      </w:r>
      <w:r w:rsidR="00383B63">
        <w:t xml:space="preserve"> and</w:t>
      </w:r>
    </w:p>
    <w:p w:rsidR="00472926" w:rsidRPr="00D85E23" w:rsidRDefault="00472926" w:rsidP="00045969">
      <w:pPr>
        <w:pStyle w:val="NormalBlack"/>
        <w:numPr>
          <w:ilvl w:val="2"/>
          <w:numId w:val="11"/>
        </w:numPr>
        <w:tabs>
          <w:tab w:val="clear" w:pos="1430"/>
        </w:tabs>
        <w:spacing w:before="120"/>
        <w:ind w:left="1259" w:hanging="720"/>
      </w:pPr>
      <w:proofErr w:type="gramStart"/>
      <w:r>
        <w:t>other</w:t>
      </w:r>
      <w:proofErr w:type="gramEnd"/>
      <w:r>
        <w:t xml:space="preserve"> police services need not, but may, supply non</w:t>
      </w:r>
      <w:r w:rsidR="009B3906">
        <w:t>-conviction charges to Victoria</w:t>
      </w:r>
      <w:r w:rsidR="0013756D">
        <w:t xml:space="preserve">. </w:t>
      </w:r>
      <w:r>
        <w:t>(</w:t>
      </w:r>
      <w:r w:rsidR="0013756D">
        <w:t xml:space="preserve">Victoria </w:t>
      </w:r>
      <w:r>
        <w:t>advise</w:t>
      </w:r>
      <w:r w:rsidR="009B3906">
        <w:t>s</w:t>
      </w:r>
      <w:r>
        <w:t xml:space="preserve"> </w:t>
      </w:r>
      <w:r w:rsidR="0013756D">
        <w:t>its police service will vet</w:t>
      </w:r>
      <w:r>
        <w:t xml:space="preserve"> </w:t>
      </w:r>
      <w:r w:rsidR="0013756D">
        <w:t>inter</w:t>
      </w:r>
      <w:r w:rsidR="00322251">
        <w:t>jurisdictional</w:t>
      </w:r>
      <w:r w:rsidR="0013756D">
        <w:t xml:space="preserve"> criminal history information</w:t>
      </w:r>
      <w:r w:rsidR="009B3906">
        <w:t xml:space="preserve"> to remove </w:t>
      </w:r>
      <w:r w:rsidR="006A25AE">
        <w:t xml:space="preserve">interjurisdictional </w:t>
      </w:r>
      <w:r>
        <w:t>non-conviction charges</w:t>
      </w:r>
      <w:r w:rsidR="009B3906">
        <w:t xml:space="preserve"> before the information is forwarded to Victoria’s participating screening units)</w:t>
      </w:r>
      <w:r>
        <w:t>.</w:t>
      </w:r>
    </w:p>
    <w:p w:rsidR="00BE1218" w:rsidRDefault="00D641CC" w:rsidP="00045969">
      <w:pPr>
        <w:pStyle w:val="Heading1"/>
        <w:numPr>
          <w:ilvl w:val="0"/>
          <w:numId w:val="11"/>
        </w:numPr>
        <w:tabs>
          <w:tab w:val="clear" w:pos="360"/>
        </w:tabs>
        <w:spacing w:before="480"/>
        <w:ind w:left="540" w:hanging="540"/>
        <w:rPr>
          <w:sz w:val="28"/>
          <w:szCs w:val="28"/>
        </w:rPr>
      </w:pPr>
      <w:r>
        <w:rPr>
          <w:sz w:val="28"/>
          <w:szCs w:val="28"/>
        </w:rPr>
        <w:t>The Exchange</w:t>
      </w:r>
    </w:p>
    <w:p w:rsidR="00BE1218" w:rsidRDefault="00BE1218" w:rsidP="00045969">
      <w:pPr>
        <w:pStyle w:val="NormalBlack"/>
        <w:numPr>
          <w:ilvl w:val="1"/>
          <w:numId w:val="11"/>
        </w:numPr>
        <w:ind w:left="540" w:hanging="540"/>
      </w:pPr>
      <w:bookmarkStart w:id="2" w:name="_Ref328668318"/>
      <w:r>
        <w:t xml:space="preserve">The parties agree to a national exchange of criminal history information for people working with children </w:t>
      </w:r>
      <w:r w:rsidR="00B571D0">
        <w:t>as provided for in this agreement</w:t>
      </w:r>
      <w:bookmarkEnd w:id="2"/>
      <w:r w:rsidR="00077141">
        <w:t>.</w:t>
      </w:r>
    </w:p>
    <w:p w:rsidR="00F12028" w:rsidRDefault="00323953" w:rsidP="00A54A1B">
      <w:pPr>
        <w:pStyle w:val="Heading3"/>
        <w:rPr>
          <w:sz w:val="24"/>
          <w:szCs w:val="24"/>
        </w:rPr>
      </w:pPr>
      <w:r>
        <w:rPr>
          <w:sz w:val="24"/>
          <w:szCs w:val="24"/>
        </w:rPr>
        <w:t>The i</w:t>
      </w:r>
      <w:r w:rsidR="00A54A1B" w:rsidRPr="00896A2D">
        <w:rPr>
          <w:sz w:val="24"/>
          <w:szCs w:val="24"/>
        </w:rPr>
        <w:t xml:space="preserve">nformation </w:t>
      </w:r>
      <w:r w:rsidR="00F12028" w:rsidRPr="00896A2D">
        <w:rPr>
          <w:sz w:val="24"/>
          <w:szCs w:val="24"/>
        </w:rPr>
        <w:t>to be exchanged</w:t>
      </w:r>
    </w:p>
    <w:p w:rsidR="005245F1" w:rsidRDefault="00891798" w:rsidP="00045969">
      <w:pPr>
        <w:pStyle w:val="NormalBlack"/>
        <w:numPr>
          <w:ilvl w:val="1"/>
          <w:numId w:val="11"/>
        </w:numPr>
        <w:ind w:left="540" w:hanging="540"/>
      </w:pPr>
      <w:r>
        <w:t xml:space="preserve">The parties agree that they will </w:t>
      </w:r>
      <w:r w:rsidR="005245F1">
        <w:t>continue to exchange convictions held by jurisdictions’ police services.</w:t>
      </w:r>
    </w:p>
    <w:p w:rsidR="00F12028" w:rsidRDefault="00891798" w:rsidP="00045969">
      <w:pPr>
        <w:pStyle w:val="NormalBlack"/>
        <w:numPr>
          <w:ilvl w:val="1"/>
          <w:numId w:val="11"/>
        </w:numPr>
        <w:ind w:left="540" w:hanging="540"/>
      </w:pPr>
      <w:bookmarkStart w:id="3" w:name="_Ref328669098"/>
      <w:r>
        <w:t xml:space="preserve">The parties agree that they will also </w:t>
      </w:r>
      <w:r w:rsidR="00F12028">
        <w:t xml:space="preserve">exchange </w:t>
      </w:r>
      <w:r w:rsidR="00BE1218">
        <w:t>the following criminal history information held by jurisdictions’</w:t>
      </w:r>
      <w:r w:rsidR="00F12028">
        <w:t xml:space="preserve"> police services </w:t>
      </w:r>
      <w:r w:rsidR="00F12028" w:rsidRPr="00F12028">
        <w:rPr>
          <w:b/>
        </w:rPr>
        <w:t>(“the expanded criminal history information”</w:t>
      </w:r>
      <w:r w:rsidR="00F12028" w:rsidRPr="00F12028">
        <w:t>)</w:t>
      </w:r>
      <w:r w:rsidR="00BE1218">
        <w:t>:</w:t>
      </w:r>
      <w:bookmarkEnd w:id="3"/>
      <w:r w:rsidR="00BE1218">
        <w:t xml:space="preserve"> </w:t>
      </w:r>
    </w:p>
    <w:p w:rsidR="00F12028" w:rsidRDefault="00F12028" w:rsidP="00045969">
      <w:pPr>
        <w:pStyle w:val="NormalBlack"/>
        <w:numPr>
          <w:ilvl w:val="2"/>
          <w:numId w:val="11"/>
        </w:numPr>
        <w:tabs>
          <w:tab w:val="clear" w:pos="1430"/>
        </w:tabs>
        <w:spacing w:before="120"/>
        <w:ind w:left="1259" w:hanging="720"/>
      </w:pPr>
      <w:r w:rsidRPr="00E80434">
        <w:lastRenderedPageBreak/>
        <w:t>spent convictions;</w:t>
      </w:r>
    </w:p>
    <w:p w:rsidR="00F12028" w:rsidRDefault="00F12028" w:rsidP="00045969">
      <w:pPr>
        <w:pStyle w:val="NormalBlack"/>
        <w:numPr>
          <w:ilvl w:val="2"/>
          <w:numId w:val="11"/>
        </w:numPr>
        <w:tabs>
          <w:tab w:val="clear" w:pos="1430"/>
        </w:tabs>
        <w:spacing w:before="120"/>
        <w:ind w:left="1259" w:hanging="720"/>
      </w:pPr>
      <w:r w:rsidRPr="00E80434">
        <w:t>pending charges</w:t>
      </w:r>
      <w:r>
        <w:t>;</w:t>
      </w:r>
      <w:r w:rsidRPr="00E80434">
        <w:t xml:space="preserve"> and </w:t>
      </w:r>
    </w:p>
    <w:p w:rsidR="00F12028" w:rsidRDefault="00F12028" w:rsidP="00045969">
      <w:pPr>
        <w:pStyle w:val="NormalBlack"/>
        <w:numPr>
          <w:ilvl w:val="2"/>
          <w:numId w:val="11"/>
        </w:numPr>
        <w:tabs>
          <w:tab w:val="clear" w:pos="1430"/>
        </w:tabs>
        <w:spacing w:before="120"/>
        <w:ind w:left="1259" w:hanging="720"/>
      </w:pPr>
      <w:proofErr w:type="gramStart"/>
      <w:r>
        <w:t>except</w:t>
      </w:r>
      <w:proofErr w:type="gramEnd"/>
      <w:r>
        <w:t xml:space="preserve"> for Victoria</w:t>
      </w:r>
      <w:r w:rsidR="00891798">
        <w:t xml:space="preserve"> </w:t>
      </w:r>
      <w:r w:rsidR="00891798" w:rsidRPr="00EB2AB5">
        <w:t>(</w:t>
      </w:r>
      <w:r w:rsidR="00891798" w:rsidRPr="00195B9C">
        <w:t>see clause</w:t>
      </w:r>
      <w:r w:rsidR="0023577B">
        <w:t xml:space="preserve"> </w:t>
      </w:r>
      <w:r w:rsidR="00A9777B">
        <w:fldChar w:fldCharType="begin"/>
      </w:r>
      <w:r w:rsidR="00AD1806">
        <w:instrText xml:space="preserve"> REF _Ref328672295 \w \h </w:instrText>
      </w:r>
      <w:r w:rsidR="00A9777B">
        <w:fldChar w:fldCharType="separate"/>
      </w:r>
      <w:r w:rsidR="005578FA">
        <w:t>3.5</w:t>
      </w:r>
      <w:r w:rsidR="00A9777B">
        <w:fldChar w:fldCharType="end"/>
      </w:r>
      <w:r w:rsidR="00891798" w:rsidRPr="00195B9C">
        <w:t>)</w:t>
      </w:r>
      <w:r w:rsidRPr="00195B9C">
        <w:t>, non</w:t>
      </w:r>
      <w:r>
        <w:t>-conviction charges</w:t>
      </w:r>
      <w:r w:rsidR="00631F12">
        <w:t>.</w:t>
      </w:r>
    </w:p>
    <w:p w:rsidR="002B3124" w:rsidRDefault="00F12028" w:rsidP="00045969">
      <w:pPr>
        <w:pStyle w:val="NormalBlack"/>
        <w:numPr>
          <w:ilvl w:val="1"/>
          <w:numId w:val="11"/>
        </w:numPr>
        <w:ind w:left="540" w:hanging="540"/>
      </w:pPr>
      <w:bookmarkStart w:id="4" w:name="_Ref328668291"/>
      <w:r>
        <w:t>The parties agree that</w:t>
      </w:r>
      <w:r w:rsidR="00F77EC0">
        <w:t xml:space="preserve"> </w:t>
      </w:r>
      <w:r>
        <w:t>they will exchange</w:t>
      </w:r>
      <w:r w:rsidR="00F77EC0">
        <w:t xml:space="preserve">, if available, </w:t>
      </w:r>
      <w:r>
        <w:t xml:space="preserve">further information </w:t>
      </w:r>
      <w:r w:rsidR="00740BA8">
        <w:t>(</w:t>
      </w:r>
      <w:r w:rsidR="00740BA8" w:rsidRPr="002B3124">
        <w:rPr>
          <w:b/>
        </w:rPr>
        <w:t>“circumstances information”</w:t>
      </w:r>
      <w:r w:rsidR="00740BA8">
        <w:t xml:space="preserve">) </w:t>
      </w:r>
      <w:r>
        <w:t>held by</w:t>
      </w:r>
      <w:r w:rsidR="00740BA8">
        <w:t xml:space="preserve"> jurisdictions’ police services—</w:t>
      </w:r>
      <w:r w:rsidR="00631F12">
        <w:t>typically in prosecution briefs o</w:t>
      </w:r>
      <w:r w:rsidR="00740BA8">
        <w:t>r statements of material facts—</w:t>
      </w:r>
      <w:r w:rsidR="008E0C77">
        <w:t xml:space="preserve"> </w:t>
      </w:r>
      <w:r>
        <w:t xml:space="preserve">about the circumstances of </w:t>
      </w:r>
      <w:r w:rsidR="00631F12">
        <w:t xml:space="preserve">an </w:t>
      </w:r>
      <w:r>
        <w:t xml:space="preserve">offence or alleged offence that might </w:t>
      </w:r>
      <w:r w:rsidRPr="00E80434">
        <w:t xml:space="preserve">not be clear from the </w:t>
      </w:r>
      <w:r w:rsidR="00631F12">
        <w:t xml:space="preserve">bare </w:t>
      </w:r>
      <w:r w:rsidRPr="00E80434">
        <w:t>record</w:t>
      </w:r>
      <w:r w:rsidR="00631F12">
        <w:t xml:space="preserve"> of the offence or alleged offence</w:t>
      </w:r>
      <w:r w:rsidRPr="00E80434">
        <w:t xml:space="preserve">, </w:t>
      </w:r>
      <w:r w:rsidR="002B3124">
        <w:t>such as:</w:t>
      </w:r>
      <w:bookmarkEnd w:id="4"/>
    </w:p>
    <w:p w:rsidR="002B3124" w:rsidRDefault="00631F12" w:rsidP="00045969">
      <w:pPr>
        <w:pStyle w:val="NormalBlack"/>
        <w:numPr>
          <w:ilvl w:val="2"/>
          <w:numId w:val="11"/>
        </w:numPr>
        <w:tabs>
          <w:tab w:val="clear" w:pos="1430"/>
        </w:tabs>
        <w:spacing w:before="120"/>
        <w:ind w:left="1259" w:hanging="720"/>
      </w:pPr>
      <w:r>
        <w:t xml:space="preserve">when the offence was committed or was </w:t>
      </w:r>
      <w:r w:rsidR="002B3124">
        <w:t>alleged to have been committed;</w:t>
      </w:r>
    </w:p>
    <w:p w:rsidR="002B3124" w:rsidRDefault="00631F12" w:rsidP="00045969">
      <w:pPr>
        <w:pStyle w:val="NormalBlack"/>
        <w:numPr>
          <w:ilvl w:val="2"/>
          <w:numId w:val="11"/>
        </w:numPr>
        <w:tabs>
          <w:tab w:val="clear" w:pos="1430"/>
        </w:tabs>
        <w:spacing w:before="120"/>
        <w:ind w:left="1259" w:hanging="720"/>
      </w:pPr>
      <w:r>
        <w:t xml:space="preserve">the age of the offender or alleged offender; </w:t>
      </w:r>
    </w:p>
    <w:p w:rsidR="002B3124" w:rsidRDefault="00631F12" w:rsidP="00045969">
      <w:pPr>
        <w:pStyle w:val="NormalBlack"/>
        <w:numPr>
          <w:ilvl w:val="2"/>
          <w:numId w:val="11"/>
        </w:numPr>
        <w:tabs>
          <w:tab w:val="clear" w:pos="1430"/>
        </w:tabs>
        <w:spacing w:before="120"/>
        <w:ind w:left="1259" w:hanging="720"/>
      </w:pPr>
      <w:r>
        <w:t xml:space="preserve">the age of the victim of the offence or alleged offence; </w:t>
      </w:r>
    </w:p>
    <w:p w:rsidR="002B3124" w:rsidRDefault="00631F12" w:rsidP="00045969">
      <w:pPr>
        <w:pStyle w:val="NormalBlack"/>
        <w:numPr>
          <w:ilvl w:val="2"/>
          <w:numId w:val="11"/>
        </w:numPr>
        <w:tabs>
          <w:tab w:val="clear" w:pos="1430"/>
        </w:tabs>
        <w:spacing w:before="120"/>
        <w:ind w:left="1259" w:hanging="720"/>
      </w:pPr>
      <w:r>
        <w:t>whether the offence or alleged offence</w:t>
      </w:r>
      <w:r w:rsidR="009B602B">
        <w:t xml:space="preserve"> involved, might have involved or was intended to involve a child or children</w:t>
      </w:r>
      <w:r>
        <w:t xml:space="preserve">; </w:t>
      </w:r>
    </w:p>
    <w:p w:rsidR="009B602B" w:rsidRDefault="009B602B" w:rsidP="00045969">
      <w:pPr>
        <w:pStyle w:val="NormalBlack"/>
        <w:numPr>
          <w:ilvl w:val="2"/>
          <w:numId w:val="11"/>
        </w:numPr>
        <w:tabs>
          <w:tab w:val="clear" w:pos="1430"/>
        </w:tabs>
        <w:spacing w:before="120"/>
        <w:ind w:left="1259" w:hanging="720"/>
      </w:pPr>
      <w:r>
        <w:t xml:space="preserve">the relationship, if any, between the offender or alleged offender and any </w:t>
      </w:r>
      <w:r w:rsidR="00866BD9">
        <w:t xml:space="preserve">child involved in </w:t>
      </w:r>
      <w:r>
        <w:t xml:space="preserve">the offence or alleged offence; </w:t>
      </w:r>
    </w:p>
    <w:p w:rsidR="002B3124" w:rsidRDefault="00631F12" w:rsidP="00045969">
      <w:pPr>
        <w:pStyle w:val="NormalBlack"/>
        <w:numPr>
          <w:ilvl w:val="2"/>
          <w:numId w:val="11"/>
        </w:numPr>
        <w:tabs>
          <w:tab w:val="clear" w:pos="1430"/>
        </w:tabs>
        <w:spacing w:before="120"/>
        <w:ind w:left="1259" w:hanging="720"/>
      </w:pPr>
      <w:r>
        <w:t xml:space="preserve">the </w:t>
      </w:r>
      <w:r w:rsidR="00A647BF">
        <w:t xml:space="preserve">circumstances and nature of the </w:t>
      </w:r>
      <w:r>
        <w:t xml:space="preserve">behaviours constituting or involved with </w:t>
      </w:r>
      <w:r w:rsidR="002B3124">
        <w:t xml:space="preserve">the offence or alleged offence; </w:t>
      </w:r>
      <w:r>
        <w:t xml:space="preserve">and </w:t>
      </w:r>
    </w:p>
    <w:p w:rsidR="00740BA8" w:rsidRDefault="00631F12" w:rsidP="00045969">
      <w:pPr>
        <w:pStyle w:val="NormalBlack"/>
        <w:numPr>
          <w:ilvl w:val="2"/>
          <w:numId w:val="11"/>
        </w:numPr>
        <w:tabs>
          <w:tab w:val="clear" w:pos="1430"/>
        </w:tabs>
        <w:spacing w:before="120"/>
        <w:ind w:left="1259" w:hanging="720"/>
      </w:pPr>
      <w:proofErr w:type="gramStart"/>
      <w:r>
        <w:t>other</w:t>
      </w:r>
      <w:proofErr w:type="gramEnd"/>
      <w:r>
        <w:t xml:space="preserve"> factors relevant to a decision about </w:t>
      </w:r>
      <w:r w:rsidR="005C35C8">
        <w:t xml:space="preserve">whether a person poses a risk of harm to </w:t>
      </w:r>
      <w:r>
        <w:t>chi</w:t>
      </w:r>
      <w:r w:rsidR="00740BA8">
        <w:t xml:space="preserve">ldren. </w:t>
      </w:r>
    </w:p>
    <w:p w:rsidR="00553940" w:rsidRDefault="00553940" w:rsidP="00045969">
      <w:pPr>
        <w:pStyle w:val="NormalBlack"/>
        <w:numPr>
          <w:ilvl w:val="1"/>
          <w:numId w:val="11"/>
        </w:numPr>
        <w:ind w:left="540" w:hanging="540"/>
      </w:pPr>
      <w:r>
        <w:t xml:space="preserve">This </w:t>
      </w:r>
      <w:r w:rsidR="003668D4">
        <w:t xml:space="preserve">agreement </w:t>
      </w:r>
      <w:r>
        <w:t>does not:</w:t>
      </w:r>
    </w:p>
    <w:p w:rsidR="005C35C8" w:rsidRDefault="00553940" w:rsidP="00045969">
      <w:pPr>
        <w:pStyle w:val="NormalBlack"/>
        <w:numPr>
          <w:ilvl w:val="2"/>
          <w:numId w:val="11"/>
        </w:numPr>
        <w:tabs>
          <w:tab w:val="clear" w:pos="1430"/>
        </w:tabs>
        <w:spacing w:before="120"/>
        <w:ind w:left="1259" w:hanging="720"/>
      </w:pPr>
      <w:r>
        <w:t xml:space="preserve">displace existing processes for obtaining </w:t>
      </w:r>
      <w:r w:rsidR="005C35C8" w:rsidRPr="004B6F5D">
        <w:t xml:space="preserve">information </w:t>
      </w:r>
      <w:r>
        <w:t>for child-related employment screening</w:t>
      </w:r>
      <w:r w:rsidR="00370C7E">
        <w:t>; or</w:t>
      </w:r>
    </w:p>
    <w:p w:rsidR="00370C7E" w:rsidRPr="004B6F5D" w:rsidRDefault="00370C7E" w:rsidP="00045969">
      <w:pPr>
        <w:pStyle w:val="NormalBlack"/>
        <w:numPr>
          <w:ilvl w:val="2"/>
          <w:numId w:val="11"/>
        </w:numPr>
        <w:tabs>
          <w:tab w:val="clear" w:pos="1430"/>
        </w:tabs>
        <w:spacing w:before="120"/>
        <w:ind w:left="1259" w:hanging="720"/>
      </w:pPr>
      <w:proofErr w:type="gramStart"/>
      <w:r>
        <w:t>subject</w:t>
      </w:r>
      <w:proofErr w:type="gramEnd"/>
      <w:r>
        <w:t xml:space="preserve"> existing processes for obtaining </w:t>
      </w:r>
      <w:r w:rsidRPr="004B6F5D">
        <w:t xml:space="preserve">information </w:t>
      </w:r>
      <w:r>
        <w:t xml:space="preserve">for child-related </w:t>
      </w:r>
      <w:r w:rsidRPr="00195B9C">
        <w:t>employment screening to new fees.</w:t>
      </w:r>
    </w:p>
    <w:p w:rsidR="00DB2989" w:rsidRPr="004636AB" w:rsidRDefault="008E76CD" w:rsidP="004636AB">
      <w:pPr>
        <w:pStyle w:val="NormalBlack"/>
        <w:keepNext/>
        <w:numPr>
          <w:ilvl w:val="0"/>
          <w:numId w:val="0"/>
        </w:numPr>
        <w:rPr>
          <w:i/>
        </w:rPr>
      </w:pPr>
      <w:r w:rsidRPr="004636AB">
        <w:rPr>
          <w:i/>
        </w:rPr>
        <w:t xml:space="preserve">The expanded </w:t>
      </w:r>
      <w:r w:rsidR="004636AB" w:rsidRPr="004636AB">
        <w:rPr>
          <w:i/>
        </w:rPr>
        <w:t>criminal</w:t>
      </w:r>
      <w:r w:rsidRPr="004636AB">
        <w:rPr>
          <w:i/>
        </w:rPr>
        <w:t xml:space="preserve"> history information and </w:t>
      </w:r>
      <w:r w:rsidR="00C67E82">
        <w:rPr>
          <w:i/>
        </w:rPr>
        <w:t>relevant databases</w:t>
      </w:r>
    </w:p>
    <w:p w:rsidR="004636AB" w:rsidRDefault="0053241E" w:rsidP="00045969">
      <w:pPr>
        <w:pStyle w:val="NormalBlack"/>
        <w:numPr>
          <w:ilvl w:val="1"/>
          <w:numId w:val="11"/>
        </w:numPr>
        <w:ind w:left="540" w:hanging="540"/>
      </w:pPr>
      <w:r>
        <w:t>The p</w:t>
      </w:r>
      <w:r w:rsidR="004636AB">
        <w:t xml:space="preserve">arties note that not all police services upload all categories of the expanded criminal history information to </w:t>
      </w:r>
      <w:r w:rsidR="00C67E82">
        <w:t>relevant databases</w:t>
      </w:r>
      <w:r w:rsidR="005B2D90">
        <w:t>.</w:t>
      </w:r>
      <w:r w:rsidR="004636AB">
        <w:t xml:space="preserve"> </w:t>
      </w:r>
    </w:p>
    <w:p w:rsidR="004636AB" w:rsidRDefault="005B2D90" w:rsidP="00045969">
      <w:pPr>
        <w:pStyle w:val="NormalBlack"/>
        <w:numPr>
          <w:ilvl w:val="1"/>
          <w:numId w:val="11"/>
        </w:numPr>
        <w:ind w:left="540" w:hanging="540"/>
      </w:pPr>
      <w:r>
        <w:t>T</w:t>
      </w:r>
      <w:r w:rsidR="004636AB">
        <w:t>he parties:</w:t>
      </w:r>
    </w:p>
    <w:p w:rsidR="004636AB" w:rsidRDefault="004636AB" w:rsidP="00C81756">
      <w:pPr>
        <w:pStyle w:val="NormalBlack"/>
        <w:numPr>
          <w:ilvl w:val="2"/>
          <w:numId w:val="11"/>
        </w:numPr>
        <w:tabs>
          <w:tab w:val="clear" w:pos="1430"/>
          <w:tab w:val="left" w:pos="1260"/>
        </w:tabs>
        <w:spacing w:before="120"/>
        <w:ind w:left="1259" w:hanging="720"/>
      </w:pPr>
      <w:r>
        <w:t xml:space="preserve">note that it is desirable to the integrity of </w:t>
      </w:r>
      <w:r w:rsidR="00077141">
        <w:t>child-related</w:t>
      </w:r>
      <w:r>
        <w:t xml:space="preserve"> employment screening undertaken pursuant to </w:t>
      </w:r>
      <w:r w:rsidR="00D641CC">
        <w:t>the Exchange</w:t>
      </w:r>
      <w:r w:rsidRPr="00647124">
        <w:t xml:space="preserve"> </w:t>
      </w:r>
      <w:r>
        <w:t>that all police services upload all categories of the expanded</w:t>
      </w:r>
      <w:r w:rsidR="00AD50BD">
        <w:t xml:space="preserve"> criminal history information</w:t>
      </w:r>
      <w:r>
        <w:t xml:space="preserve">; and </w:t>
      </w:r>
    </w:p>
    <w:p w:rsidR="004636AB" w:rsidRDefault="004636AB" w:rsidP="00C81756">
      <w:pPr>
        <w:pStyle w:val="NormalBlack"/>
        <w:numPr>
          <w:ilvl w:val="2"/>
          <w:numId w:val="11"/>
        </w:numPr>
        <w:tabs>
          <w:tab w:val="clear" w:pos="1430"/>
          <w:tab w:val="left" w:pos="1260"/>
        </w:tabs>
        <w:spacing w:before="120"/>
        <w:ind w:left="1259" w:hanging="720"/>
      </w:pPr>
      <w:proofErr w:type="gramStart"/>
      <w:r>
        <w:t>encourage</w:t>
      </w:r>
      <w:proofErr w:type="gramEnd"/>
      <w:r>
        <w:t xml:space="preserve"> police services, except the Victorian police service in relation to non-conviction charges</w:t>
      </w:r>
      <w:r w:rsidR="00AD50BD">
        <w:t xml:space="preserve">, to use their best endeavours, </w:t>
      </w:r>
      <w:r w:rsidRPr="004636AB">
        <w:t>to upload all categories of the expanded criminal history information in a timely manner</w:t>
      </w:r>
      <w:r>
        <w:t xml:space="preserve">. </w:t>
      </w:r>
    </w:p>
    <w:p w:rsidR="00BE71CD" w:rsidRDefault="00977E38" w:rsidP="00977E38">
      <w:pPr>
        <w:pStyle w:val="Heading3"/>
        <w:spacing w:before="0"/>
        <w:rPr>
          <w:sz w:val="24"/>
          <w:szCs w:val="24"/>
        </w:rPr>
      </w:pPr>
      <w:r>
        <w:rPr>
          <w:sz w:val="24"/>
          <w:szCs w:val="24"/>
        </w:rPr>
        <w:br w:type="page"/>
      </w:r>
      <w:r w:rsidR="00BE71CD">
        <w:rPr>
          <w:sz w:val="24"/>
          <w:szCs w:val="24"/>
        </w:rPr>
        <w:lastRenderedPageBreak/>
        <w:t>Governance arrangements</w:t>
      </w:r>
    </w:p>
    <w:p w:rsidR="00BE71CD" w:rsidRDefault="005703F5" w:rsidP="00045969">
      <w:pPr>
        <w:pStyle w:val="NormalBlack"/>
        <w:numPr>
          <w:ilvl w:val="1"/>
          <w:numId w:val="11"/>
        </w:numPr>
        <w:ind w:left="540" w:hanging="540"/>
      </w:pPr>
      <w:r>
        <w:t xml:space="preserve">The </w:t>
      </w:r>
      <w:r w:rsidR="00476CC7">
        <w:t>Steering Committee</w:t>
      </w:r>
      <w:r w:rsidR="00C67E82">
        <w:t xml:space="preserve"> </w:t>
      </w:r>
      <w:r w:rsidR="00BE71CD">
        <w:t>is responsible for:</w:t>
      </w:r>
    </w:p>
    <w:p w:rsidR="00AE7CE8" w:rsidRDefault="00EA2F81" w:rsidP="00C81756">
      <w:pPr>
        <w:pStyle w:val="NormalBlack"/>
        <w:numPr>
          <w:ilvl w:val="2"/>
          <w:numId w:val="11"/>
        </w:numPr>
        <w:tabs>
          <w:tab w:val="clear" w:pos="1430"/>
        </w:tabs>
        <w:ind w:left="1259" w:hanging="720"/>
      </w:pPr>
      <w:r>
        <w:t xml:space="preserve">facilitating </w:t>
      </w:r>
      <w:r w:rsidR="00D611AF">
        <w:t>the operation of</w:t>
      </w:r>
      <w:r w:rsidR="00BE71CD">
        <w:t xml:space="preserve"> </w:t>
      </w:r>
      <w:r w:rsidR="00D641CC">
        <w:t>the Exchange</w:t>
      </w:r>
      <w:r w:rsidR="00AE7CE8">
        <w:t>;</w:t>
      </w:r>
    </w:p>
    <w:p w:rsidR="0027275E" w:rsidRDefault="00AE7CE8" w:rsidP="00C81756">
      <w:pPr>
        <w:pStyle w:val="NormalBlack"/>
        <w:numPr>
          <w:ilvl w:val="2"/>
          <w:numId w:val="11"/>
        </w:numPr>
        <w:tabs>
          <w:tab w:val="clear" w:pos="1430"/>
        </w:tabs>
        <w:ind w:left="1259" w:hanging="720"/>
      </w:pPr>
      <w:r>
        <w:t>promoting the continuous improvement of the Exchange including scope, efficacy and cost;</w:t>
      </w:r>
    </w:p>
    <w:p w:rsidR="0027275E" w:rsidRDefault="00DE27D9" w:rsidP="00C81756">
      <w:pPr>
        <w:pStyle w:val="NormalBlack"/>
        <w:numPr>
          <w:ilvl w:val="2"/>
          <w:numId w:val="11"/>
        </w:numPr>
        <w:tabs>
          <w:tab w:val="clear" w:pos="1430"/>
        </w:tabs>
        <w:ind w:left="1259" w:hanging="720"/>
      </w:pPr>
      <w:r>
        <w:t xml:space="preserve">considering nominations for new </w:t>
      </w:r>
      <w:r w:rsidR="00077141">
        <w:t>child-related</w:t>
      </w:r>
      <w:r>
        <w:t xml:space="preserve"> employment screening units to become participating screening units, and providing such nominations to </w:t>
      </w:r>
      <w:r w:rsidR="00ED19DC">
        <w:t xml:space="preserve">COAG Senior </w:t>
      </w:r>
      <w:r w:rsidR="00EC6676">
        <w:t>Officials for</w:t>
      </w:r>
      <w:r>
        <w:t xml:space="preserve"> their approval;</w:t>
      </w:r>
    </w:p>
    <w:p w:rsidR="0027275E" w:rsidRDefault="00D611AF" w:rsidP="00C81756">
      <w:pPr>
        <w:pStyle w:val="NormalBlack"/>
        <w:numPr>
          <w:ilvl w:val="2"/>
          <w:numId w:val="11"/>
        </w:numPr>
        <w:tabs>
          <w:tab w:val="clear" w:pos="1430"/>
        </w:tabs>
        <w:ind w:left="1259" w:hanging="720"/>
      </w:pPr>
      <w:r>
        <w:t xml:space="preserve">resolving </w:t>
      </w:r>
      <w:r w:rsidR="00440082">
        <w:t xml:space="preserve">operational concerns and </w:t>
      </w:r>
      <w:r>
        <w:t xml:space="preserve">disputes </w:t>
      </w:r>
      <w:r w:rsidR="004702CA">
        <w:t>whi</w:t>
      </w:r>
      <w:r w:rsidR="00440082">
        <w:t xml:space="preserve">ch arise under </w:t>
      </w:r>
      <w:r w:rsidR="00D641CC">
        <w:t>the Exchange</w:t>
      </w:r>
      <w:r w:rsidR="00440082">
        <w:t>;</w:t>
      </w:r>
    </w:p>
    <w:p w:rsidR="00A87851" w:rsidRDefault="003B40B1" w:rsidP="00C81756">
      <w:pPr>
        <w:pStyle w:val="NormalBlack"/>
        <w:numPr>
          <w:ilvl w:val="2"/>
          <w:numId w:val="11"/>
        </w:numPr>
        <w:tabs>
          <w:tab w:val="clear" w:pos="1430"/>
        </w:tabs>
        <w:ind w:left="1259" w:hanging="720"/>
      </w:pPr>
      <w:r>
        <w:t xml:space="preserve">where a satisfactory resolution is not reached, referring the issue to COAG Senior Officials for consideration </w:t>
      </w:r>
      <w:r w:rsidR="00440082">
        <w:t>and</w:t>
      </w:r>
      <w:r w:rsidR="00D04BCE">
        <w:t xml:space="preserve"> resolution </w:t>
      </w:r>
      <w:r w:rsidR="002B270F">
        <w:t xml:space="preserve">in accordance with </w:t>
      </w:r>
      <w:r w:rsidR="00077141">
        <w:t xml:space="preserve">clauses </w:t>
      </w:r>
      <w:r w:rsidR="002B270F">
        <w:t>8.</w:t>
      </w:r>
      <w:r w:rsidR="005414D2">
        <w:t>7</w:t>
      </w:r>
      <w:r w:rsidR="002B270F">
        <w:t>-8.1</w:t>
      </w:r>
      <w:r w:rsidR="005414D2">
        <w:t>0</w:t>
      </w:r>
      <w:r>
        <w:t xml:space="preserve"> of this agreement</w:t>
      </w:r>
      <w:r w:rsidR="00A87851">
        <w:t xml:space="preserve">; </w:t>
      </w:r>
    </w:p>
    <w:p w:rsidR="001577EB" w:rsidRDefault="001577EB" w:rsidP="00C81756">
      <w:pPr>
        <w:pStyle w:val="NormalBlack"/>
        <w:numPr>
          <w:ilvl w:val="2"/>
          <w:numId w:val="11"/>
        </w:numPr>
        <w:tabs>
          <w:tab w:val="clear" w:pos="1430"/>
        </w:tabs>
        <w:ind w:left="1259" w:hanging="720"/>
      </w:pPr>
      <w:r>
        <w:t>collecting data if the Steering Committee considers that is appropriate or necessary pursuant to its responsibilities under this agreement; and</w:t>
      </w:r>
    </w:p>
    <w:p w:rsidR="001577EB" w:rsidRDefault="001577EB" w:rsidP="00C81756">
      <w:pPr>
        <w:pStyle w:val="NormalBlack"/>
        <w:numPr>
          <w:ilvl w:val="2"/>
          <w:numId w:val="11"/>
        </w:numPr>
        <w:tabs>
          <w:tab w:val="clear" w:pos="1430"/>
        </w:tabs>
        <w:ind w:left="1259" w:hanging="720"/>
      </w:pPr>
      <w:r>
        <w:t>any other work agreed to by the Steering Committee</w:t>
      </w:r>
    </w:p>
    <w:p w:rsidR="00AE7CE8" w:rsidRDefault="001577EB" w:rsidP="00045969">
      <w:pPr>
        <w:pStyle w:val="NormalBlack"/>
        <w:numPr>
          <w:ilvl w:val="1"/>
          <w:numId w:val="11"/>
        </w:numPr>
        <w:ind w:left="540" w:hanging="540"/>
      </w:pPr>
      <w:r>
        <w:t>The Steering Committee will meet once a year or as necessary by mutual agreement.</w:t>
      </w:r>
    </w:p>
    <w:p w:rsidR="00155F34" w:rsidRPr="00896A2D" w:rsidRDefault="00155F34" w:rsidP="00155F34">
      <w:pPr>
        <w:pStyle w:val="Heading3"/>
        <w:rPr>
          <w:sz w:val="24"/>
          <w:szCs w:val="24"/>
        </w:rPr>
      </w:pPr>
      <w:r w:rsidRPr="00896A2D">
        <w:rPr>
          <w:sz w:val="24"/>
          <w:szCs w:val="24"/>
        </w:rPr>
        <w:t>Participating screening units</w:t>
      </w:r>
    </w:p>
    <w:p w:rsidR="001F31E2" w:rsidRDefault="00051299" w:rsidP="00045969">
      <w:pPr>
        <w:pStyle w:val="NormalBlack"/>
        <w:numPr>
          <w:ilvl w:val="1"/>
          <w:numId w:val="11"/>
        </w:numPr>
        <w:ind w:left="540" w:hanging="540"/>
      </w:pPr>
      <w:bookmarkStart w:id="5" w:name="_Ref328668469"/>
      <w:r>
        <w:t>Given the sensitivity of the expanded crimin</w:t>
      </w:r>
      <w:r w:rsidR="001F31E2">
        <w:t>al history information, parties:</w:t>
      </w:r>
      <w:bookmarkEnd w:id="5"/>
    </w:p>
    <w:p w:rsidR="00051299" w:rsidRPr="00195B9C" w:rsidRDefault="00051299" w:rsidP="00045969">
      <w:pPr>
        <w:pStyle w:val="NormalBlack"/>
        <w:numPr>
          <w:ilvl w:val="2"/>
          <w:numId w:val="11"/>
        </w:numPr>
        <w:tabs>
          <w:tab w:val="clear" w:pos="1430"/>
        </w:tabs>
        <w:spacing w:before="120"/>
        <w:ind w:left="1259" w:hanging="720"/>
      </w:pPr>
      <w:r>
        <w:t xml:space="preserve">agree that, to participate in </w:t>
      </w:r>
      <w:r w:rsidR="00D641CC">
        <w:t>the Exchange</w:t>
      </w:r>
      <w:r>
        <w:t xml:space="preserve">, </w:t>
      </w:r>
      <w:r w:rsidR="00077141">
        <w:t>child-related</w:t>
      </w:r>
      <w:r>
        <w:t xml:space="preserve"> employment screening </w:t>
      </w:r>
      <w:r w:rsidRPr="00195B9C">
        <w:t>units should meet the conditions on the receipt, use, storage</w:t>
      </w:r>
      <w:r w:rsidR="00D105C7" w:rsidRPr="00195B9C">
        <w:t xml:space="preserve"> and destruction </w:t>
      </w:r>
      <w:r w:rsidRPr="00195B9C">
        <w:t xml:space="preserve">of the expanded criminal history information contained in Schedule </w:t>
      </w:r>
      <w:r w:rsidR="005E280C" w:rsidRPr="00195B9C">
        <w:t>1</w:t>
      </w:r>
      <w:r w:rsidRPr="00195B9C">
        <w:t xml:space="preserve"> to the </w:t>
      </w:r>
      <w:r w:rsidR="00F05647">
        <w:t xml:space="preserve">agreement </w:t>
      </w:r>
      <w:r w:rsidR="001F31E2" w:rsidRPr="00195B9C">
        <w:t xml:space="preserve">(the </w:t>
      </w:r>
      <w:r w:rsidR="005E280C" w:rsidRPr="00195B9C">
        <w:rPr>
          <w:b/>
        </w:rPr>
        <w:t>“</w:t>
      </w:r>
      <w:r w:rsidR="001F31E2" w:rsidRPr="00195B9C">
        <w:rPr>
          <w:b/>
        </w:rPr>
        <w:t>participation requirements</w:t>
      </w:r>
      <w:r w:rsidR="005E280C" w:rsidRPr="00195B9C">
        <w:rPr>
          <w:b/>
        </w:rPr>
        <w:t>”</w:t>
      </w:r>
      <w:r w:rsidR="001F31E2" w:rsidRPr="00195B9C">
        <w:t>);</w:t>
      </w:r>
      <w:r w:rsidR="005E280C" w:rsidRPr="00195B9C">
        <w:t xml:space="preserve"> and</w:t>
      </w:r>
    </w:p>
    <w:p w:rsidR="001F31E2" w:rsidRDefault="001F31E2" w:rsidP="00045969">
      <w:pPr>
        <w:pStyle w:val="NormalBlack"/>
        <w:numPr>
          <w:ilvl w:val="2"/>
          <w:numId w:val="11"/>
        </w:numPr>
        <w:tabs>
          <w:tab w:val="clear" w:pos="1430"/>
        </w:tabs>
        <w:spacing w:before="120"/>
        <w:ind w:left="1259" w:hanging="720"/>
      </w:pPr>
      <w:proofErr w:type="gramStart"/>
      <w:r w:rsidRPr="00195B9C">
        <w:t>affirm</w:t>
      </w:r>
      <w:proofErr w:type="gramEnd"/>
      <w:r w:rsidRPr="00195B9C">
        <w:t xml:space="preserve"> that each </w:t>
      </w:r>
      <w:r w:rsidR="00077141">
        <w:t>child-related</w:t>
      </w:r>
      <w:r w:rsidRPr="00195B9C">
        <w:t xml:space="preserve"> employment screening unit they have nominated for inclusion in Schedule </w:t>
      </w:r>
      <w:r w:rsidR="005E280C" w:rsidRPr="00195B9C">
        <w:t>2</w:t>
      </w:r>
      <w:r w:rsidRPr="00195B9C">
        <w:t xml:space="preserve"> meets the participation requirements or will meet the participation requirements before </w:t>
      </w:r>
      <w:r w:rsidR="005E280C" w:rsidRPr="00195B9C">
        <w:t>the unit</w:t>
      </w:r>
      <w:r w:rsidRPr="00195B9C">
        <w:t xml:space="preserve"> makes its first request for criminal history</w:t>
      </w:r>
      <w:r w:rsidR="005E280C">
        <w:t xml:space="preserve"> information under </w:t>
      </w:r>
      <w:r w:rsidR="00D641CC">
        <w:t>the Exchange</w:t>
      </w:r>
      <w:r w:rsidR="005E280C">
        <w:t>.</w:t>
      </w:r>
    </w:p>
    <w:p w:rsidR="00155F34" w:rsidRDefault="00155F34" w:rsidP="00045969">
      <w:pPr>
        <w:pStyle w:val="NormalBlack"/>
        <w:numPr>
          <w:ilvl w:val="1"/>
          <w:numId w:val="11"/>
        </w:numPr>
        <w:ind w:left="540" w:hanging="540"/>
      </w:pPr>
      <w:bookmarkStart w:id="6" w:name="_Ref328668483"/>
      <w:r>
        <w:t xml:space="preserve">The </w:t>
      </w:r>
      <w:r w:rsidR="00077141">
        <w:t>child-related</w:t>
      </w:r>
      <w:r>
        <w:t xml:space="preserve"> employment screening units listed </w:t>
      </w:r>
      <w:r w:rsidRPr="00195B9C">
        <w:t xml:space="preserve">in Schedule </w:t>
      </w:r>
      <w:r w:rsidR="005E280C" w:rsidRPr="00195B9C">
        <w:t>2</w:t>
      </w:r>
      <w:r w:rsidR="00D02F16" w:rsidRPr="00195B9C">
        <w:t xml:space="preserve"> </w:t>
      </w:r>
      <w:r w:rsidRPr="00195B9C">
        <w:t xml:space="preserve">to the </w:t>
      </w:r>
      <w:r w:rsidR="00F05647">
        <w:t>agreement</w:t>
      </w:r>
      <w:r w:rsidR="00F05647" w:rsidRPr="00195B9C">
        <w:t xml:space="preserve"> </w:t>
      </w:r>
      <w:r w:rsidRPr="00195B9C">
        <w:t>and</w:t>
      </w:r>
      <w:r w:rsidR="00530C76">
        <w:t>,</w:t>
      </w:r>
      <w:r w:rsidRPr="00195B9C">
        <w:t xml:space="preserve"> </w:t>
      </w:r>
      <w:r w:rsidR="00F92AC8">
        <w:t xml:space="preserve">provided they have advised CrimTrac and </w:t>
      </w:r>
      <w:r w:rsidR="006A25AE">
        <w:t xml:space="preserve">interjurisdictional </w:t>
      </w:r>
      <w:r w:rsidR="00F92AC8">
        <w:t>police services in writing that they have complied with all requirements under this agreement</w:t>
      </w:r>
      <w:r w:rsidR="0047197D">
        <w:t xml:space="preserve">, </w:t>
      </w:r>
      <w:r w:rsidR="00F92AC8">
        <w:t xml:space="preserve">the </w:t>
      </w:r>
      <w:r w:rsidR="00077141">
        <w:t>child-related</w:t>
      </w:r>
      <w:r w:rsidR="00470744" w:rsidRPr="00195B9C">
        <w:t xml:space="preserve"> employment </w:t>
      </w:r>
      <w:r w:rsidRPr="00195B9C">
        <w:t xml:space="preserve">screening units added to Schedule </w:t>
      </w:r>
      <w:r w:rsidR="00D3667F" w:rsidRPr="00195B9C">
        <w:t>2</w:t>
      </w:r>
      <w:r w:rsidRPr="00195B9C">
        <w:t xml:space="preserve"> </w:t>
      </w:r>
      <w:r w:rsidR="00470744" w:rsidRPr="00195B9C">
        <w:t>in the</w:t>
      </w:r>
      <w:r w:rsidR="00470744">
        <w:t xml:space="preserve"> </w:t>
      </w:r>
      <w:r w:rsidR="00470744" w:rsidRPr="00195B9C">
        <w:t xml:space="preserve">future </w:t>
      </w:r>
      <w:r w:rsidR="005414D2">
        <w:t xml:space="preserve">pursuant to </w:t>
      </w:r>
      <w:r w:rsidR="004C2A9F" w:rsidRPr="00195B9C">
        <w:t xml:space="preserve">Part </w:t>
      </w:r>
      <w:r w:rsidR="00AD50BD" w:rsidRPr="00195B9C">
        <w:t>7</w:t>
      </w:r>
      <w:r w:rsidR="00530C76">
        <w:t>,</w:t>
      </w:r>
      <w:r w:rsidR="004C2A9F" w:rsidRPr="00195B9C">
        <w:t xml:space="preserve"> </w:t>
      </w:r>
      <w:r w:rsidRPr="00195B9C">
        <w:t xml:space="preserve">(the </w:t>
      </w:r>
      <w:r w:rsidRPr="00195B9C">
        <w:rPr>
          <w:b/>
        </w:rPr>
        <w:t>“participating</w:t>
      </w:r>
      <w:r w:rsidRPr="00155F34">
        <w:rPr>
          <w:b/>
        </w:rPr>
        <w:t xml:space="preserve"> screening units”</w:t>
      </w:r>
      <w:r>
        <w:t>):</w:t>
      </w:r>
      <w:bookmarkEnd w:id="6"/>
    </w:p>
    <w:p w:rsidR="00155F34" w:rsidRDefault="00155F34" w:rsidP="00045969">
      <w:pPr>
        <w:pStyle w:val="NormalBlack"/>
        <w:numPr>
          <w:ilvl w:val="2"/>
          <w:numId w:val="11"/>
        </w:numPr>
        <w:tabs>
          <w:tab w:val="clear" w:pos="1430"/>
        </w:tabs>
        <w:spacing w:before="120"/>
        <w:ind w:left="1259" w:hanging="720"/>
      </w:pPr>
      <w:r>
        <w:t xml:space="preserve">are </w:t>
      </w:r>
      <w:r w:rsidRPr="008D00A6">
        <w:t xml:space="preserve">authorised by </w:t>
      </w:r>
      <w:r w:rsidR="005554A0" w:rsidRPr="008D00A6">
        <w:t xml:space="preserve">the parties </w:t>
      </w:r>
      <w:r w:rsidRPr="008D00A6">
        <w:t>to participate</w:t>
      </w:r>
      <w:r>
        <w:t xml:space="preserve"> in </w:t>
      </w:r>
      <w:r w:rsidR="00D641CC">
        <w:t>the Exchange</w:t>
      </w:r>
      <w:r>
        <w:t xml:space="preserve">; </w:t>
      </w:r>
    </w:p>
    <w:p w:rsidR="00D3667F" w:rsidRDefault="00155F34" w:rsidP="00045969">
      <w:pPr>
        <w:pStyle w:val="NormalBlack"/>
        <w:numPr>
          <w:ilvl w:val="2"/>
          <w:numId w:val="11"/>
        </w:numPr>
        <w:tabs>
          <w:tab w:val="clear" w:pos="1430"/>
        </w:tabs>
        <w:spacing w:before="120"/>
        <w:ind w:left="1259" w:hanging="720"/>
      </w:pPr>
      <w:r>
        <w:t xml:space="preserve">may request and receive the expanded criminal history information and circumstances information under </w:t>
      </w:r>
      <w:r w:rsidR="00D641CC">
        <w:t>the Exchange</w:t>
      </w:r>
      <w:r w:rsidR="00D3667F">
        <w:t>; and</w:t>
      </w:r>
    </w:p>
    <w:p w:rsidR="005E280C" w:rsidRPr="00195B9C" w:rsidRDefault="005E280C" w:rsidP="00045969">
      <w:pPr>
        <w:pStyle w:val="NormalBlack"/>
        <w:numPr>
          <w:ilvl w:val="2"/>
          <w:numId w:val="11"/>
        </w:numPr>
        <w:tabs>
          <w:tab w:val="clear" w:pos="1430"/>
        </w:tabs>
        <w:spacing w:before="120"/>
        <w:ind w:left="1259" w:hanging="720"/>
      </w:pPr>
      <w:proofErr w:type="gramStart"/>
      <w:r>
        <w:lastRenderedPageBreak/>
        <w:t>will</w:t>
      </w:r>
      <w:proofErr w:type="gramEnd"/>
      <w:r>
        <w:t xml:space="preserve"> continue to comply with the participation </w:t>
      </w:r>
      <w:r w:rsidRPr="004C2A9F">
        <w:t xml:space="preserve">requirements </w:t>
      </w:r>
      <w:r w:rsidR="0069456D">
        <w:t xml:space="preserve">unless </w:t>
      </w:r>
      <w:r w:rsidR="00CD69C1">
        <w:t xml:space="preserve">the </w:t>
      </w:r>
      <w:r w:rsidR="00CD69C1" w:rsidRPr="00195B9C">
        <w:t>participating screening unit notifies CrimTrac and police services of any decision under clause</w:t>
      </w:r>
      <w:r w:rsidR="005414D2">
        <w:t>s</w:t>
      </w:r>
      <w:r w:rsidR="00CD69C1" w:rsidRPr="00195B9C">
        <w:t xml:space="preserve"> </w:t>
      </w:r>
      <w:r w:rsidR="005414D2">
        <w:t>8.3-8.6</w:t>
      </w:r>
      <w:r w:rsidR="00CD69C1" w:rsidRPr="00195B9C">
        <w:t xml:space="preserve"> to no longer participate in </w:t>
      </w:r>
      <w:r w:rsidR="00D641CC">
        <w:t>the Exchange</w:t>
      </w:r>
      <w:r w:rsidR="00CD69C1" w:rsidRPr="00195B9C">
        <w:t>.</w:t>
      </w:r>
    </w:p>
    <w:p w:rsidR="003336FA" w:rsidRDefault="004703A9" w:rsidP="00045969">
      <w:pPr>
        <w:pStyle w:val="NormalBlack"/>
        <w:numPr>
          <w:ilvl w:val="1"/>
          <w:numId w:val="11"/>
        </w:numPr>
        <w:ind w:left="540" w:hanging="540"/>
      </w:pPr>
      <w:r>
        <w:t xml:space="preserve">The requirements in this </w:t>
      </w:r>
      <w:r w:rsidR="003668D4">
        <w:t xml:space="preserve">agreement </w:t>
      </w:r>
      <w:r>
        <w:t>on a pa</w:t>
      </w:r>
      <w:r w:rsidR="004C2A9F">
        <w:t>rty to supply information</w:t>
      </w:r>
      <w:r w:rsidR="00BF6126">
        <w:t xml:space="preserve"> apply regardless of whether the party has </w:t>
      </w:r>
      <w:r>
        <w:t xml:space="preserve">a </w:t>
      </w:r>
      <w:r w:rsidR="00077141">
        <w:t>child-related</w:t>
      </w:r>
      <w:r>
        <w:t xml:space="preserve"> employment screening </w:t>
      </w:r>
      <w:r w:rsidR="006507C9">
        <w:t xml:space="preserve">unit </w:t>
      </w:r>
      <w:r w:rsidR="004C2A9F">
        <w:t>participat</w:t>
      </w:r>
      <w:r w:rsidR="00BF6126">
        <w:t>ing</w:t>
      </w:r>
      <w:r w:rsidR="004C2A9F">
        <w:t xml:space="preserve"> in </w:t>
      </w:r>
      <w:r w:rsidR="00D641CC">
        <w:t>the Exchange</w:t>
      </w:r>
      <w:r w:rsidR="00BF6126">
        <w:t>.</w:t>
      </w:r>
    </w:p>
    <w:p w:rsidR="006001D5" w:rsidRPr="006001D5" w:rsidRDefault="00E904CD" w:rsidP="006001D5">
      <w:pPr>
        <w:pStyle w:val="NormalBlack"/>
        <w:keepNext/>
        <w:numPr>
          <w:ilvl w:val="0"/>
          <w:numId w:val="0"/>
        </w:numPr>
        <w:rPr>
          <w:rFonts w:ascii="Arial" w:hAnsi="Arial" w:cs="Arial"/>
          <w:b/>
        </w:rPr>
      </w:pPr>
      <w:bookmarkStart w:id="7" w:name="_Ref328668396"/>
      <w:r>
        <w:rPr>
          <w:rFonts w:ascii="Arial" w:hAnsi="Arial" w:cs="Arial"/>
          <w:b/>
        </w:rPr>
        <w:t xml:space="preserve">Process for </w:t>
      </w:r>
      <w:r w:rsidR="00D641CC">
        <w:rPr>
          <w:rFonts w:ascii="Arial" w:hAnsi="Arial" w:cs="Arial"/>
          <w:b/>
        </w:rPr>
        <w:t>exchanging</w:t>
      </w:r>
      <w:r>
        <w:rPr>
          <w:rFonts w:ascii="Arial" w:hAnsi="Arial" w:cs="Arial"/>
          <w:b/>
        </w:rPr>
        <w:t xml:space="preserve"> information</w:t>
      </w:r>
    </w:p>
    <w:p w:rsidR="0027275E" w:rsidRDefault="005A0A5D" w:rsidP="00045969">
      <w:pPr>
        <w:pStyle w:val="NormalBlack"/>
        <w:keepNext/>
        <w:numPr>
          <w:ilvl w:val="1"/>
          <w:numId w:val="11"/>
        </w:numPr>
        <w:ind w:left="540" w:hanging="540"/>
      </w:pPr>
      <w:r>
        <w:t>P</w:t>
      </w:r>
      <w:r w:rsidR="00937F33">
        <w:t xml:space="preserve">olice services and CrimTrac provide a </w:t>
      </w:r>
      <w:r w:rsidR="00937F33" w:rsidRPr="004E31FC">
        <w:t xml:space="preserve">National </w:t>
      </w:r>
      <w:r w:rsidR="00937F33" w:rsidRPr="00370C7E">
        <w:t>Police Check</w:t>
      </w:r>
      <w:r w:rsidR="00C133E0">
        <w:t>ing</w:t>
      </w:r>
      <w:r w:rsidR="00937F33" w:rsidRPr="00370C7E">
        <w:t xml:space="preserve"> Service (</w:t>
      </w:r>
      <w:r w:rsidR="00937F33" w:rsidRPr="00370C7E">
        <w:rPr>
          <w:b/>
        </w:rPr>
        <w:t>“NPCS”</w:t>
      </w:r>
      <w:r w:rsidR="00937F33" w:rsidRPr="00370C7E">
        <w:t>)</w:t>
      </w:r>
      <w:r w:rsidR="00937F33">
        <w:t xml:space="preserve"> </w:t>
      </w:r>
      <w:r w:rsidR="00937F33" w:rsidRPr="004E31FC">
        <w:t xml:space="preserve">to </w:t>
      </w:r>
      <w:r w:rsidR="00937F33">
        <w:t>a range of entities, including the participating screening units and police services acting on participating screening units’ behalf</w:t>
      </w:r>
      <w:bookmarkEnd w:id="7"/>
      <w:r w:rsidR="00495CF0">
        <w:t>.</w:t>
      </w:r>
    </w:p>
    <w:p w:rsidR="0027275E" w:rsidRDefault="005A0A5D" w:rsidP="00045969">
      <w:pPr>
        <w:pStyle w:val="NormalBlack"/>
        <w:keepNext/>
        <w:numPr>
          <w:ilvl w:val="1"/>
          <w:numId w:val="11"/>
        </w:numPr>
        <w:ind w:left="540" w:hanging="540"/>
      </w:pPr>
      <w:r>
        <w:t>E</w:t>
      </w:r>
      <w:r w:rsidR="00937F33">
        <w:t>ntities, including participating screening units, have entered into contractual arrangements with CrimTrac to access NPCS or have entered into other arrangements with police services or CrimTrac to access NPCS</w:t>
      </w:r>
      <w:r w:rsidR="00495CF0">
        <w:t>.</w:t>
      </w:r>
    </w:p>
    <w:p w:rsidR="0027275E" w:rsidRDefault="005A0A5D" w:rsidP="00045969">
      <w:pPr>
        <w:pStyle w:val="NormalBlack"/>
        <w:keepNext/>
        <w:numPr>
          <w:ilvl w:val="1"/>
          <w:numId w:val="11"/>
        </w:numPr>
        <w:ind w:left="540" w:hanging="540"/>
      </w:pPr>
      <w:bookmarkStart w:id="8" w:name="_Ref328668408"/>
      <w:r>
        <w:t>T</w:t>
      </w:r>
      <w:r w:rsidR="00937F33">
        <w:t>he contractual or other arrangements with CrimTrac and police services</w:t>
      </w:r>
      <w:r w:rsidR="005414D2">
        <w:t>,</w:t>
      </w:r>
      <w:r w:rsidR="00434A48">
        <w:t xml:space="preserve"> </w:t>
      </w:r>
      <w:r w:rsidR="00937F33">
        <w:t>and participating screening units’ existing legislative and administrative arrangements</w:t>
      </w:r>
      <w:r w:rsidR="005414D2">
        <w:t>,</w:t>
      </w:r>
      <w:r w:rsidR="00434A48">
        <w:t xml:space="preserve"> </w:t>
      </w:r>
      <w:r w:rsidR="00937F33">
        <w:t>variously require or provide for participating screening units to do various things, such as ensuring the unit:</w:t>
      </w:r>
      <w:bookmarkEnd w:id="8"/>
      <w:r w:rsidR="00937F33">
        <w:t xml:space="preserve"> </w:t>
      </w:r>
    </w:p>
    <w:p w:rsidR="0027275E" w:rsidRDefault="00937F33" w:rsidP="00045969">
      <w:pPr>
        <w:pStyle w:val="NormalBlack"/>
        <w:numPr>
          <w:ilvl w:val="0"/>
          <w:numId w:val="17"/>
        </w:numPr>
        <w:spacing w:before="120"/>
      </w:pPr>
      <w:r>
        <w:t>has collected sufficient details to establish the identity of the applicant before the unit makes a request of CrimTrac</w:t>
      </w:r>
      <w:r w:rsidR="009F1473">
        <w:t xml:space="preserve"> or </w:t>
      </w:r>
      <w:r w:rsidR="00E257F9">
        <w:t xml:space="preserve">its </w:t>
      </w:r>
      <w:r w:rsidR="009F1473">
        <w:t>police service,</w:t>
      </w:r>
      <w:r>
        <w:t xml:space="preserve"> for a NPCS </w:t>
      </w:r>
      <w:r w:rsidRPr="00630AC5">
        <w:t>check</w:t>
      </w:r>
      <w:r>
        <w:t>;</w:t>
      </w:r>
    </w:p>
    <w:p w:rsidR="0027275E" w:rsidRDefault="00937F33" w:rsidP="00045969">
      <w:pPr>
        <w:pStyle w:val="NormalBlack"/>
        <w:numPr>
          <w:ilvl w:val="0"/>
          <w:numId w:val="17"/>
        </w:numPr>
        <w:spacing w:before="120"/>
      </w:pPr>
      <w:bookmarkStart w:id="9" w:name="_Ref328668573"/>
      <w:r>
        <w:t xml:space="preserve">has obtained appropriate consent from the applicant to the </w:t>
      </w:r>
      <w:r w:rsidRPr="00DE5D59">
        <w:t>NPCS</w:t>
      </w:r>
      <w:r w:rsidRPr="004D28BC">
        <w:t xml:space="preserve"> check</w:t>
      </w:r>
      <w:r>
        <w:t xml:space="preserve"> and to disclosure of criminal history information to the unit or other organisations as applicable;</w:t>
      </w:r>
      <w:bookmarkEnd w:id="9"/>
    </w:p>
    <w:p w:rsidR="0027275E" w:rsidRDefault="00937F33" w:rsidP="00045969">
      <w:pPr>
        <w:pStyle w:val="NormalBlack"/>
        <w:numPr>
          <w:ilvl w:val="0"/>
          <w:numId w:val="17"/>
        </w:numPr>
        <w:spacing w:before="120"/>
      </w:pPr>
      <w:r>
        <w:t>makes the request of CrimTrac</w:t>
      </w:r>
      <w:r w:rsidR="009F1473">
        <w:t xml:space="preserve"> or</w:t>
      </w:r>
      <w:r w:rsidR="00E257F9">
        <w:t xml:space="preserve"> its</w:t>
      </w:r>
      <w:r w:rsidR="009F1473">
        <w:t xml:space="preserve"> </w:t>
      </w:r>
      <w:r w:rsidR="00EA2F81">
        <w:t>police service</w:t>
      </w:r>
      <w:r w:rsidR="009F1473">
        <w:t>,</w:t>
      </w:r>
      <w:r>
        <w:t xml:space="preserve"> for a </w:t>
      </w:r>
      <w:r w:rsidRPr="00630AC5">
        <w:t>NPCS</w:t>
      </w:r>
      <w:r>
        <w:t xml:space="preserve"> check</w:t>
      </w:r>
      <w:r w:rsidR="009F1473">
        <w:t xml:space="preserve">, </w:t>
      </w:r>
      <w:r>
        <w:t>by specifyi</w:t>
      </w:r>
      <w:r w:rsidR="00467AEC">
        <w:t xml:space="preserve">ng the purpose of the check; </w:t>
      </w:r>
    </w:p>
    <w:p w:rsidR="0027275E" w:rsidRDefault="00937F33" w:rsidP="00045969">
      <w:pPr>
        <w:pStyle w:val="NormalBlack"/>
        <w:numPr>
          <w:ilvl w:val="0"/>
          <w:numId w:val="17"/>
        </w:numPr>
        <w:spacing w:before="120"/>
      </w:pPr>
      <w:r>
        <w:t xml:space="preserve">pays the applicable CrimTrac charge and any police service charge for a NPCS check; </w:t>
      </w:r>
    </w:p>
    <w:p w:rsidR="0027275E" w:rsidRDefault="00937F33" w:rsidP="00045969">
      <w:pPr>
        <w:pStyle w:val="NormalBlack"/>
        <w:numPr>
          <w:ilvl w:val="0"/>
          <w:numId w:val="17"/>
        </w:numPr>
        <w:spacing w:before="120"/>
      </w:pPr>
      <w:r>
        <w:t xml:space="preserve">complies with any relevant Commonwealth, State and Territory legislation, including privacy, freedom of information or human rights legislation; </w:t>
      </w:r>
    </w:p>
    <w:p w:rsidR="0027275E" w:rsidRDefault="00937F33" w:rsidP="00045969">
      <w:pPr>
        <w:pStyle w:val="NormalBlack"/>
        <w:numPr>
          <w:ilvl w:val="0"/>
          <w:numId w:val="17"/>
        </w:numPr>
        <w:spacing w:before="120"/>
      </w:pPr>
      <w:r>
        <w:t>manages and protects the criminal history information and confide</w:t>
      </w:r>
      <w:r w:rsidR="00CC116E">
        <w:t>ntial information appropriately;</w:t>
      </w:r>
      <w:r>
        <w:t xml:space="preserve"> and</w:t>
      </w:r>
    </w:p>
    <w:p w:rsidR="0027275E" w:rsidRDefault="00937F33" w:rsidP="00045969">
      <w:pPr>
        <w:pStyle w:val="NormalBlack"/>
        <w:numPr>
          <w:ilvl w:val="0"/>
          <w:numId w:val="17"/>
        </w:numPr>
        <w:spacing w:before="120"/>
      </w:pPr>
      <w:r>
        <w:t>where applicable, complies with police service and CrimTrac monitoring and auditing arrangements and reports security breaches to the relevant police services and CrimTrac</w:t>
      </w:r>
    </w:p>
    <w:p w:rsidR="0027275E" w:rsidRDefault="005A0A5D" w:rsidP="00045969">
      <w:pPr>
        <w:pStyle w:val="NormalBlack"/>
        <w:keepNext/>
        <w:numPr>
          <w:ilvl w:val="1"/>
          <w:numId w:val="11"/>
        </w:numPr>
        <w:ind w:left="540" w:hanging="540"/>
      </w:pPr>
      <w:r>
        <w:lastRenderedPageBreak/>
        <w:t>U</w:t>
      </w:r>
      <w:r w:rsidR="00937F33">
        <w:t xml:space="preserve">nder </w:t>
      </w:r>
      <w:r w:rsidR="00D641CC">
        <w:t>the Exchange</w:t>
      </w:r>
      <w:r w:rsidR="00937F33">
        <w:t>, when a participating screening unit makes a request of CrimTrac for a check, police services, including police services outside the unit’s jurisdiction, will supply the expanded criminal history information to the unit</w:t>
      </w:r>
      <w:r w:rsidR="004C3272">
        <w:t xml:space="preserve"> in a timely manner. If </w:t>
      </w:r>
      <w:r w:rsidR="00E257F9">
        <w:t xml:space="preserve">a </w:t>
      </w:r>
      <w:r w:rsidR="00434A48">
        <w:t>lengthy turnaround time is required because, for example, documents are required to be retrieved from remote locations</w:t>
      </w:r>
      <w:r w:rsidR="00E257F9">
        <w:t xml:space="preserve">, </w:t>
      </w:r>
      <w:r w:rsidR="004C3272">
        <w:t xml:space="preserve">police services will notify the unit of the reason for </w:t>
      </w:r>
      <w:r w:rsidR="00580764">
        <w:t>this</w:t>
      </w:r>
      <w:r w:rsidR="00563482">
        <w:t>.</w:t>
      </w:r>
    </w:p>
    <w:p w:rsidR="0027275E" w:rsidRDefault="00610C71" w:rsidP="00045969">
      <w:pPr>
        <w:pStyle w:val="NormalBlack"/>
        <w:keepNext/>
        <w:numPr>
          <w:ilvl w:val="1"/>
          <w:numId w:val="11"/>
        </w:numPr>
        <w:ind w:left="540" w:hanging="540"/>
      </w:pPr>
      <w:bookmarkStart w:id="10" w:name="_Ref328668437"/>
      <w:r>
        <w:t>A</w:t>
      </w:r>
      <w:r w:rsidR="00937F33">
        <w:t xml:space="preserve"> participating screening unit will treat the expanded criminal history information received from police services outside the unit’s jurisdiction </w:t>
      </w:r>
      <w:r w:rsidR="00937F33" w:rsidRPr="00937F33">
        <w:rPr>
          <w:b/>
        </w:rPr>
        <w:t>(“</w:t>
      </w:r>
      <w:r w:rsidR="004D0C33">
        <w:rPr>
          <w:b/>
        </w:rPr>
        <w:t>interjurisdictional</w:t>
      </w:r>
      <w:r w:rsidR="00937F33" w:rsidRPr="00937F33">
        <w:rPr>
          <w:b/>
        </w:rPr>
        <w:t xml:space="preserve"> expanded criminal history information”</w:t>
      </w:r>
      <w:r w:rsidR="00937F33">
        <w:t>) in accordance with the participation requirements</w:t>
      </w:r>
      <w:r w:rsidR="009550F5">
        <w:t>.</w:t>
      </w:r>
      <w:bookmarkEnd w:id="10"/>
    </w:p>
    <w:p w:rsidR="0027275E" w:rsidRDefault="00610C71" w:rsidP="00045969">
      <w:pPr>
        <w:pStyle w:val="NormalBlack"/>
        <w:keepNext/>
        <w:numPr>
          <w:ilvl w:val="1"/>
          <w:numId w:val="11"/>
        </w:numPr>
        <w:ind w:left="540" w:hanging="540"/>
      </w:pPr>
      <w:bookmarkStart w:id="11" w:name="_Ref328668457"/>
      <w:r>
        <w:t xml:space="preserve">A </w:t>
      </w:r>
      <w:r w:rsidR="00937F33">
        <w:t xml:space="preserve">participating screening unit that has received an </w:t>
      </w:r>
      <w:r w:rsidR="004D0C33">
        <w:t>interjurisdictional</w:t>
      </w:r>
      <w:r w:rsidR="00937F33">
        <w:t xml:space="preserve"> conviction or </w:t>
      </w:r>
      <w:r w:rsidR="004D0C33">
        <w:t>interjurisdictional</w:t>
      </w:r>
      <w:r w:rsidR="00937F33">
        <w:t xml:space="preserve"> expanded criminal history information may ask the police service of another jurisdiction for circumstances information relating to the conviction or to the expanded criminal history information</w:t>
      </w:r>
      <w:r w:rsidR="009550F5">
        <w:t>.</w:t>
      </w:r>
      <w:bookmarkEnd w:id="11"/>
    </w:p>
    <w:p w:rsidR="00C0592A" w:rsidRDefault="00C0592A" w:rsidP="00045969">
      <w:pPr>
        <w:pStyle w:val="NormalBlack"/>
        <w:keepNext/>
        <w:numPr>
          <w:ilvl w:val="1"/>
          <w:numId w:val="11"/>
        </w:numPr>
        <w:ind w:left="540" w:hanging="540"/>
      </w:pPr>
      <w:r>
        <w:t>A request made by a participating screening unit of an interjurisdictional police servic</w:t>
      </w:r>
      <w:r w:rsidR="005B1E98">
        <w:t xml:space="preserve">e for circumstances information </w:t>
      </w:r>
      <w:r>
        <w:t>will be in a form agreed to by the unit and the police service (including any form agreed nationally between police services and participating screening units) that indicates the purpose of the request and provides sufficient information identifying the person and their relevant charge or conviction;</w:t>
      </w:r>
    </w:p>
    <w:p w:rsidR="008A6531" w:rsidRDefault="008A6531" w:rsidP="00045969">
      <w:pPr>
        <w:pStyle w:val="NormalBlack"/>
        <w:keepNext/>
        <w:numPr>
          <w:ilvl w:val="1"/>
          <w:numId w:val="11"/>
        </w:numPr>
        <w:ind w:left="540" w:hanging="540"/>
      </w:pPr>
      <w:r>
        <w:t>A request made</w:t>
      </w:r>
      <w:r w:rsidRPr="008A6531">
        <w:t xml:space="preserve"> </w:t>
      </w:r>
      <w:r w:rsidRPr="004B7C9C">
        <w:t xml:space="preserve">by a participating screening unit of an interjurisdictional police service for circumstances information will be the subject of fees and </w:t>
      </w:r>
      <w:r w:rsidR="0022078D">
        <w:t xml:space="preserve">the </w:t>
      </w:r>
      <w:r w:rsidRPr="004B7C9C">
        <w:t xml:space="preserve">billing guidelines in Schedule 4 of this agreement. Fees may be waived or reduced by police services at their discretion </w:t>
      </w:r>
      <w:r w:rsidR="0022078D">
        <w:t xml:space="preserve">and billing arrangements may be </w:t>
      </w:r>
      <w:r>
        <w:t xml:space="preserve">altered </w:t>
      </w:r>
      <w:r w:rsidRPr="004B7C9C">
        <w:t>by agreement with the requesting screening unit.</w:t>
      </w:r>
    </w:p>
    <w:p w:rsidR="008A6531" w:rsidRDefault="008A6531" w:rsidP="00045969">
      <w:pPr>
        <w:pStyle w:val="NormalBlack"/>
        <w:keepNext/>
        <w:numPr>
          <w:ilvl w:val="1"/>
          <w:numId w:val="11"/>
        </w:numPr>
        <w:ind w:left="540" w:hanging="540"/>
      </w:pPr>
      <w:r>
        <w:t>When a participating screening unit makes a request for circumstances information to an interjurisdictional police service, the police service will supply the circumstances information, if available, to the unit in a form agreed to by the unit and the police service, in a timely manner.</w:t>
      </w:r>
    </w:p>
    <w:p w:rsidR="0027275E" w:rsidRDefault="008A6531" w:rsidP="00045969">
      <w:pPr>
        <w:pStyle w:val="NormalBlack"/>
        <w:keepNext/>
        <w:numPr>
          <w:ilvl w:val="1"/>
          <w:numId w:val="11"/>
        </w:numPr>
        <w:ind w:left="540" w:hanging="540"/>
      </w:pPr>
      <w:r>
        <w:t>When circumstances information is not able to be provided in response to a request or if a lengthy turnaround time is required, the police service will inform the participating screening unit of the reason for this.</w:t>
      </w:r>
    </w:p>
    <w:p w:rsidR="00FD5462" w:rsidRPr="00FD5462" w:rsidRDefault="00FD5462" w:rsidP="00045969">
      <w:pPr>
        <w:pStyle w:val="Heading1"/>
        <w:numPr>
          <w:ilvl w:val="0"/>
          <w:numId w:val="11"/>
        </w:numPr>
        <w:tabs>
          <w:tab w:val="clear" w:pos="360"/>
        </w:tabs>
        <w:spacing w:before="480"/>
        <w:ind w:left="539" w:hanging="539"/>
        <w:rPr>
          <w:sz w:val="28"/>
          <w:szCs w:val="28"/>
        </w:rPr>
      </w:pPr>
      <w:r w:rsidRPr="00FD5462">
        <w:rPr>
          <w:sz w:val="28"/>
          <w:szCs w:val="28"/>
        </w:rPr>
        <w:t>Avoiding duplication of criminal history screening within jurisdictions and within particular screening units</w:t>
      </w:r>
    </w:p>
    <w:p w:rsidR="002006F1" w:rsidRDefault="002006F1" w:rsidP="002006F1">
      <w:pPr>
        <w:pStyle w:val="NormalBlack"/>
        <w:keepNext/>
        <w:numPr>
          <w:ilvl w:val="0"/>
          <w:numId w:val="0"/>
        </w:numPr>
        <w:rPr>
          <w:i/>
        </w:rPr>
      </w:pPr>
      <w:r>
        <w:rPr>
          <w:i/>
        </w:rPr>
        <w:t xml:space="preserve">Avoiding duplication within jurisdictions </w:t>
      </w:r>
    </w:p>
    <w:p w:rsidR="00FD5462" w:rsidRDefault="004E5F5C" w:rsidP="00045969">
      <w:pPr>
        <w:pStyle w:val="NormalBlack"/>
        <w:numPr>
          <w:ilvl w:val="1"/>
          <w:numId w:val="11"/>
        </w:numPr>
        <w:ind w:left="539" w:hanging="539"/>
      </w:pPr>
      <w:r>
        <w:t>T</w:t>
      </w:r>
      <w:r w:rsidR="00FD5462">
        <w:t xml:space="preserve">his </w:t>
      </w:r>
      <w:r w:rsidR="001D6B8C">
        <w:t xml:space="preserve">Part </w:t>
      </w:r>
      <w:r>
        <w:t xml:space="preserve">is </w:t>
      </w:r>
      <w:r w:rsidR="00FD5462">
        <w:t>intended to avoid unnecessary duplication and cost in criminal history screening within screening units or across a jurisdiction’s screening units</w:t>
      </w:r>
      <w:r>
        <w:t xml:space="preserve"> (</w:t>
      </w:r>
      <w:r w:rsidR="00FD5462">
        <w:t xml:space="preserve">for example, </w:t>
      </w:r>
      <w:r>
        <w:t xml:space="preserve">by </w:t>
      </w:r>
      <w:r w:rsidR="00FD5462">
        <w:t>avoiding the making of requests for criminal history information that does not exist</w:t>
      </w:r>
      <w:r>
        <w:t xml:space="preserve">) arising because of </w:t>
      </w:r>
      <w:r w:rsidR="00D641CC">
        <w:t>the Exchange</w:t>
      </w:r>
      <w:r w:rsidR="00FD5462">
        <w:t>.</w:t>
      </w:r>
    </w:p>
    <w:p w:rsidR="00FD5462" w:rsidRDefault="009550F5" w:rsidP="00045969">
      <w:pPr>
        <w:pStyle w:val="NormalBlack"/>
        <w:numPr>
          <w:ilvl w:val="1"/>
          <w:numId w:val="11"/>
        </w:numPr>
        <w:ind w:left="539" w:hanging="539"/>
      </w:pPr>
      <w:r>
        <w:t>N</w:t>
      </w:r>
      <w:r w:rsidR="00FD5462">
        <w:t>othing in this</w:t>
      </w:r>
      <w:r w:rsidR="00C90B73">
        <w:t xml:space="preserve"> agreement</w:t>
      </w:r>
      <w:r w:rsidR="00FD5462">
        <w:t xml:space="preserve">, including the </w:t>
      </w:r>
      <w:r w:rsidR="00FD5462" w:rsidRPr="005554A0">
        <w:t xml:space="preserve">restrictions on the use and disclosure of </w:t>
      </w:r>
      <w:r w:rsidR="004D0C33">
        <w:lastRenderedPageBreak/>
        <w:t>interjurisdictional</w:t>
      </w:r>
      <w:r w:rsidR="00FD5462">
        <w:t xml:space="preserve"> </w:t>
      </w:r>
      <w:r w:rsidR="00FD5462" w:rsidRPr="005554A0">
        <w:t xml:space="preserve">expanded criminal history information </w:t>
      </w:r>
      <w:r w:rsidR="00FD5462">
        <w:t xml:space="preserve">contained </w:t>
      </w:r>
      <w:r w:rsidR="00FD5462" w:rsidRPr="005554A0">
        <w:t>in the partici</w:t>
      </w:r>
      <w:r w:rsidR="00FD5462">
        <w:t xml:space="preserve">pation requirements, </w:t>
      </w:r>
      <w:r w:rsidR="00FD5462" w:rsidRPr="005554A0">
        <w:t>prohibit</w:t>
      </w:r>
      <w:r w:rsidR="00FD5462">
        <w:t>s</w:t>
      </w:r>
      <w:r w:rsidR="00FD5462" w:rsidRPr="005554A0">
        <w:t xml:space="preserve"> a </w:t>
      </w:r>
      <w:r w:rsidR="00FD5462">
        <w:t xml:space="preserve">participating </w:t>
      </w:r>
      <w:r w:rsidR="00FD5462" w:rsidRPr="005554A0">
        <w:t>screening unit</w:t>
      </w:r>
      <w:r w:rsidR="004E5F5C">
        <w:t xml:space="preserve"> </w:t>
      </w:r>
      <w:r w:rsidR="00FD5462">
        <w:t>from</w:t>
      </w:r>
      <w:r w:rsidR="008F3E34">
        <w:t>:</w:t>
      </w:r>
    </w:p>
    <w:p w:rsidR="00FD5462" w:rsidRDefault="00FD5462" w:rsidP="00045969">
      <w:pPr>
        <w:pStyle w:val="NormalBlack"/>
        <w:numPr>
          <w:ilvl w:val="2"/>
          <w:numId w:val="11"/>
        </w:numPr>
        <w:tabs>
          <w:tab w:val="clear" w:pos="1430"/>
        </w:tabs>
        <w:spacing w:before="120"/>
        <w:ind w:left="1259" w:hanging="720"/>
      </w:pPr>
      <w:r>
        <w:t xml:space="preserve">indicating to a </w:t>
      </w:r>
      <w:r w:rsidR="00BF2E6A">
        <w:t>“</w:t>
      </w:r>
      <w:r w:rsidRPr="00BB4EA1">
        <w:rPr>
          <w:b/>
        </w:rPr>
        <w:t>third party government entity</w:t>
      </w:r>
      <w:r w:rsidR="00BF2E6A">
        <w:t>”</w:t>
      </w:r>
      <w:r w:rsidRPr="002006F1">
        <w:t xml:space="preserve"> </w:t>
      </w:r>
      <w:r>
        <w:t>whether</w:t>
      </w:r>
      <w:r w:rsidR="004E5F5C">
        <w:t xml:space="preserve"> </w:t>
      </w:r>
      <w:r>
        <w:t xml:space="preserve">criminal history information exists in relation to a person, </w:t>
      </w:r>
      <w:r w:rsidR="008F3E34">
        <w:t>provided</w:t>
      </w:r>
      <w:r>
        <w:t>:</w:t>
      </w:r>
    </w:p>
    <w:p w:rsidR="00FD5462" w:rsidRDefault="00FD5462" w:rsidP="00045969">
      <w:pPr>
        <w:pStyle w:val="NormalBlack"/>
        <w:numPr>
          <w:ilvl w:val="0"/>
          <w:numId w:val="15"/>
        </w:numPr>
        <w:spacing w:before="120"/>
      </w:pPr>
      <w:r>
        <w:t xml:space="preserve">the participating screening unit does not disclose the person’s actual criminal history; </w:t>
      </w:r>
    </w:p>
    <w:p w:rsidR="009550F5" w:rsidRDefault="00FD5462" w:rsidP="00045969">
      <w:pPr>
        <w:pStyle w:val="NormalBlack"/>
        <w:numPr>
          <w:ilvl w:val="0"/>
          <w:numId w:val="15"/>
        </w:numPr>
        <w:tabs>
          <w:tab w:val="clear" w:pos="1979"/>
        </w:tabs>
        <w:spacing w:before="120"/>
      </w:pPr>
      <w:r>
        <w:t xml:space="preserve">the participating screening unit advises the third party government entity </w:t>
      </w:r>
      <w:r w:rsidRPr="005554A0">
        <w:t xml:space="preserve">that no adverse inference about </w:t>
      </w:r>
      <w:r>
        <w:t xml:space="preserve">the </w:t>
      </w:r>
      <w:r w:rsidRPr="005554A0">
        <w:t xml:space="preserve">person’s criminal history or suitability for employment </w:t>
      </w:r>
      <w:r>
        <w:t>should</w:t>
      </w:r>
      <w:r w:rsidRPr="005554A0">
        <w:t xml:space="preserve"> be drawn from </w:t>
      </w:r>
      <w:r>
        <w:t>an</w:t>
      </w:r>
      <w:r w:rsidRPr="005554A0">
        <w:t xml:space="preserve"> indication</w:t>
      </w:r>
      <w:r>
        <w:t xml:space="preserve"> that a person has or may have a criminal history; </w:t>
      </w:r>
      <w:r w:rsidR="009550F5">
        <w:t>and</w:t>
      </w:r>
    </w:p>
    <w:p w:rsidR="00FD5462" w:rsidRDefault="009550F5" w:rsidP="00045969">
      <w:pPr>
        <w:pStyle w:val="NormalBlack"/>
        <w:numPr>
          <w:ilvl w:val="0"/>
          <w:numId w:val="15"/>
        </w:numPr>
        <w:tabs>
          <w:tab w:val="clear" w:pos="1979"/>
        </w:tabs>
        <w:spacing w:before="120"/>
      </w:pPr>
      <w:r>
        <w:t xml:space="preserve">the person involved has given their consent; </w:t>
      </w:r>
      <w:r w:rsidR="004E5F5C">
        <w:t>or</w:t>
      </w:r>
    </w:p>
    <w:p w:rsidR="00FD5462" w:rsidRDefault="00FD5462" w:rsidP="00045969">
      <w:pPr>
        <w:pStyle w:val="NormalBlack"/>
        <w:numPr>
          <w:ilvl w:val="2"/>
          <w:numId w:val="11"/>
        </w:numPr>
        <w:tabs>
          <w:tab w:val="clear" w:pos="1430"/>
        </w:tabs>
        <w:spacing w:before="120"/>
        <w:ind w:left="1259" w:hanging="720"/>
      </w:pPr>
      <w:bookmarkStart w:id="12" w:name="_Ref328669012"/>
      <w:r>
        <w:t xml:space="preserve">forwarding to a third party government entity a person’s criminal history information, </w:t>
      </w:r>
      <w:r w:rsidR="008F3E34">
        <w:t>provided</w:t>
      </w:r>
      <w:r>
        <w:t>:</w:t>
      </w:r>
      <w:bookmarkEnd w:id="12"/>
    </w:p>
    <w:p w:rsidR="00FD5462" w:rsidRDefault="00FD5462" w:rsidP="00045969">
      <w:pPr>
        <w:pStyle w:val="NormalBlack"/>
        <w:numPr>
          <w:ilvl w:val="0"/>
          <w:numId w:val="16"/>
        </w:numPr>
        <w:spacing w:before="120"/>
      </w:pPr>
      <w:r>
        <w:t xml:space="preserve">the participating screening unit has contractual arrangements with CrimTrac, or other arrangements with CrimTrac and police services, for forwarding the information to the third party government entity; </w:t>
      </w:r>
    </w:p>
    <w:p w:rsidR="007834EB" w:rsidRDefault="00FD5462" w:rsidP="00045969">
      <w:pPr>
        <w:pStyle w:val="NormalBlack"/>
        <w:numPr>
          <w:ilvl w:val="0"/>
          <w:numId w:val="16"/>
        </w:numPr>
        <w:spacing w:before="120"/>
      </w:pPr>
      <w:r>
        <w:t xml:space="preserve">the criminal history that is forwarded does not include </w:t>
      </w:r>
      <w:r w:rsidR="004D0C33">
        <w:t>interjurisdictional</w:t>
      </w:r>
      <w:r>
        <w:t xml:space="preserve"> expanded criminal history information</w:t>
      </w:r>
      <w:r w:rsidR="009550F5">
        <w:t xml:space="preserve">; and </w:t>
      </w:r>
    </w:p>
    <w:p w:rsidR="00FD5462" w:rsidRDefault="009550F5" w:rsidP="00045969">
      <w:pPr>
        <w:pStyle w:val="NormalBlack"/>
        <w:numPr>
          <w:ilvl w:val="0"/>
          <w:numId w:val="16"/>
        </w:numPr>
        <w:spacing w:before="120"/>
      </w:pPr>
      <w:proofErr w:type="gramStart"/>
      <w:r>
        <w:t>the</w:t>
      </w:r>
      <w:proofErr w:type="gramEnd"/>
      <w:r>
        <w:t xml:space="preserve"> person involved has given their consent</w:t>
      </w:r>
      <w:r w:rsidR="00FD5462">
        <w:t>.</w:t>
      </w:r>
      <w:r w:rsidR="008F3E34">
        <w:t xml:space="preserve"> </w:t>
      </w:r>
    </w:p>
    <w:p w:rsidR="00FD5462" w:rsidRPr="001E4DC5" w:rsidRDefault="00FD5462" w:rsidP="00FD5462">
      <w:pPr>
        <w:pStyle w:val="NormalBlack"/>
        <w:keepNext/>
        <w:numPr>
          <w:ilvl w:val="0"/>
          <w:numId w:val="0"/>
        </w:numPr>
        <w:rPr>
          <w:i/>
        </w:rPr>
      </w:pPr>
      <w:r w:rsidRPr="001E4DC5">
        <w:rPr>
          <w:i/>
        </w:rPr>
        <w:t>Dual function participating screening units</w:t>
      </w:r>
    </w:p>
    <w:p w:rsidR="00FD5462" w:rsidRDefault="00FD5462" w:rsidP="00045969">
      <w:pPr>
        <w:pStyle w:val="NormalBlack"/>
        <w:numPr>
          <w:ilvl w:val="1"/>
          <w:numId w:val="11"/>
        </w:numPr>
        <w:ind w:left="539" w:hanging="539"/>
      </w:pPr>
      <w:bookmarkStart w:id="13" w:name="_Ref328669072"/>
      <w:r>
        <w:t xml:space="preserve">The parties note that participation requirement (e) of </w:t>
      </w:r>
      <w:r w:rsidRPr="00195B9C">
        <w:t>Schedule 1 to this</w:t>
      </w:r>
      <w:r>
        <w:t xml:space="preserve"> </w:t>
      </w:r>
      <w:r w:rsidR="00037D3A">
        <w:t xml:space="preserve">agreement </w:t>
      </w:r>
      <w:r>
        <w:t xml:space="preserve">prohibits participating screening units that undertake screening with a general employment suitability or probity screening element as well as a child safety screening element (such as the participating teacher registration and accreditation authorities; </w:t>
      </w:r>
      <w:r w:rsidRPr="00F50303">
        <w:rPr>
          <w:b/>
        </w:rPr>
        <w:t>“dual function participating screening units”</w:t>
      </w:r>
      <w:r>
        <w:t>) from using</w:t>
      </w:r>
      <w:r w:rsidR="00E17C2D">
        <w:t xml:space="preserve"> or disclosing</w:t>
      </w:r>
      <w:r>
        <w:t xml:space="preserve"> </w:t>
      </w:r>
      <w:r w:rsidR="004D0C33">
        <w:t>interjurisdictional</w:t>
      </w:r>
      <w:r w:rsidRPr="00C059F3">
        <w:t xml:space="preserve"> expanded</w:t>
      </w:r>
      <w:r>
        <w:t xml:space="preserve"> criminal history information for general employment suitability or probity screening.</w:t>
      </w:r>
      <w:bookmarkEnd w:id="13"/>
    </w:p>
    <w:p w:rsidR="00FD5462" w:rsidRPr="00711C99" w:rsidRDefault="00FD5462" w:rsidP="00FD5462">
      <w:pPr>
        <w:pStyle w:val="NormalBlack"/>
        <w:keepNext/>
        <w:numPr>
          <w:ilvl w:val="0"/>
          <w:numId w:val="0"/>
        </w:numPr>
        <w:rPr>
          <w:i/>
        </w:rPr>
      </w:pPr>
      <w:r>
        <w:rPr>
          <w:i/>
        </w:rPr>
        <w:t xml:space="preserve">Identifying </w:t>
      </w:r>
      <w:r w:rsidRPr="00711C99">
        <w:rPr>
          <w:i/>
        </w:rPr>
        <w:t xml:space="preserve">expanded criminal history information </w:t>
      </w:r>
    </w:p>
    <w:p w:rsidR="00FD5462" w:rsidRPr="00195B9C" w:rsidRDefault="00FD5462" w:rsidP="00045969">
      <w:pPr>
        <w:pStyle w:val="NormalBlack"/>
        <w:numPr>
          <w:ilvl w:val="1"/>
          <w:numId w:val="11"/>
        </w:numPr>
        <w:ind w:left="540" w:hanging="540"/>
      </w:pPr>
      <w:r>
        <w:t>The parties acknowledge that a participating screening unit that has contractual arrangements with CrimTra</w:t>
      </w:r>
      <w:r w:rsidR="001577EB">
        <w:t>c</w:t>
      </w:r>
      <w:r>
        <w:t xml:space="preserve">, or other arrangements with CrimTrac and police </w:t>
      </w:r>
      <w:r w:rsidRPr="00195B9C">
        <w:t xml:space="preserve">services, for forwarding criminal history information to a third party government entity </w:t>
      </w:r>
      <w:r w:rsidR="006F3E24" w:rsidRPr="00195B9C">
        <w:t>(see clause</w:t>
      </w:r>
      <w:r w:rsidR="00382745">
        <w:t xml:space="preserve"> </w:t>
      </w:r>
      <w:r w:rsidR="00BF2E6A">
        <w:t>5.2.2</w:t>
      </w:r>
      <w:r w:rsidR="006F3E24" w:rsidRPr="00195B9C">
        <w:t xml:space="preserve">) </w:t>
      </w:r>
      <w:r w:rsidRPr="00195B9C">
        <w:t xml:space="preserve">needs to be able to identify whether </w:t>
      </w:r>
      <w:r w:rsidR="004D0C33">
        <w:t>interjurisdictional</w:t>
      </w:r>
      <w:r w:rsidRPr="00195B9C">
        <w:t xml:space="preserve"> criminal history information is </w:t>
      </w:r>
      <w:r w:rsidR="004D0C33">
        <w:t>interjurisdictional</w:t>
      </w:r>
      <w:r w:rsidRPr="00195B9C">
        <w:t xml:space="preserve"> expanded criminal history information</w:t>
      </w:r>
      <w:r w:rsidR="006F3E24" w:rsidRPr="00195B9C">
        <w:t xml:space="preserve">, to ensure the unit does not forward </w:t>
      </w:r>
      <w:r w:rsidR="004D0C33">
        <w:t>interjurisdictional</w:t>
      </w:r>
      <w:r w:rsidR="006F3E24" w:rsidRPr="00195B9C">
        <w:t xml:space="preserve"> expanded criminal history information.</w:t>
      </w:r>
    </w:p>
    <w:p w:rsidR="00FD5462" w:rsidRPr="00195B9C" w:rsidRDefault="00FD5462" w:rsidP="00045969">
      <w:pPr>
        <w:pStyle w:val="NormalBlack"/>
        <w:numPr>
          <w:ilvl w:val="1"/>
          <w:numId w:val="11"/>
        </w:numPr>
        <w:ind w:left="539" w:hanging="539"/>
      </w:pPr>
      <w:bookmarkStart w:id="14" w:name="_Ref328669162"/>
      <w:r w:rsidRPr="00195B9C">
        <w:t xml:space="preserve">The parties acknowledge that a dual function participating screening unit </w:t>
      </w:r>
      <w:r w:rsidR="006F3E24" w:rsidRPr="00195B9C">
        <w:t>(see clause</w:t>
      </w:r>
      <w:r w:rsidR="007834EB">
        <w:t xml:space="preserve"> </w:t>
      </w:r>
      <w:r w:rsidR="00A9777B">
        <w:fldChar w:fldCharType="begin"/>
      </w:r>
      <w:r w:rsidR="00C138B1">
        <w:instrText xml:space="preserve"> REF _Ref328669072 \w \h </w:instrText>
      </w:r>
      <w:r w:rsidR="00A9777B">
        <w:fldChar w:fldCharType="separate"/>
      </w:r>
      <w:r w:rsidR="005578FA">
        <w:t>5.3</w:t>
      </w:r>
      <w:r w:rsidR="00A9777B">
        <w:fldChar w:fldCharType="end"/>
      </w:r>
      <w:r w:rsidR="006F3E24" w:rsidRPr="00195B9C">
        <w:t xml:space="preserve">) </w:t>
      </w:r>
      <w:r w:rsidRPr="00195B9C">
        <w:t xml:space="preserve">also needs to be able to identify whether </w:t>
      </w:r>
      <w:r w:rsidR="004D0C33">
        <w:t>interjurisdictional</w:t>
      </w:r>
      <w:r w:rsidRPr="00195B9C">
        <w:t xml:space="preserve"> criminal history information is </w:t>
      </w:r>
      <w:r w:rsidR="004D0C33">
        <w:t>interjurisdictional</w:t>
      </w:r>
      <w:r w:rsidRPr="00195B9C">
        <w:t xml:space="preserve"> expanded criminal history information</w:t>
      </w:r>
      <w:r w:rsidR="00D1364B" w:rsidRPr="00195B9C">
        <w:t xml:space="preserve">, to ensure the unit does not use </w:t>
      </w:r>
      <w:r w:rsidR="004D0C33">
        <w:t>interjurisdictional</w:t>
      </w:r>
      <w:r w:rsidR="00D1364B" w:rsidRPr="00195B9C">
        <w:t xml:space="preserve"> expanded criminal history information for general employment suitability or probity screening.</w:t>
      </w:r>
      <w:bookmarkEnd w:id="14"/>
      <w:r w:rsidRPr="00195B9C">
        <w:t xml:space="preserve"> </w:t>
      </w:r>
    </w:p>
    <w:p w:rsidR="00FD5462" w:rsidRPr="00195B9C" w:rsidRDefault="00FD5462" w:rsidP="00045969">
      <w:pPr>
        <w:pStyle w:val="NormalBlack"/>
        <w:numPr>
          <w:ilvl w:val="1"/>
          <w:numId w:val="11"/>
        </w:numPr>
        <w:ind w:left="540" w:hanging="540"/>
      </w:pPr>
      <w:r w:rsidRPr="00195B9C">
        <w:lastRenderedPageBreak/>
        <w:t xml:space="preserve">However, a participating screening unit will be unable to identify whether criminal history information supplied under </w:t>
      </w:r>
      <w:r w:rsidR="00D641CC">
        <w:t>the Exchange</w:t>
      </w:r>
      <w:r w:rsidRPr="00195B9C">
        <w:t xml:space="preserve"> (in particular, an </w:t>
      </w:r>
      <w:r w:rsidR="004D0C33">
        <w:t>interjurisdictional</w:t>
      </w:r>
      <w:r w:rsidRPr="00195B9C">
        <w:t xml:space="preserve"> conviction) is </w:t>
      </w:r>
      <w:r w:rsidR="004D0C33">
        <w:t>interjurisdictional</w:t>
      </w:r>
      <w:r w:rsidRPr="00195B9C">
        <w:t xml:space="preserve"> expanded criminal history information (in particular, a spent conviction) unless the police service supplying the information provides it or marks it in a way that identifies to the screening unit that the information is expanded criminal history information.</w:t>
      </w:r>
    </w:p>
    <w:p w:rsidR="00FD5462" w:rsidRDefault="00FD5462" w:rsidP="00045969">
      <w:pPr>
        <w:pStyle w:val="NormalBlack"/>
        <w:numPr>
          <w:ilvl w:val="1"/>
          <w:numId w:val="11"/>
        </w:numPr>
        <w:ind w:left="540" w:hanging="540"/>
      </w:pPr>
      <w:r w:rsidRPr="00195B9C">
        <w:t>Accordingly, the parties consider it desirable that police services provide, and CrimTrac facilitate the provision of, criminal history information to the participating screening units</w:t>
      </w:r>
      <w:r w:rsidR="00026D0E">
        <w:t xml:space="preserve"> </w:t>
      </w:r>
      <w:r w:rsidRPr="00195B9C">
        <w:t xml:space="preserve">in a manner that identifies whether </w:t>
      </w:r>
      <w:r w:rsidR="004D0C33">
        <w:t>interjurisdictional</w:t>
      </w:r>
      <w:r w:rsidRPr="00195B9C">
        <w:t xml:space="preserve"> criminal history information (in particular, convictions) is </w:t>
      </w:r>
      <w:r w:rsidR="004D0C33">
        <w:t>interjurisdictional</w:t>
      </w:r>
      <w:r w:rsidRPr="00195B9C">
        <w:t xml:space="preserve"> expanded criminal history information (in particular, spent convictions)</w:t>
      </w:r>
      <w:r w:rsidR="003D124E">
        <w:t>.</w:t>
      </w:r>
    </w:p>
    <w:p w:rsidR="007B1961" w:rsidRDefault="007B1961" w:rsidP="00045969">
      <w:pPr>
        <w:pStyle w:val="Heading1"/>
        <w:numPr>
          <w:ilvl w:val="0"/>
          <w:numId w:val="11"/>
        </w:numPr>
        <w:tabs>
          <w:tab w:val="clear" w:pos="360"/>
        </w:tabs>
        <w:spacing w:before="480"/>
        <w:ind w:left="539" w:hanging="539"/>
        <w:rPr>
          <w:sz w:val="28"/>
          <w:szCs w:val="28"/>
        </w:rPr>
      </w:pPr>
      <w:r w:rsidRPr="00896A2D">
        <w:rPr>
          <w:sz w:val="28"/>
          <w:szCs w:val="28"/>
        </w:rPr>
        <w:t>Funding arrangements</w:t>
      </w:r>
    </w:p>
    <w:p w:rsidR="007B1961" w:rsidRDefault="007B1961" w:rsidP="00045969">
      <w:pPr>
        <w:pStyle w:val="NormalBlack"/>
        <w:keepNext/>
        <w:numPr>
          <w:ilvl w:val="1"/>
          <w:numId w:val="11"/>
        </w:numPr>
        <w:ind w:left="539" w:hanging="539"/>
      </w:pPr>
      <w:r>
        <w:t xml:space="preserve">Jurisdictions or their participating screening units will fund any costs arising from the participation of the screening units in </w:t>
      </w:r>
      <w:r w:rsidR="00D641CC">
        <w:t>the Exchange</w:t>
      </w:r>
      <w:r>
        <w:t>.</w:t>
      </w:r>
    </w:p>
    <w:p w:rsidR="007B1961" w:rsidRDefault="007B1961" w:rsidP="00045969">
      <w:pPr>
        <w:pStyle w:val="NormalBlack"/>
        <w:numPr>
          <w:ilvl w:val="1"/>
          <w:numId w:val="11"/>
        </w:numPr>
        <w:ind w:left="540" w:hanging="540"/>
      </w:pPr>
      <w:r w:rsidRPr="00766E7C">
        <w:t xml:space="preserve">Jurisdictions or their police services will </w:t>
      </w:r>
      <w:r>
        <w:t xml:space="preserve">fund any costs arising from the provision by the police services of the expanded criminal history </w:t>
      </w:r>
      <w:r w:rsidR="009B4C59">
        <w:t xml:space="preserve">information </w:t>
      </w:r>
      <w:r>
        <w:t xml:space="preserve">under </w:t>
      </w:r>
      <w:r w:rsidR="00D641CC">
        <w:t>the Exchange</w:t>
      </w:r>
      <w:r>
        <w:t xml:space="preserve">. </w:t>
      </w:r>
    </w:p>
    <w:p w:rsidR="00F558D1" w:rsidRPr="00195B9C" w:rsidRDefault="007B1961" w:rsidP="00045969">
      <w:pPr>
        <w:pStyle w:val="NormalBlack"/>
        <w:numPr>
          <w:ilvl w:val="1"/>
          <w:numId w:val="11"/>
        </w:numPr>
        <w:ind w:left="540" w:hanging="540"/>
      </w:pPr>
      <w:r>
        <w:t xml:space="preserve">Police services will supply circumstances information under </w:t>
      </w:r>
      <w:r w:rsidR="00D641CC">
        <w:t>the Exchange</w:t>
      </w:r>
      <w:r>
        <w:t xml:space="preserve"> subject to </w:t>
      </w:r>
      <w:r w:rsidR="0022078D">
        <w:t xml:space="preserve">a </w:t>
      </w:r>
      <w:r>
        <w:t xml:space="preserve">fee for service </w:t>
      </w:r>
      <w:r w:rsidR="0022078D">
        <w:t>and the billing arrangements set out</w:t>
      </w:r>
      <w:r w:rsidR="00F222C1">
        <w:t xml:space="preserve"> in</w:t>
      </w:r>
      <w:r w:rsidR="009B4C59" w:rsidRPr="00195B9C">
        <w:t xml:space="preserve"> </w:t>
      </w:r>
      <w:r w:rsidR="00E52A9A" w:rsidRPr="00195B9C">
        <w:t xml:space="preserve">Schedule 4 of </w:t>
      </w:r>
      <w:r w:rsidR="00BA6587">
        <w:t>this agreement</w:t>
      </w:r>
      <w:r w:rsidRPr="00195B9C">
        <w:t xml:space="preserve">. </w:t>
      </w:r>
    </w:p>
    <w:p w:rsidR="006476E6" w:rsidRPr="006476E6" w:rsidRDefault="006476E6" w:rsidP="00045969">
      <w:pPr>
        <w:pStyle w:val="Heading1"/>
        <w:numPr>
          <w:ilvl w:val="0"/>
          <w:numId w:val="11"/>
        </w:numPr>
        <w:tabs>
          <w:tab w:val="clear" w:pos="360"/>
        </w:tabs>
        <w:spacing w:before="480"/>
        <w:ind w:left="540" w:hanging="540"/>
        <w:rPr>
          <w:sz w:val="28"/>
          <w:szCs w:val="28"/>
        </w:rPr>
      </w:pPr>
      <w:r w:rsidRPr="006476E6">
        <w:rPr>
          <w:sz w:val="28"/>
          <w:szCs w:val="28"/>
        </w:rPr>
        <w:t xml:space="preserve">Future participating screening units </w:t>
      </w:r>
    </w:p>
    <w:p w:rsidR="006476E6" w:rsidRDefault="006476E6" w:rsidP="00045969">
      <w:pPr>
        <w:pStyle w:val="NormalBlack"/>
        <w:numPr>
          <w:ilvl w:val="1"/>
          <w:numId w:val="11"/>
        </w:numPr>
        <w:ind w:left="540" w:hanging="540"/>
      </w:pPr>
      <w:bookmarkStart w:id="15" w:name="_Ref328670437"/>
      <w:r>
        <w:t xml:space="preserve">A party may nominate a </w:t>
      </w:r>
      <w:r w:rsidR="00077141">
        <w:t>child-related</w:t>
      </w:r>
      <w:r>
        <w:t xml:space="preserve"> employment screening unit </w:t>
      </w:r>
      <w:r w:rsidR="000A56EE">
        <w:t>within its</w:t>
      </w:r>
      <w:r>
        <w:t xml:space="preserve"> jurisdiction to be a participating screening unit.</w:t>
      </w:r>
      <w:bookmarkEnd w:id="15"/>
    </w:p>
    <w:p w:rsidR="006476E6" w:rsidRDefault="003D124E" w:rsidP="00045969">
      <w:pPr>
        <w:pStyle w:val="NormalBlack"/>
        <w:numPr>
          <w:ilvl w:val="1"/>
          <w:numId w:val="11"/>
        </w:numPr>
        <w:ind w:left="540" w:hanging="540"/>
      </w:pPr>
      <w:r>
        <w:t>T</w:t>
      </w:r>
      <w:r w:rsidR="006476E6">
        <w:t xml:space="preserve">he party </w:t>
      </w:r>
      <w:r w:rsidR="00BF2E6A">
        <w:t xml:space="preserve">will </w:t>
      </w:r>
      <w:r w:rsidR="006476E6">
        <w:t xml:space="preserve">do so by advising the </w:t>
      </w:r>
      <w:r w:rsidR="00FD7723">
        <w:t xml:space="preserve">Chair of the </w:t>
      </w:r>
      <w:r w:rsidR="00476CC7">
        <w:t>Steering Committee</w:t>
      </w:r>
      <w:r>
        <w:t xml:space="preserve"> </w:t>
      </w:r>
      <w:r w:rsidR="00FD7723">
        <w:t xml:space="preserve">in writing of its nomination. This nomination is to be in the form of a letter from the Minister responsible for the relevant screening unit which demonstrates how, and </w:t>
      </w:r>
      <w:r w:rsidR="00F222C1">
        <w:t xml:space="preserve">affirms </w:t>
      </w:r>
      <w:r w:rsidR="00FD7723">
        <w:t>that, the unit meets</w:t>
      </w:r>
      <w:r w:rsidR="006476E6">
        <w:t xml:space="preserve">, or will </w:t>
      </w:r>
      <w:proofErr w:type="gramStart"/>
      <w:r w:rsidR="006476E6">
        <w:t>meet,</w:t>
      </w:r>
      <w:proofErr w:type="gramEnd"/>
      <w:r w:rsidR="006476E6">
        <w:t xml:space="preserve"> the participation requirements</w:t>
      </w:r>
      <w:r w:rsidR="00FD7723">
        <w:t>.</w:t>
      </w:r>
    </w:p>
    <w:p w:rsidR="006001D5" w:rsidRDefault="00FD7723" w:rsidP="00045969">
      <w:pPr>
        <w:pStyle w:val="NormalBlack"/>
        <w:numPr>
          <w:ilvl w:val="1"/>
          <w:numId w:val="11"/>
        </w:numPr>
        <w:ind w:left="540" w:hanging="540"/>
      </w:pPr>
      <w:r>
        <w:t>T</w:t>
      </w:r>
      <w:r w:rsidR="00A47AF0">
        <w:t>he Chair</w:t>
      </w:r>
      <w:r w:rsidR="006001D5" w:rsidRPr="006001D5">
        <w:t xml:space="preserve"> </w:t>
      </w:r>
      <w:r w:rsidR="006001D5">
        <w:t xml:space="preserve">of the </w:t>
      </w:r>
      <w:r w:rsidR="00476CC7">
        <w:t>Steering Committee</w:t>
      </w:r>
      <w:r w:rsidR="00A47AF0">
        <w:t xml:space="preserve"> </w:t>
      </w:r>
      <w:r w:rsidR="006001D5">
        <w:t xml:space="preserve">must provide a copy of this nomination to </w:t>
      </w:r>
      <w:r w:rsidR="00F222C1">
        <w:t>the members of the Steering Committee</w:t>
      </w:r>
      <w:r w:rsidR="006001D5">
        <w:t xml:space="preserve">, and the party responsible for the nomination must promptly answer any questions asked by any other party to the agreement, and respond to any requests for information, in relation to the nomination. </w:t>
      </w:r>
    </w:p>
    <w:p w:rsidR="0047197D" w:rsidRDefault="0047197D" w:rsidP="00045969">
      <w:pPr>
        <w:pStyle w:val="NormalBlack"/>
        <w:numPr>
          <w:ilvl w:val="1"/>
          <w:numId w:val="11"/>
        </w:numPr>
        <w:ind w:left="540" w:hanging="540"/>
      </w:pPr>
      <w:r>
        <w:t xml:space="preserve">The </w:t>
      </w:r>
      <w:r w:rsidR="00476CC7">
        <w:t>Steering Committee</w:t>
      </w:r>
      <w:r>
        <w:t xml:space="preserve"> will consider the nomination in a timely manner after any responses to questions or further information have been received.</w:t>
      </w:r>
    </w:p>
    <w:p w:rsidR="00DE27D9" w:rsidRDefault="0047197D" w:rsidP="00045969">
      <w:pPr>
        <w:pStyle w:val="NormalBlack"/>
        <w:numPr>
          <w:ilvl w:val="1"/>
          <w:numId w:val="11"/>
        </w:numPr>
        <w:ind w:left="540" w:hanging="540"/>
      </w:pPr>
      <w:r>
        <w:t xml:space="preserve">If the </w:t>
      </w:r>
      <w:r w:rsidR="00476CC7">
        <w:t>Steering Committee</w:t>
      </w:r>
      <w:r>
        <w:t xml:space="preserve"> agrees to the nomination</w:t>
      </w:r>
      <w:r w:rsidR="0006091D">
        <w:t>,</w:t>
      </w:r>
      <w:r>
        <w:t xml:space="preserve"> t</w:t>
      </w:r>
      <w:r w:rsidR="006001D5">
        <w:t>he Chair</w:t>
      </w:r>
      <w:r w:rsidR="006001D5" w:rsidRPr="006001D5">
        <w:t xml:space="preserve"> </w:t>
      </w:r>
      <w:r w:rsidR="00E2739B">
        <w:t>will present the nomination</w:t>
      </w:r>
      <w:r w:rsidR="0006091D">
        <w:t xml:space="preserve"> to COAG Senior Officials for approval.</w:t>
      </w:r>
      <w:r w:rsidR="006001D5">
        <w:t xml:space="preserve"> </w:t>
      </w:r>
      <w:r w:rsidR="00E2739B">
        <w:t>The C</w:t>
      </w:r>
      <w:r w:rsidR="00AC4D37">
        <w:t xml:space="preserve">hair of the Steering Committee </w:t>
      </w:r>
      <w:r w:rsidR="00A47AF0">
        <w:t xml:space="preserve">will amend Schedule 2 to this agreement accordingly and provide </w:t>
      </w:r>
      <w:r w:rsidR="00A47AF0">
        <w:lastRenderedPageBreak/>
        <w:t>each party with an updated version of Schedule 2.</w:t>
      </w:r>
      <w:r w:rsidR="00EF6E6E">
        <w:t xml:space="preserve"> This clause has effect despite clause 8.2.</w:t>
      </w:r>
    </w:p>
    <w:p w:rsidR="0027275E" w:rsidRDefault="00DE27D9" w:rsidP="00045969">
      <w:pPr>
        <w:pStyle w:val="NormalBlack"/>
        <w:numPr>
          <w:ilvl w:val="1"/>
          <w:numId w:val="11"/>
        </w:numPr>
        <w:tabs>
          <w:tab w:val="clear" w:pos="574"/>
        </w:tabs>
        <w:spacing w:before="120"/>
        <w:ind w:left="567" w:hanging="573"/>
      </w:pPr>
      <w:r>
        <w:t>Once the unit has been added to Schedule 2, the nominating party will</w:t>
      </w:r>
      <w:r w:rsidR="00D611AF" w:rsidRPr="00D611AF">
        <w:t xml:space="preserve"> </w:t>
      </w:r>
      <w:r w:rsidR="00D611AF">
        <w:t>take whatever legislative and administrative action is necessary</w:t>
      </w:r>
      <w:r>
        <w:t>:</w:t>
      </w:r>
    </w:p>
    <w:p w:rsidR="0027275E" w:rsidRDefault="006476E6" w:rsidP="00045969">
      <w:pPr>
        <w:pStyle w:val="NormalBlack"/>
        <w:numPr>
          <w:ilvl w:val="2"/>
          <w:numId w:val="11"/>
        </w:numPr>
        <w:spacing w:before="120"/>
        <w:ind w:hanging="647"/>
      </w:pPr>
      <w:r>
        <w:t xml:space="preserve">to remove any barriers to </w:t>
      </w:r>
      <w:r w:rsidR="00C830D3">
        <w:t xml:space="preserve">the </w:t>
      </w:r>
      <w:r>
        <w:t xml:space="preserve">unit receiving the expanded criminal history information and circumstances information from </w:t>
      </w:r>
      <w:r w:rsidR="004D0C33">
        <w:t>interjurisdictional</w:t>
      </w:r>
      <w:r>
        <w:t xml:space="preserve"> police services;</w:t>
      </w:r>
      <w:r w:rsidR="00D611AF">
        <w:t xml:space="preserve"> and</w:t>
      </w:r>
    </w:p>
    <w:p w:rsidR="006476E6" w:rsidRDefault="00FB5AF8" w:rsidP="00045969">
      <w:pPr>
        <w:pStyle w:val="NormalBlack"/>
        <w:numPr>
          <w:ilvl w:val="2"/>
          <w:numId w:val="11"/>
        </w:numPr>
        <w:tabs>
          <w:tab w:val="clear" w:pos="1430"/>
        </w:tabs>
        <w:spacing w:before="120"/>
        <w:ind w:left="1259" w:hanging="720"/>
      </w:pPr>
      <w:r>
        <w:t xml:space="preserve">  </w:t>
      </w:r>
      <w:proofErr w:type="gramStart"/>
      <w:r w:rsidR="006476E6">
        <w:t>for</w:t>
      </w:r>
      <w:proofErr w:type="gramEnd"/>
      <w:r w:rsidR="006476E6">
        <w:t xml:space="preserve"> the unit to comply with the participation requirements</w:t>
      </w:r>
      <w:r w:rsidR="00932235">
        <w:t>.</w:t>
      </w:r>
      <w:r w:rsidR="006476E6">
        <w:t xml:space="preserve"> </w:t>
      </w:r>
    </w:p>
    <w:p w:rsidR="0027275E" w:rsidRDefault="00D611AF" w:rsidP="00045969">
      <w:pPr>
        <w:pStyle w:val="NormalBlack"/>
        <w:numPr>
          <w:ilvl w:val="1"/>
          <w:numId w:val="11"/>
        </w:numPr>
        <w:spacing w:before="120"/>
      </w:pPr>
      <w:r>
        <w:t>A</w:t>
      </w:r>
      <w:r w:rsidR="006476E6">
        <w:t xml:space="preserve">ll other parties will take whatever legislative and administrative action is necessary to remove any barriers to their jurisdictions’ police services supplying the expanded criminal history information and circumstances information to the </w:t>
      </w:r>
      <w:r>
        <w:t xml:space="preserve">newly scheduled </w:t>
      </w:r>
      <w:r w:rsidR="006476E6">
        <w:t>unit</w:t>
      </w:r>
      <w:r>
        <w:t>.</w:t>
      </w:r>
    </w:p>
    <w:p w:rsidR="00BA6587" w:rsidRDefault="00D611AF" w:rsidP="00045969">
      <w:pPr>
        <w:pStyle w:val="NormalBlack"/>
        <w:numPr>
          <w:ilvl w:val="1"/>
          <w:numId w:val="11"/>
        </w:numPr>
        <w:spacing w:before="120"/>
      </w:pPr>
      <w:bookmarkStart w:id="16" w:name="_Ref328670449"/>
      <w:r>
        <w:t>W</w:t>
      </w:r>
      <w:r w:rsidR="006476E6">
        <w:t xml:space="preserve">hen the </w:t>
      </w:r>
      <w:r w:rsidR="0047197D">
        <w:t>steps required by clauses 7.</w:t>
      </w:r>
      <w:r w:rsidR="00530C76">
        <w:t>6</w:t>
      </w:r>
      <w:r w:rsidR="0047197D">
        <w:t xml:space="preserve"> and 7.</w:t>
      </w:r>
      <w:r w:rsidR="00530C76">
        <w:t>7</w:t>
      </w:r>
      <w:r w:rsidR="0047197D">
        <w:t xml:space="preserve"> have been completed, and the </w:t>
      </w:r>
      <w:r w:rsidR="006476E6">
        <w:t xml:space="preserve">unit considers it is </w:t>
      </w:r>
      <w:r w:rsidR="00633AD1">
        <w:t xml:space="preserve">in a position </w:t>
      </w:r>
      <w:r w:rsidR="006476E6">
        <w:t xml:space="preserve">to participate in </w:t>
      </w:r>
      <w:r w:rsidR="00D641CC">
        <w:t>the Exchange</w:t>
      </w:r>
      <w:r w:rsidR="006476E6">
        <w:t xml:space="preserve">, the unit will advise CrimTrac </w:t>
      </w:r>
      <w:r w:rsidR="00633AD1">
        <w:t xml:space="preserve">and </w:t>
      </w:r>
      <w:r w:rsidR="004D0C33">
        <w:t>interjurisdictional</w:t>
      </w:r>
      <w:r w:rsidR="00633AD1">
        <w:t xml:space="preserve"> police services </w:t>
      </w:r>
      <w:r w:rsidR="00C830D3">
        <w:t xml:space="preserve">in writing </w:t>
      </w:r>
      <w:r w:rsidR="00BA6587">
        <w:t>that it has complied with all requirements under this agreement</w:t>
      </w:r>
      <w:r w:rsidR="001D1493">
        <w:t xml:space="preserve"> and demonstrat</w:t>
      </w:r>
      <w:r w:rsidR="00E257F9">
        <w:t>e</w:t>
      </w:r>
      <w:r w:rsidR="009F1473">
        <w:t xml:space="preserve"> </w:t>
      </w:r>
      <w:r w:rsidR="001D1493">
        <w:t xml:space="preserve">how the requirements have been </w:t>
      </w:r>
      <w:r w:rsidR="009F1473">
        <w:t>met</w:t>
      </w:r>
      <w:r>
        <w:t>.</w:t>
      </w:r>
      <w:bookmarkEnd w:id="16"/>
      <w:r w:rsidR="006476E6">
        <w:t xml:space="preserve"> </w:t>
      </w:r>
    </w:p>
    <w:p w:rsidR="0027275E" w:rsidRDefault="00BA6587" w:rsidP="00045969">
      <w:pPr>
        <w:pStyle w:val="NormalBlack"/>
        <w:numPr>
          <w:ilvl w:val="1"/>
          <w:numId w:val="11"/>
        </w:numPr>
        <w:spacing w:before="120"/>
      </w:pPr>
      <w:r>
        <w:t xml:space="preserve">Upon completion of the steps described in clauses </w:t>
      </w:r>
      <w:r w:rsidR="00A9777B">
        <w:fldChar w:fldCharType="begin"/>
      </w:r>
      <w:r w:rsidR="001B45BB">
        <w:instrText xml:space="preserve"> REF _Ref328670437 \w \h </w:instrText>
      </w:r>
      <w:r w:rsidR="00A9777B">
        <w:fldChar w:fldCharType="separate"/>
      </w:r>
      <w:r w:rsidR="005578FA">
        <w:t>7.1</w:t>
      </w:r>
      <w:r w:rsidR="00A9777B">
        <w:fldChar w:fldCharType="end"/>
      </w:r>
      <w:r>
        <w:t xml:space="preserve"> to </w:t>
      </w:r>
      <w:r w:rsidR="00A9777B">
        <w:fldChar w:fldCharType="begin"/>
      </w:r>
      <w:r w:rsidR="001B45BB">
        <w:instrText xml:space="preserve"> REF _Ref328670449 \w \h </w:instrText>
      </w:r>
      <w:r w:rsidR="00A9777B">
        <w:fldChar w:fldCharType="separate"/>
      </w:r>
      <w:r w:rsidR="005578FA">
        <w:t>7.8</w:t>
      </w:r>
      <w:r w:rsidR="00A9777B">
        <w:fldChar w:fldCharType="end"/>
      </w:r>
      <w:r>
        <w:t xml:space="preserve"> above, </w:t>
      </w:r>
      <w:r w:rsidR="004D0C33">
        <w:t>interjurisdictional</w:t>
      </w:r>
      <w:r w:rsidR="00D611AF">
        <w:t xml:space="preserve"> police services </w:t>
      </w:r>
      <w:r>
        <w:t xml:space="preserve">shall </w:t>
      </w:r>
      <w:r w:rsidR="00D611AF">
        <w:t>supply the expanded criminal history information and circumstances information to the unit</w:t>
      </w:r>
      <w:r>
        <w:t xml:space="preserve"> in accordance with this agreement</w:t>
      </w:r>
      <w:r w:rsidR="00D611AF">
        <w:t>.</w:t>
      </w:r>
    </w:p>
    <w:p w:rsidR="0047204F" w:rsidRPr="00896A2D" w:rsidRDefault="0047204F" w:rsidP="00045969">
      <w:pPr>
        <w:pStyle w:val="Heading1"/>
        <w:numPr>
          <w:ilvl w:val="0"/>
          <w:numId w:val="11"/>
        </w:numPr>
        <w:tabs>
          <w:tab w:val="clear" w:pos="360"/>
        </w:tabs>
        <w:spacing w:before="480"/>
        <w:ind w:left="540" w:hanging="540"/>
        <w:rPr>
          <w:sz w:val="28"/>
          <w:szCs w:val="28"/>
        </w:rPr>
      </w:pPr>
      <w:r w:rsidRPr="00896A2D">
        <w:rPr>
          <w:sz w:val="28"/>
          <w:szCs w:val="28"/>
        </w:rPr>
        <w:t xml:space="preserve">General </w:t>
      </w:r>
    </w:p>
    <w:p w:rsidR="006370A3" w:rsidRPr="00896A2D" w:rsidRDefault="002A2C6C" w:rsidP="002A2C6C">
      <w:pPr>
        <w:pStyle w:val="Heading3"/>
        <w:rPr>
          <w:sz w:val="24"/>
          <w:szCs w:val="24"/>
        </w:rPr>
      </w:pPr>
      <w:r w:rsidRPr="00896A2D">
        <w:rPr>
          <w:sz w:val="24"/>
          <w:szCs w:val="24"/>
        </w:rPr>
        <w:t>Commencement</w:t>
      </w:r>
    </w:p>
    <w:p w:rsidR="00B668EC" w:rsidRPr="002233F2" w:rsidRDefault="002A2C6C" w:rsidP="00045969">
      <w:pPr>
        <w:pStyle w:val="NormalBlack"/>
        <w:numPr>
          <w:ilvl w:val="1"/>
          <w:numId w:val="11"/>
        </w:numPr>
        <w:ind w:left="540" w:hanging="540"/>
      </w:pPr>
      <w:r>
        <w:t>Th</w:t>
      </w:r>
      <w:r w:rsidR="00BF75EA">
        <w:t>e</w:t>
      </w:r>
      <w:r>
        <w:t xml:space="preserve"> </w:t>
      </w:r>
      <w:r w:rsidR="004A5ED8">
        <w:t>agreement</w:t>
      </w:r>
      <w:r w:rsidR="00BF75EA">
        <w:t xml:space="preserve"> will</w:t>
      </w:r>
      <w:r w:rsidR="004A5ED8">
        <w:t xml:space="preserve"> </w:t>
      </w:r>
      <w:r w:rsidR="004C5BC8">
        <w:t>commence</w:t>
      </w:r>
      <w:r w:rsidR="0053241E">
        <w:t xml:space="preserve"> once executed by </w:t>
      </w:r>
      <w:r w:rsidR="0022078D">
        <w:t>all of the parties</w:t>
      </w:r>
      <w:r w:rsidR="0053241E">
        <w:t>.</w:t>
      </w:r>
      <w:r w:rsidR="00BA6587">
        <w:t xml:space="preserve"> Upon </w:t>
      </w:r>
      <w:r w:rsidR="0053241E">
        <w:t>commencement</w:t>
      </w:r>
      <w:r w:rsidR="002233F2">
        <w:t>,</w:t>
      </w:r>
      <w:r w:rsidR="0053241E">
        <w:t xml:space="preserve"> this agreement will supersede and replace the MOU</w:t>
      </w:r>
      <w:r w:rsidR="00BA6587">
        <w:t>.</w:t>
      </w:r>
    </w:p>
    <w:p w:rsidR="002A2C6C" w:rsidRPr="00896A2D" w:rsidRDefault="002A2C6C" w:rsidP="002A2C6C">
      <w:pPr>
        <w:pStyle w:val="Heading3"/>
        <w:rPr>
          <w:sz w:val="24"/>
          <w:szCs w:val="24"/>
        </w:rPr>
      </w:pPr>
      <w:r w:rsidRPr="00896A2D">
        <w:rPr>
          <w:sz w:val="24"/>
          <w:szCs w:val="24"/>
        </w:rPr>
        <w:t>Variation or amendment</w:t>
      </w:r>
    </w:p>
    <w:p w:rsidR="002A2C6C" w:rsidRPr="002A2C6C" w:rsidRDefault="006B0935" w:rsidP="00045969">
      <w:pPr>
        <w:pStyle w:val="NormalBlack"/>
        <w:numPr>
          <w:ilvl w:val="1"/>
          <w:numId w:val="11"/>
        </w:numPr>
        <w:ind w:left="540" w:hanging="540"/>
      </w:pPr>
      <w:r>
        <w:t>The whole or any part of t</w:t>
      </w:r>
      <w:r w:rsidR="002A2C6C" w:rsidRPr="002A2C6C">
        <w:t xml:space="preserve">his </w:t>
      </w:r>
      <w:r w:rsidR="004A5ED8">
        <w:t>agreement</w:t>
      </w:r>
      <w:r>
        <w:t xml:space="preserve"> including Schedules 1 – 4</w:t>
      </w:r>
      <w:r w:rsidR="004A5ED8" w:rsidRPr="002A2C6C">
        <w:t xml:space="preserve"> </w:t>
      </w:r>
      <w:r w:rsidR="002A2C6C" w:rsidRPr="002A2C6C">
        <w:t>may be varie</w:t>
      </w:r>
      <w:r w:rsidR="004C5BC8">
        <w:t xml:space="preserve">d, </w:t>
      </w:r>
      <w:r w:rsidR="002A2C6C" w:rsidRPr="002A2C6C">
        <w:t xml:space="preserve">amended </w:t>
      </w:r>
      <w:r w:rsidR="004C5BC8">
        <w:t xml:space="preserve">or terminated </w:t>
      </w:r>
      <w:r w:rsidR="00EE5F31">
        <w:t xml:space="preserve">with the written consent of all parties. </w:t>
      </w:r>
    </w:p>
    <w:p w:rsidR="002A2C6C" w:rsidRPr="00896A2D" w:rsidRDefault="00D82B83" w:rsidP="002A2C6C">
      <w:pPr>
        <w:pStyle w:val="Heading3"/>
        <w:rPr>
          <w:sz w:val="24"/>
          <w:szCs w:val="24"/>
        </w:rPr>
      </w:pPr>
      <w:r w:rsidRPr="00896A2D">
        <w:rPr>
          <w:sz w:val="24"/>
          <w:szCs w:val="24"/>
        </w:rPr>
        <w:t>Withdrawal</w:t>
      </w:r>
    </w:p>
    <w:p w:rsidR="002A2C6C" w:rsidRDefault="002A2C6C" w:rsidP="00045969">
      <w:pPr>
        <w:pStyle w:val="NormalBlack"/>
        <w:numPr>
          <w:ilvl w:val="1"/>
          <w:numId w:val="11"/>
        </w:numPr>
        <w:ind w:left="540" w:hanging="540"/>
      </w:pPr>
      <w:r>
        <w:t>A p</w:t>
      </w:r>
      <w:r w:rsidRPr="002A2C6C">
        <w:t xml:space="preserve">arty may withdraw from this </w:t>
      </w:r>
      <w:r w:rsidR="004A5ED8">
        <w:t>agreement</w:t>
      </w:r>
      <w:r w:rsidR="00580764">
        <w:t>, or withdraw a screening unit within its jurisdiction</w:t>
      </w:r>
      <w:r w:rsidR="004A5ED8">
        <w:t xml:space="preserve"> </w:t>
      </w:r>
      <w:r w:rsidR="00580764">
        <w:t xml:space="preserve">from this agreement, </w:t>
      </w:r>
      <w:r w:rsidRPr="002A2C6C">
        <w:t xml:space="preserve">by giving at least </w:t>
      </w:r>
      <w:r w:rsidR="00671985">
        <w:t>two</w:t>
      </w:r>
      <w:r w:rsidR="00671985" w:rsidRPr="002A2C6C">
        <w:t xml:space="preserve"> </w:t>
      </w:r>
      <w:r w:rsidRPr="002A2C6C">
        <w:t>month</w:t>
      </w:r>
      <w:r w:rsidR="00580764">
        <w:t>s’</w:t>
      </w:r>
      <w:r w:rsidRPr="002A2C6C">
        <w:t xml:space="preserve"> notice in writ</w:t>
      </w:r>
      <w:r>
        <w:t>ing to the other p</w:t>
      </w:r>
      <w:r w:rsidRPr="002A2C6C">
        <w:t>arties</w:t>
      </w:r>
      <w:r w:rsidR="00EE5F31">
        <w:t xml:space="preserve"> stating</w:t>
      </w:r>
      <w:r w:rsidRPr="002A2C6C">
        <w:t xml:space="preserve"> the date on which the withdrawal will be effective.</w:t>
      </w:r>
    </w:p>
    <w:p w:rsidR="00C07413" w:rsidRDefault="00BF2E6A" w:rsidP="00045969">
      <w:pPr>
        <w:pStyle w:val="NormalBlack"/>
        <w:numPr>
          <w:ilvl w:val="1"/>
          <w:numId w:val="11"/>
        </w:numPr>
        <w:ind w:left="540" w:hanging="540"/>
      </w:pPr>
      <w:r>
        <w:t>The relevant party will notify CrimTrac and police services in writing of the decision to withdraw.</w:t>
      </w:r>
    </w:p>
    <w:p w:rsidR="00D611AF" w:rsidRDefault="00580764" w:rsidP="00045969">
      <w:pPr>
        <w:pStyle w:val="NormalBlack"/>
        <w:numPr>
          <w:ilvl w:val="1"/>
          <w:numId w:val="11"/>
        </w:numPr>
        <w:ind w:left="540" w:hanging="540"/>
      </w:pPr>
      <w:r>
        <w:t xml:space="preserve">Upon receipt of </w:t>
      </w:r>
      <w:r w:rsidR="00D611AF">
        <w:t xml:space="preserve">this notification, </w:t>
      </w:r>
      <w:r w:rsidR="0006091D">
        <w:t>COAG Senior Officials</w:t>
      </w:r>
      <w:r w:rsidR="00D611AF">
        <w:t xml:space="preserve"> </w:t>
      </w:r>
      <w:r w:rsidR="0006091D">
        <w:t xml:space="preserve">will be advised </w:t>
      </w:r>
      <w:r w:rsidR="00BD0651" w:rsidRPr="00491B03">
        <w:t xml:space="preserve">by </w:t>
      </w:r>
      <w:r w:rsidR="00005F6C" w:rsidRPr="00491B03">
        <w:t xml:space="preserve">the Chair of the </w:t>
      </w:r>
      <w:r w:rsidR="00476CC7">
        <w:t>Steering Committee</w:t>
      </w:r>
      <w:r w:rsidR="00BA6587" w:rsidRPr="00491B03">
        <w:t xml:space="preserve"> </w:t>
      </w:r>
      <w:r w:rsidR="00D611AF">
        <w:t xml:space="preserve">of the </w:t>
      </w:r>
      <w:r w:rsidR="00A47AF0">
        <w:t xml:space="preserve">withdrawal. The Chair will amend </w:t>
      </w:r>
      <w:r w:rsidR="00D611AF">
        <w:lastRenderedPageBreak/>
        <w:t xml:space="preserve">Schedule 2 to this agreement </w:t>
      </w:r>
      <w:r w:rsidR="00A47AF0">
        <w:t xml:space="preserve">accordingly, and provide each party with an updated version of Schedule 2. </w:t>
      </w:r>
      <w:r w:rsidR="00760644">
        <w:t>This clause has effect despite clause 8.2.</w:t>
      </w:r>
    </w:p>
    <w:p w:rsidR="002A2C6C" w:rsidRDefault="00EE5F31" w:rsidP="00045969">
      <w:pPr>
        <w:pStyle w:val="NormalBlack"/>
        <w:numPr>
          <w:ilvl w:val="1"/>
          <w:numId w:val="11"/>
        </w:numPr>
        <w:ind w:left="540" w:hanging="540"/>
      </w:pPr>
      <w:r>
        <w:t xml:space="preserve">If a party withdraws from this </w:t>
      </w:r>
      <w:r w:rsidR="004A5ED8">
        <w:t>agreement</w:t>
      </w:r>
      <w:r>
        <w:t xml:space="preserve">, the </w:t>
      </w:r>
      <w:r w:rsidR="004A5ED8">
        <w:t xml:space="preserve">agreement </w:t>
      </w:r>
      <w:r w:rsidR="002A2C6C" w:rsidRPr="002A2C6C">
        <w:t>will continue</w:t>
      </w:r>
      <w:r w:rsidR="002A2C6C">
        <w:t xml:space="preserve"> </w:t>
      </w:r>
      <w:r w:rsidR="004C5BC8">
        <w:t xml:space="preserve">in relation to </w:t>
      </w:r>
      <w:r w:rsidR="002A2C6C">
        <w:t>the remaining p</w:t>
      </w:r>
      <w:r w:rsidR="002A2C6C" w:rsidRPr="002A2C6C">
        <w:t xml:space="preserve">arties.   </w:t>
      </w:r>
    </w:p>
    <w:p w:rsidR="00E51B49" w:rsidRPr="00896A2D" w:rsidRDefault="00146E95" w:rsidP="00E51B49">
      <w:pPr>
        <w:pStyle w:val="Heading3"/>
        <w:rPr>
          <w:sz w:val="24"/>
          <w:szCs w:val="24"/>
        </w:rPr>
      </w:pPr>
      <w:r>
        <w:rPr>
          <w:sz w:val="24"/>
          <w:szCs w:val="24"/>
        </w:rPr>
        <w:t>D</w:t>
      </w:r>
      <w:r w:rsidR="00A67CEF" w:rsidRPr="00896A2D">
        <w:rPr>
          <w:sz w:val="24"/>
          <w:szCs w:val="24"/>
        </w:rPr>
        <w:t>ispute resolution</w:t>
      </w:r>
    </w:p>
    <w:p w:rsidR="0027275E" w:rsidRDefault="00146E95" w:rsidP="00045969">
      <w:pPr>
        <w:pStyle w:val="NormalBlack"/>
        <w:numPr>
          <w:ilvl w:val="1"/>
          <w:numId w:val="11"/>
        </w:numPr>
        <w:ind w:left="540" w:hanging="540"/>
      </w:pPr>
      <w:r>
        <w:t>The parties note that t</w:t>
      </w:r>
      <w:r w:rsidR="00860DF0">
        <w:t xml:space="preserve">he National </w:t>
      </w:r>
      <w:r w:rsidR="00230F66">
        <w:t>Police Check</w:t>
      </w:r>
      <w:r w:rsidR="000A2AA4">
        <w:t>ing</w:t>
      </w:r>
      <w:r w:rsidR="00230F66">
        <w:t xml:space="preserve"> Service </w:t>
      </w:r>
      <w:r w:rsidR="00860DF0">
        <w:t>Operat</w:t>
      </w:r>
      <w:r w:rsidR="00BD76DB">
        <w:t>ion</w:t>
      </w:r>
      <w:r w:rsidR="00F222C1">
        <w:t>al</w:t>
      </w:r>
      <w:r w:rsidR="00860DF0">
        <w:t xml:space="preserve"> Advisory </w:t>
      </w:r>
      <w:r w:rsidR="00230F66">
        <w:t xml:space="preserve">Committee </w:t>
      </w:r>
      <w:r w:rsidR="00860DF0">
        <w:t>(</w:t>
      </w:r>
      <w:r w:rsidR="007265AC" w:rsidRPr="00CC2B4A">
        <w:rPr>
          <w:b/>
        </w:rPr>
        <w:t>“</w:t>
      </w:r>
      <w:r w:rsidR="00860DF0" w:rsidRPr="00CC2B4A">
        <w:rPr>
          <w:b/>
        </w:rPr>
        <w:t>NOAC</w:t>
      </w:r>
      <w:r w:rsidR="007265AC" w:rsidRPr="00CC2B4A">
        <w:rPr>
          <w:b/>
        </w:rPr>
        <w:t>”</w:t>
      </w:r>
      <w:r w:rsidR="00860DF0">
        <w:t xml:space="preserve">), consisting of the heads of police services’ criminal history information units, will monitor and </w:t>
      </w:r>
      <w:r w:rsidR="00491B03">
        <w:t>coordinate</w:t>
      </w:r>
      <w:r w:rsidR="00860DF0">
        <w:t xml:space="preserve"> the operation of </w:t>
      </w:r>
      <w:r w:rsidR="00D641CC">
        <w:t>the Exchange</w:t>
      </w:r>
      <w:r w:rsidR="00860DF0">
        <w:t xml:space="preserve"> as it relates to police services</w:t>
      </w:r>
      <w:r w:rsidR="00416AE1">
        <w:t>.</w:t>
      </w:r>
    </w:p>
    <w:p w:rsidR="00A8657E" w:rsidRDefault="007265AC" w:rsidP="00045969">
      <w:pPr>
        <w:pStyle w:val="NormalBlack"/>
        <w:numPr>
          <w:ilvl w:val="1"/>
          <w:numId w:val="11"/>
        </w:numPr>
        <w:ind w:left="540" w:hanging="540"/>
      </w:pPr>
      <w:r>
        <w:t xml:space="preserve">Where an issue arises among or between </w:t>
      </w:r>
      <w:r w:rsidR="003A0959">
        <w:t>participating screening units or police services or CrimTrac (together</w:t>
      </w:r>
      <w:r w:rsidR="00FF74F5">
        <w:t xml:space="preserve">, </w:t>
      </w:r>
      <w:r w:rsidR="003A0959" w:rsidRPr="003A0959">
        <w:rPr>
          <w:b/>
        </w:rPr>
        <w:t>“agencies”</w:t>
      </w:r>
      <w:r w:rsidR="003A0959">
        <w:t xml:space="preserve"> for this clause) </w:t>
      </w:r>
      <w:r>
        <w:t xml:space="preserve">in relation to any matter covered in </w:t>
      </w:r>
      <w:r w:rsidR="00EA2C62">
        <w:t>this agreement</w:t>
      </w:r>
      <w:r>
        <w:t>, the agencies</w:t>
      </w:r>
      <w:r w:rsidR="003A0959">
        <w:t xml:space="preserve"> </w:t>
      </w:r>
      <w:r w:rsidR="00814CA0">
        <w:t xml:space="preserve">involved </w:t>
      </w:r>
      <w:r>
        <w:t>will discuss and attempt to resolve the issue</w:t>
      </w:r>
      <w:r w:rsidR="00814CA0">
        <w:t>.</w:t>
      </w:r>
      <w:r w:rsidR="003A0959">
        <w:t xml:space="preserve"> </w:t>
      </w:r>
    </w:p>
    <w:p w:rsidR="00EE2725" w:rsidRDefault="003A0959" w:rsidP="00045969">
      <w:pPr>
        <w:pStyle w:val="NormalBlack"/>
        <w:numPr>
          <w:ilvl w:val="1"/>
          <w:numId w:val="11"/>
        </w:numPr>
        <w:ind w:left="540" w:hanging="540"/>
      </w:pPr>
      <w:r>
        <w:t xml:space="preserve">Where the agencies </w:t>
      </w:r>
      <w:r w:rsidR="007265AC">
        <w:t xml:space="preserve">are unable to resolve the issue, </w:t>
      </w:r>
      <w:r w:rsidR="00814CA0">
        <w:t xml:space="preserve">one of the agencies involved </w:t>
      </w:r>
      <w:r w:rsidR="007265AC">
        <w:t xml:space="preserve">may refer </w:t>
      </w:r>
      <w:r w:rsidR="00814CA0">
        <w:t xml:space="preserve">the issue </w:t>
      </w:r>
      <w:r w:rsidR="007265AC">
        <w:t xml:space="preserve">to the </w:t>
      </w:r>
      <w:r w:rsidR="00AC4D37">
        <w:t>Steering Committee</w:t>
      </w:r>
      <w:r w:rsidR="00C80D94">
        <w:t xml:space="preserve"> for resolution</w:t>
      </w:r>
      <w:r w:rsidR="00AC4D37">
        <w:t>.</w:t>
      </w:r>
    </w:p>
    <w:p w:rsidR="003F0A29" w:rsidRDefault="003F0A29" w:rsidP="00045969">
      <w:pPr>
        <w:pStyle w:val="NormalBlack"/>
        <w:numPr>
          <w:ilvl w:val="1"/>
          <w:numId w:val="11"/>
        </w:numPr>
        <w:ind w:left="540" w:hanging="540"/>
      </w:pPr>
      <w:r>
        <w:t>Where the Steering Committee is unable to resolve the issue, the Chair may refer the issue to COAG Senior Officials for consideration and resolution.</w:t>
      </w:r>
    </w:p>
    <w:p w:rsidR="00E45734" w:rsidRDefault="00E45734" w:rsidP="00B432CB">
      <w:pPr>
        <w:pStyle w:val="NormalBlack"/>
        <w:numPr>
          <w:ilvl w:val="0"/>
          <w:numId w:val="0"/>
        </w:numPr>
        <w:spacing w:before="120"/>
      </w:pPr>
    </w:p>
    <w:p w:rsidR="00A050D2" w:rsidRPr="00A050D2" w:rsidRDefault="00A050D2" w:rsidP="00A050D2">
      <w:pPr>
        <w:pStyle w:val="NormalBlack"/>
        <w:keepNext/>
        <w:pageBreakBefore/>
        <w:numPr>
          <w:ilvl w:val="0"/>
          <w:numId w:val="0"/>
        </w:numPr>
        <w:jc w:val="right"/>
        <w:rPr>
          <w:b/>
          <w:sz w:val="28"/>
          <w:szCs w:val="28"/>
        </w:rPr>
      </w:pPr>
      <w:r>
        <w:rPr>
          <w:b/>
          <w:sz w:val="28"/>
          <w:szCs w:val="28"/>
        </w:rPr>
        <w:lastRenderedPageBreak/>
        <w:t xml:space="preserve">Schedule </w:t>
      </w:r>
      <w:r w:rsidR="00DD054B">
        <w:rPr>
          <w:b/>
          <w:sz w:val="28"/>
          <w:szCs w:val="28"/>
        </w:rPr>
        <w:t>1</w:t>
      </w:r>
      <w:r w:rsidR="0047197D">
        <w:rPr>
          <w:b/>
          <w:sz w:val="28"/>
          <w:szCs w:val="28"/>
        </w:rPr>
        <w:br/>
      </w:r>
    </w:p>
    <w:p w:rsidR="00C83625" w:rsidRDefault="00A050D2" w:rsidP="00100EA9">
      <w:pPr>
        <w:rPr>
          <w:b/>
          <w:bCs/>
          <w:sz w:val="28"/>
          <w:szCs w:val="28"/>
        </w:rPr>
      </w:pPr>
      <w:r>
        <w:rPr>
          <w:b/>
          <w:bCs/>
          <w:sz w:val="28"/>
          <w:szCs w:val="28"/>
        </w:rPr>
        <w:t xml:space="preserve">The participation requirements </w:t>
      </w:r>
    </w:p>
    <w:p w:rsidR="009E37C5" w:rsidRDefault="009E37C5" w:rsidP="00A050D2">
      <w:pPr>
        <w:keepNext/>
      </w:pPr>
      <w:r>
        <w:t xml:space="preserve">The requirements with which participating screening units must comply </w:t>
      </w:r>
      <w:r w:rsidR="00A050D2">
        <w:t xml:space="preserve">to participate in </w:t>
      </w:r>
      <w:r w:rsidR="00D641CC">
        <w:t>the Exchange</w:t>
      </w:r>
      <w:r w:rsidR="00A050D2">
        <w:t xml:space="preserve"> are as follows. </w:t>
      </w:r>
    </w:p>
    <w:p w:rsidR="009E37C5" w:rsidRDefault="009E37C5" w:rsidP="00045969">
      <w:pPr>
        <w:widowControl/>
        <w:numPr>
          <w:ilvl w:val="2"/>
          <w:numId w:val="7"/>
        </w:numPr>
        <w:tabs>
          <w:tab w:val="clear" w:pos="1830"/>
        </w:tabs>
        <w:autoSpaceDE/>
        <w:autoSpaceDN/>
        <w:adjustRightInd/>
        <w:ind w:left="539" w:hanging="539"/>
      </w:pPr>
      <w:r>
        <w:t xml:space="preserve">The participating screening unit has a legislative basis </w:t>
      </w:r>
      <w:r w:rsidRPr="000A454D">
        <w:t xml:space="preserve">for screening </w:t>
      </w:r>
      <w:r>
        <w:t xml:space="preserve">of </w:t>
      </w:r>
      <w:r w:rsidRPr="000A454D">
        <w:t xml:space="preserve">persons working or seeking to work with children, which specifically enables consideration of information </w:t>
      </w:r>
      <w:r w:rsidR="002C08F7">
        <w:t xml:space="preserve">such as </w:t>
      </w:r>
      <w:r w:rsidR="008558FC">
        <w:t>information</w:t>
      </w:r>
      <w:r w:rsidR="002C08F7">
        <w:t xml:space="preserve"> that is </w:t>
      </w:r>
      <w:r w:rsidRPr="000A454D">
        <w:t xml:space="preserve">available through </w:t>
      </w:r>
      <w:r w:rsidR="00D641CC">
        <w:t>the Exchange</w:t>
      </w:r>
      <w:r>
        <w:t>.</w:t>
      </w:r>
    </w:p>
    <w:p w:rsidR="009E37C5" w:rsidRDefault="009E37C5" w:rsidP="00045969">
      <w:pPr>
        <w:widowControl/>
        <w:numPr>
          <w:ilvl w:val="2"/>
          <w:numId w:val="7"/>
        </w:numPr>
        <w:tabs>
          <w:tab w:val="clear" w:pos="1830"/>
        </w:tabs>
        <w:autoSpaceDE/>
        <w:autoSpaceDN/>
        <w:adjustRightInd/>
        <w:ind w:left="539" w:hanging="539"/>
      </w:pPr>
      <w:r>
        <w:t xml:space="preserve">The participating screening unit </w:t>
      </w:r>
      <w:r w:rsidR="00142F3D">
        <w:t xml:space="preserve">must </w:t>
      </w:r>
      <w:r>
        <w:t xml:space="preserve">use the </w:t>
      </w:r>
      <w:r w:rsidRPr="00C059F3">
        <w:t xml:space="preserve">expanded </w:t>
      </w:r>
      <w:r w:rsidR="004D0C33">
        <w:t>interjurisdictional</w:t>
      </w:r>
      <w:r w:rsidR="00EF647A" w:rsidRPr="00C059F3">
        <w:t xml:space="preserve"> </w:t>
      </w:r>
      <w:r w:rsidRPr="00C059F3">
        <w:t>criminal</w:t>
      </w:r>
      <w:r>
        <w:t xml:space="preserve"> history information only for the purposes of child-related employment screening. </w:t>
      </w:r>
    </w:p>
    <w:p w:rsidR="009E37C5" w:rsidRDefault="009E37C5" w:rsidP="00045969">
      <w:pPr>
        <w:widowControl/>
        <w:numPr>
          <w:ilvl w:val="2"/>
          <w:numId w:val="7"/>
        </w:numPr>
        <w:tabs>
          <w:tab w:val="clear" w:pos="1830"/>
        </w:tabs>
        <w:autoSpaceDE/>
        <w:autoSpaceDN/>
        <w:adjustRightInd/>
        <w:ind w:left="539" w:hanging="539"/>
      </w:pPr>
      <w:r>
        <w:t xml:space="preserve">The participating screening unit is prohibited from—and, where appropriate, subject to penalty for—disclosing </w:t>
      </w:r>
      <w:r w:rsidRPr="00C059F3">
        <w:t xml:space="preserve">the </w:t>
      </w:r>
      <w:r w:rsidR="004D0C33">
        <w:t>interjurisdictional</w:t>
      </w:r>
      <w:r w:rsidR="00EF647A" w:rsidRPr="00C059F3">
        <w:t xml:space="preserve"> </w:t>
      </w:r>
      <w:r w:rsidRPr="00C059F3">
        <w:t>expanded</w:t>
      </w:r>
      <w:r>
        <w:t xml:space="preserve"> criminal history information beyond the screening unit or to persons </w:t>
      </w:r>
      <w:r w:rsidRPr="000A454D">
        <w:t>not performing functions relevant to criminal record employment screening for</w:t>
      </w:r>
      <w:r>
        <w:t xml:space="preserve"> </w:t>
      </w:r>
      <w:r w:rsidR="00077141">
        <w:t>child-related</w:t>
      </w:r>
      <w:r w:rsidRPr="000A454D">
        <w:t xml:space="preserve"> work</w:t>
      </w:r>
      <w:r w:rsidR="0047197D">
        <w:t xml:space="preserve"> other than as required by law</w:t>
      </w:r>
      <w:r w:rsidR="00C83625">
        <w:t>. However, disclosure of the</w:t>
      </w:r>
      <w:r w:rsidR="00EF647A">
        <w:t xml:space="preserve"> </w:t>
      </w:r>
      <w:r>
        <w:t>expanded criminal history information to tribunals</w:t>
      </w:r>
      <w:r w:rsidR="00B40EFF">
        <w:t xml:space="preserve">, courts </w:t>
      </w:r>
      <w:r>
        <w:t xml:space="preserve">or authorities undertaking reviews of decisions of the participating screening unit for the purpose of facilitating a review is an acceptable disclosure. </w:t>
      </w:r>
    </w:p>
    <w:p w:rsidR="009E37C5" w:rsidRDefault="009E37C5" w:rsidP="00045969">
      <w:pPr>
        <w:widowControl/>
        <w:numPr>
          <w:ilvl w:val="2"/>
          <w:numId w:val="7"/>
        </w:numPr>
        <w:tabs>
          <w:tab w:val="clear" w:pos="1830"/>
        </w:tabs>
        <w:autoSpaceDE/>
        <w:autoSpaceDN/>
        <w:adjustRightInd/>
        <w:ind w:left="539" w:hanging="539"/>
      </w:pPr>
      <w:r>
        <w:t xml:space="preserve">Notwithstanding participation </w:t>
      </w:r>
      <w:r w:rsidRPr="00E167AF">
        <w:t>requirements (b) and (c)</w:t>
      </w:r>
      <w:r w:rsidR="00E167AF" w:rsidRPr="00E167AF">
        <w:t xml:space="preserve"> above</w:t>
      </w:r>
      <w:r>
        <w:t xml:space="preserve">, </w:t>
      </w:r>
      <w:r w:rsidRPr="000A454D">
        <w:t>it is acknowledged that</w:t>
      </w:r>
      <w:r>
        <w:t>,</w:t>
      </w:r>
      <w:r w:rsidRPr="000A454D">
        <w:t xml:space="preserve"> in exceptional circumstances, </w:t>
      </w:r>
      <w:r>
        <w:t>the participating screening unit</w:t>
      </w:r>
      <w:r w:rsidRPr="000A454D">
        <w:t xml:space="preserve"> may be under statutory obligations to use or disclose </w:t>
      </w:r>
      <w:r w:rsidRPr="00C059F3">
        <w:t xml:space="preserve">the </w:t>
      </w:r>
      <w:r w:rsidR="004D0C33">
        <w:t>interjurisdictional</w:t>
      </w:r>
      <w:r w:rsidR="00C83625" w:rsidRPr="00C059F3">
        <w:t xml:space="preserve"> </w:t>
      </w:r>
      <w:r w:rsidRPr="00C059F3">
        <w:t>expanded</w:t>
      </w:r>
      <w:r>
        <w:t xml:space="preserve"> criminal history information </w:t>
      </w:r>
      <w:r w:rsidRPr="000A454D">
        <w:t>for the protection of a particular child or class of children, as part of a legislated child protection function.</w:t>
      </w:r>
      <w:r>
        <w:t xml:space="preserve"> Such statutory obligations and disclosure pursuant to them are consistent with this </w:t>
      </w:r>
      <w:r w:rsidR="00F532AD">
        <w:t>agreement</w:t>
      </w:r>
      <w:r>
        <w:t>.</w:t>
      </w:r>
    </w:p>
    <w:p w:rsidR="009E37C5" w:rsidRDefault="009E37C5" w:rsidP="00045969">
      <w:pPr>
        <w:widowControl/>
        <w:numPr>
          <w:ilvl w:val="2"/>
          <w:numId w:val="7"/>
        </w:numPr>
        <w:tabs>
          <w:tab w:val="clear" w:pos="1830"/>
        </w:tabs>
        <w:autoSpaceDE/>
        <w:autoSpaceDN/>
        <w:adjustRightInd/>
        <w:ind w:left="539" w:hanging="539"/>
      </w:pPr>
      <w:r>
        <w:t>If a participating screening unit undertakes screening with both (</w:t>
      </w:r>
      <w:proofErr w:type="spellStart"/>
      <w:r>
        <w:t>i</w:t>
      </w:r>
      <w:proofErr w:type="spellEnd"/>
      <w:r>
        <w:t xml:space="preserve">) a child safety screening element and (ii) a general employment suitability or probity screening element (many teacher registration and accreditation authorities fit this category), there is appropriate legislation or business rules in place to ensure that the </w:t>
      </w:r>
      <w:r w:rsidR="004D0C33">
        <w:t>interjurisdictional</w:t>
      </w:r>
      <w:r w:rsidR="00C83625" w:rsidRPr="00C059F3">
        <w:t xml:space="preserve"> </w:t>
      </w:r>
      <w:r w:rsidRPr="00C059F3">
        <w:t>expanded</w:t>
      </w:r>
      <w:r>
        <w:t xml:space="preserve"> criminal history information is used only to screen risks to the safety of children, and not for general employment suitability or probity screening.</w:t>
      </w:r>
    </w:p>
    <w:p w:rsidR="00E167AF" w:rsidRDefault="009E37C5" w:rsidP="00045969">
      <w:pPr>
        <w:widowControl/>
        <w:numPr>
          <w:ilvl w:val="2"/>
          <w:numId w:val="7"/>
        </w:numPr>
        <w:tabs>
          <w:tab w:val="clear" w:pos="1830"/>
        </w:tabs>
        <w:autoSpaceDE/>
        <w:autoSpaceDN/>
        <w:adjustRightInd/>
        <w:ind w:left="539" w:hanging="539"/>
      </w:pPr>
      <w:r>
        <w:t>The participating screening unit has a risk assessment and decision-making framework pertaining to child-related employment screening that is: (</w:t>
      </w:r>
      <w:proofErr w:type="spellStart"/>
      <w:r>
        <w:t>i</w:t>
      </w:r>
      <w:proofErr w:type="spellEnd"/>
      <w:r>
        <w:t xml:space="preserve">) evidence-based, to the extent possible in light of the requirements of the governing legislation; and (ii) documented, and supported by business rules and tools. </w:t>
      </w:r>
    </w:p>
    <w:p w:rsidR="009E37C5" w:rsidRDefault="009E37C5" w:rsidP="00045969">
      <w:pPr>
        <w:widowControl/>
        <w:numPr>
          <w:ilvl w:val="2"/>
          <w:numId w:val="7"/>
        </w:numPr>
        <w:tabs>
          <w:tab w:val="clear" w:pos="1830"/>
        </w:tabs>
        <w:autoSpaceDE/>
        <w:autoSpaceDN/>
        <w:adjustRightInd/>
        <w:ind w:left="539" w:hanging="539"/>
      </w:pPr>
      <w:r>
        <w:t xml:space="preserve">The participating screening unit has appropriately skilled staff to make assessments about risks to children’s safety suggested by applicants’ criminal </w:t>
      </w:r>
      <w:r>
        <w:lastRenderedPageBreak/>
        <w:t xml:space="preserve">histories. “Appropriately skilled” includes having appropriate qualifications, experience or standing to make the assessment. </w:t>
      </w:r>
    </w:p>
    <w:p w:rsidR="009E37C5" w:rsidRDefault="009E37C5" w:rsidP="00045969">
      <w:pPr>
        <w:widowControl/>
        <w:numPr>
          <w:ilvl w:val="2"/>
          <w:numId w:val="7"/>
        </w:numPr>
        <w:tabs>
          <w:tab w:val="clear" w:pos="1830"/>
        </w:tabs>
        <w:autoSpaceDE/>
        <w:autoSpaceDN/>
        <w:adjustRightInd/>
        <w:ind w:left="539" w:hanging="539"/>
      </w:pPr>
      <w:r>
        <w:t xml:space="preserve">The participating screening unit obtains the written consent of the individual </w:t>
      </w:r>
      <w:r w:rsidR="00B40EFF">
        <w:t xml:space="preserve">which </w:t>
      </w:r>
      <w:r>
        <w:t xml:space="preserve">records </w:t>
      </w:r>
      <w:r w:rsidR="00A050D2">
        <w:t xml:space="preserve">that </w:t>
      </w:r>
      <w:r w:rsidRPr="000311A3">
        <w:t>the individual understands that</w:t>
      </w:r>
      <w:r>
        <w:t xml:space="preserve"> the </w:t>
      </w:r>
      <w:r w:rsidRPr="000311A3">
        <w:t xml:space="preserve">employment screening will involve the provision of </w:t>
      </w:r>
      <w:r>
        <w:t xml:space="preserve">the expanded </w:t>
      </w:r>
      <w:r w:rsidRPr="000311A3">
        <w:t>criminal history information</w:t>
      </w:r>
      <w:r>
        <w:t xml:space="preserve">, including information from other jurisdictions and information about the </w:t>
      </w:r>
      <w:r w:rsidRPr="000311A3">
        <w:t xml:space="preserve">circumstances of </w:t>
      </w:r>
      <w:r>
        <w:t xml:space="preserve">the </w:t>
      </w:r>
      <w:r w:rsidRPr="000311A3">
        <w:t xml:space="preserve">convictions or </w:t>
      </w:r>
      <w:r w:rsidRPr="00C059F3">
        <w:t xml:space="preserve">charges. </w:t>
      </w:r>
      <w:r w:rsidR="00A050D2" w:rsidRPr="00C059F3">
        <w:t xml:space="preserve">For this purpose, </w:t>
      </w:r>
      <w:r w:rsidR="00735680">
        <w:t xml:space="preserve">parties have </w:t>
      </w:r>
      <w:r w:rsidR="00A050D2" w:rsidRPr="00C059F3">
        <w:t xml:space="preserve">settled the model principles that participating screening units’ </w:t>
      </w:r>
      <w:r w:rsidRPr="00C059F3">
        <w:t>consent form</w:t>
      </w:r>
      <w:r w:rsidR="00A050D2" w:rsidRPr="00C059F3">
        <w:t>s</w:t>
      </w:r>
      <w:r w:rsidRPr="00C059F3">
        <w:t xml:space="preserve"> </w:t>
      </w:r>
      <w:r w:rsidR="00A050D2" w:rsidRPr="00C059F3">
        <w:t>will reflect. The mod</w:t>
      </w:r>
      <w:r w:rsidR="00D02F16" w:rsidRPr="00C059F3">
        <w:t xml:space="preserve">el principles are contained in </w:t>
      </w:r>
      <w:r w:rsidR="00D02F16" w:rsidRPr="005C08C9">
        <w:t>S</w:t>
      </w:r>
      <w:r w:rsidR="00A050D2" w:rsidRPr="005C08C9">
        <w:t xml:space="preserve">chedule 3 </w:t>
      </w:r>
      <w:r w:rsidRPr="005C08C9">
        <w:t xml:space="preserve">to </w:t>
      </w:r>
      <w:r w:rsidR="00F532AD">
        <w:t>this agreement</w:t>
      </w:r>
      <w:r w:rsidRPr="00C059F3">
        <w:t>.</w:t>
      </w:r>
      <w:r>
        <w:t xml:space="preserve"> </w:t>
      </w:r>
      <w:bookmarkStart w:id="17" w:name="_Toc208639315"/>
      <w:bookmarkStart w:id="18" w:name="_Toc213224483"/>
      <w:bookmarkStart w:id="19" w:name="_Toc213522025"/>
      <w:bookmarkStart w:id="20" w:name="_Toc213561279"/>
      <w:bookmarkStart w:id="21" w:name="_Toc213561715"/>
      <w:bookmarkStart w:id="22" w:name="_Toc213561821"/>
      <w:bookmarkStart w:id="23" w:name="_Toc213647141"/>
      <w:bookmarkStart w:id="24" w:name="_Toc213647204"/>
      <w:bookmarkStart w:id="25" w:name="_Toc213663527"/>
      <w:bookmarkStart w:id="26" w:name="_Toc213663587"/>
    </w:p>
    <w:bookmarkEnd w:id="17"/>
    <w:bookmarkEnd w:id="18"/>
    <w:bookmarkEnd w:id="19"/>
    <w:bookmarkEnd w:id="20"/>
    <w:bookmarkEnd w:id="21"/>
    <w:bookmarkEnd w:id="22"/>
    <w:bookmarkEnd w:id="23"/>
    <w:bookmarkEnd w:id="24"/>
    <w:bookmarkEnd w:id="25"/>
    <w:bookmarkEnd w:id="26"/>
    <w:p w:rsidR="009E37C5" w:rsidRDefault="009E37C5" w:rsidP="00045969">
      <w:pPr>
        <w:widowControl/>
        <w:numPr>
          <w:ilvl w:val="2"/>
          <w:numId w:val="7"/>
        </w:numPr>
        <w:tabs>
          <w:tab w:val="clear" w:pos="1830"/>
        </w:tabs>
        <w:autoSpaceDE/>
        <w:autoSpaceDN/>
        <w:adjustRightInd/>
        <w:ind w:left="539" w:hanging="539"/>
      </w:pPr>
      <w:r>
        <w:t xml:space="preserve">The participating screening unit has a scheme that </w:t>
      </w:r>
      <w:r w:rsidRPr="000A454D">
        <w:t>reflect</w:t>
      </w:r>
      <w:r>
        <w:t>s</w:t>
      </w:r>
      <w:r w:rsidRPr="000A454D">
        <w:t xml:space="preserve"> the principles of natural justice</w:t>
      </w:r>
      <w:r>
        <w:t xml:space="preserve">. In particular, where there is an intention to </w:t>
      </w:r>
      <w:r w:rsidRPr="000A454D">
        <w:t>make an adverse decision abou</w:t>
      </w:r>
      <w:r>
        <w:t xml:space="preserve">t an individual on the basis of criminal history information received through </w:t>
      </w:r>
      <w:r w:rsidR="00D641CC">
        <w:t>the Exchange</w:t>
      </w:r>
      <w:r>
        <w:t>, the screening unit, tribunal or authority is required by legislation or policy to:</w:t>
      </w:r>
    </w:p>
    <w:p w:rsidR="009E37C5" w:rsidRDefault="009E37C5" w:rsidP="00045969">
      <w:pPr>
        <w:widowControl/>
        <w:numPr>
          <w:ilvl w:val="0"/>
          <w:numId w:val="8"/>
        </w:numPr>
        <w:tabs>
          <w:tab w:val="clear" w:pos="1080"/>
        </w:tabs>
        <w:autoSpaceDE/>
        <w:autoSpaceDN/>
        <w:adjustRightInd/>
        <w:spacing w:before="0"/>
        <w:ind w:left="1260" w:hanging="717"/>
      </w:pPr>
      <w:r w:rsidRPr="000A454D">
        <w:t>d</w:t>
      </w:r>
      <w:r>
        <w:t>isclos</w:t>
      </w:r>
      <w:r w:rsidRPr="000A454D">
        <w:t>e the criminal history</w:t>
      </w:r>
      <w:r>
        <w:t xml:space="preserve"> information to the individual;</w:t>
      </w:r>
    </w:p>
    <w:p w:rsidR="009E37C5" w:rsidRDefault="009E37C5" w:rsidP="00045969">
      <w:pPr>
        <w:widowControl/>
        <w:numPr>
          <w:ilvl w:val="0"/>
          <w:numId w:val="8"/>
        </w:numPr>
        <w:tabs>
          <w:tab w:val="clear" w:pos="1080"/>
        </w:tabs>
        <w:autoSpaceDE/>
        <w:autoSpaceDN/>
        <w:adjustRightInd/>
        <w:spacing w:before="0"/>
        <w:ind w:left="1260" w:hanging="717"/>
      </w:pPr>
      <w:r>
        <w:t>allow</w:t>
      </w:r>
      <w:r w:rsidRPr="000A454D">
        <w:t xml:space="preserve"> the individual a reas</w:t>
      </w:r>
      <w:r>
        <w:t>onable opportunity to be heard;</w:t>
      </w:r>
      <w:r w:rsidRPr="000A454D">
        <w:t xml:space="preserve"> and </w:t>
      </w:r>
    </w:p>
    <w:p w:rsidR="009E37C5" w:rsidRDefault="009E37C5" w:rsidP="00045969">
      <w:pPr>
        <w:widowControl/>
        <w:numPr>
          <w:ilvl w:val="0"/>
          <w:numId w:val="8"/>
        </w:numPr>
        <w:tabs>
          <w:tab w:val="clear" w:pos="1080"/>
        </w:tabs>
        <w:autoSpaceDE/>
        <w:autoSpaceDN/>
        <w:adjustRightInd/>
        <w:spacing w:before="0"/>
        <w:ind w:left="1260" w:hanging="717"/>
      </w:pPr>
      <w:proofErr w:type="gramStart"/>
      <w:r>
        <w:t>consider</w:t>
      </w:r>
      <w:proofErr w:type="gramEnd"/>
      <w:r w:rsidRPr="000A454D">
        <w:t xml:space="preserve"> the individua</w:t>
      </w:r>
      <w:r>
        <w:t>l’s response before finalising</w:t>
      </w:r>
      <w:r w:rsidRPr="000A454D">
        <w:t xml:space="preserve"> the decision.</w:t>
      </w:r>
    </w:p>
    <w:p w:rsidR="009E37C5" w:rsidRDefault="009E37C5" w:rsidP="00E167AF">
      <w:pPr>
        <w:keepNext/>
        <w:ind w:left="540"/>
      </w:pPr>
      <w:r>
        <w:t>However, w</w:t>
      </w:r>
      <w:r w:rsidRPr="000A454D">
        <w:t>here a jurisdiction has determined that certain information will result in an individual’s automatic exclusion from child-related employment</w:t>
      </w:r>
      <w:r>
        <w:t>,</w:t>
      </w:r>
      <w:r w:rsidRPr="000A454D">
        <w:t xml:space="preserve"> the right to be heard may be limited to </w:t>
      </w:r>
      <w:r w:rsidR="00142F3D">
        <w:t xml:space="preserve">a </w:t>
      </w:r>
      <w:r w:rsidRPr="000A454D">
        <w:t xml:space="preserve">challenge </w:t>
      </w:r>
      <w:r w:rsidR="00142F3D">
        <w:t xml:space="preserve">to </w:t>
      </w:r>
      <w:r w:rsidRPr="000A454D">
        <w:t>the</w:t>
      </w:r>
      <w:r w:rsidR="00142F3D">
        <w:t xml:space="preserve"> accuracy of the </w:t>
      </w:r>
      <w:r w:rsidRPr="000A454D">
        <w:t>records.</w:t>
      </w:r>
    </w:p>
    <w:p w:rsidR="009E37C5" w:rsidRDefault="009E37C5" w:rsidP="00045969">
      <w:pPr>
        <w:widowControl/>
        <w:numPr>
          <w:ilvl w:val="2"/>
          <w:numId w:val="7"/>
        </w:numPr>
        <w:tabs>
          <w:tab w:val="clear" w:pos="1830"/>
        </w:tabs>
        <w:autoSpaceDE/>
        <w:autoSpaceDN/>
        <w:adjustRightInd/>
        <w:ind w:left="539" w:hanging="539"/>
      </w:pPr>
      <w:r>
        <w:t xml:space="preserve">The participating screening unit must comply with </w:t>
      </w:r>
      <w:r w:rsidRPr="000A454D">
        <w:t>Commonwealth, State and Territory privacy</w:t>
      </w:r>
      <w:r w:rsidR="00B70D1C">
        <w:t xml:space="preserve"> </w:t>
      </w:r>
      <w:r w:rsidRPr="000A454D">
        <w:t>and human rights legisla</w:t>
      </w:r>
      <w:r>
        <w:t xml:space="preserve">tion where relevant. </w:t>
      </w:r>
    </w:p>
    <w:p w:rsidR="008A26CB" w:rsidRDefault="009E37C5" w:rsidP="00045969">
      <w:pPr>
        <w:widowControl/>
        <w:numPr>
          <w:ilvl w:val="2"/>
          <w:numId w:val="7"/>
        </w:numPr>
        <w:tabs>
          <w:tab w:val="clear" w:pos="1830"/>
        </w:tabs>
        <w:autoSpaceDE/>
        <w:autoSpaceDN/>
        <w:adjustRightInd/>
        <w:ind w:left="539" w:hanging="539"/>
      </w:pPr>
      <w:r>
        <w:t xml:space="preserve">The participating screening unit must comply with </w:t>
      </w:r>
      <w:r w:rsidRPr="000A454D">
        <w:t>records management legislation within their jurisdictions that determine</w:t>
      </w:r>
      <w:r>
        <w:t>s</w:t>
      </w:r>
      <w:r w:rsidRPr="000A454D">
        <w:t xml:space="preserve"> information management, storage, </w:t>
      </w:r>
      <w:proofErr w:type="gramStart"/>
      <w:r w:rsidRPr="000A454D">
        <w:t>retention</w:t>
      </w:r>
      <w:proofErr w:type="gramEnd"/>
      <w:r w:rsidRPr="000A454D">
        <w:t xml:space="preserve"> and </w:t>
      </w:r>
      <w:r>
        <w:t>destruction</w:t>
      </w:r>
      <w:r w:rsidRPr="000A454D">
        <w:t xml:space="preserve"> requirements</w:t>
      </w:r>
      <w:r>
        <w:t xml:space="preserve">. </w:t>
      </w:r>
    </w:p>
    <w:p w:rsidR="00DD054B" w:rsidRPr="00A050D2" w:rsidRDefault="00DD054B" w:rsidP="00DD054B">
      <w:pPr>
        <w:pStyle w:val="NormalBlack"/>
        <w:keepNext/>
        <w:pageBreakBefore/>
        <w:numPr>
          <w:ilvl w:val="0"/>
          <w:numId w:val="0"/>
        </w:numPr>
        <w:ind w:right="280"/>
        <w:jc w:val="right"/>
        <w:rPr>
          <w:b/>
          <w:sz w:val="28"/>
          <w:szCs w:val="28"/>
        </w:rPr>
      </w:pPr>
      <w:r w:rsidRPr="00A050D2">
        <w:rPr>
          <w:b/>
          <w:sz w:val="28"/>
          <w:szCs w:val="28"/>
        </w:rPr>
        <w:lastRenderedPageBreak/>
        <w:t xml:space="preserve">Schedule </w:t>
      </w:r>
      <w:r>
        <w:rPr>
          <w:b/>
          <w:sz w:val="28"/>
          <w:szCs w:val="28"/>
        </w:rPr>
        <w:t>2</w:t>
      </w:r>
      <w:r w:rsidR="0047197D">
        <w:rPr>
          <w:b/>
          <w:sz w:val="28"/>
          <w:szCs w:val="28"/>
        </w:rPr>
        <w:br/>
      </w:r>
    </w:p>
    <w:p w:rsidR="00DD054B" w:rsidRPr="00FC195B" w:rsidRDefault="00DD054B" w:rsidP="00DD054B">
      <w:pPr>
        <w:rPr>
          <w:bCs/>
          <w:u w:val="single"/>
        </w:rPr>
      </w:pPr>
      <w:r w:rsidRPr="00A050D2">
        <w:rPr>
          <w:b/>
          <w:bCs/>
          <w:sz w:val="28"/>
          <w:szCs w:val="28"/>
        </w:rPr>
        <w:t>Participating screening units</w:t>
      </w:r>
    </w:p>
    <w:p w:rsidR="00DD054B" w:rsidRPr="00100EA9" w:rsidRDefault="00DD054B" w:rsidP="00DD054B">
      <w:pPr>
        <w:rPr>
          <w:bCs/>
        </w:rPr>
      </w:pPr>
      <w:r w:rsidRPr="00100EA9">
        <w:rPr>
          <w:bCs/>
        </w:rPr>
        <w:t xml:space="preserve">The </w:t>
      </w:r>
      <w:r w:rsidR="00077141">
        <w:rPr>
          <w:bCs/>
        </w:rPr>
        <w:t>child-related</w:t>
      </w:r>
      <w:r>
        <w:rPr>
          <w:bCs/>
        </w:rPr>
        <w:t xml:space="preserve"> employment </w:t>
      </w:r>
      <w:r w:rsidRPr="00100EA9">
        <w:rPr>
          <w:bCs/>
        </w:rPr>
        <w:t>screening units</w:t>
      </w:r>
      <w:r w:rsidRPr="005051CB">
        <w:rPr>
          <w:rStyle w:val="FootnoteReference"/>
          <w:b/>
          <w:bCs/>
        </w:rPr>
        <w:footnoteReference w:id="1"/>
      </w:r>
      <w:r w:rsidRPr="00100EA9">
        <w:rPr>
          <w:bCs/>
        </w:rPr>
        <w:t xml:space="preserve"> </w:t>
      </w:r>
      <w:r>
        <w:rPr>
          <w:bCs/>
        </w:rPr>
        <w:t xml:space="preserve">that will participate </w:t>
      </w:r>
      <w:r w:rsidRPr="00100EA9">
        <w:rPr>
          <w:bCs/>
        </w:rPr>
        <w:t xml:space="preserve">in </w:t>
      </w:r>
      <w:r w:rsidR="00D641CC">
        <w:rPr>
          <w:bCs/>
        </w:rPr>
        <w:t>the Exchange</w:t>
      </w:r>
      <w:r w:rsidRPr="00100EA9">
        <w:rPr>
          <w:bCs/>
        </w:rPr>
        <w:t xml:space="preserve"> are:</w:t>
      </w:r>
    </w:p>
    <w:p w:rsidR="00DD054B" w:rsidRPr="006E163B" w:rsidRDefault="00DD054B" w:rsidP="00DD054B">
      <w:pPr>
        <w:ind w:left="540" w:hanging="540"/>
      </w:pPr>
      <w:r>
        <w:t>(a)</w:t>
      </w:r>
      <w:r>
        <w:tab/>
      </w:r>
      <w:proofErr w:type="gramStart"/>
      <w:r w:rsidRPr="006E163B">
        <w:t>the</w:t>
      </w:r>
      <w:proofErr w:type="gramEnd"/>
      <w:r w:rsidRPr="006E163B">
        <w:t xml:space="preserve"> </w:t>
      </w:r>
      <w:r w:rsidR="00E63D2A">
        <w:t>Children’s Guardian referred to in</w:t>
      </w:r>
      <w:r w:rsidRPr="006E163B">
        <w:t xml:space="preserve"> the</w:t>
      </w:r>
      <w:r w:rsidR="00BD3DAF">
        <w:t xml:space="preserve"> </w:t>
      </w:r>
      <w:r w:rsidR="00BD3DAF" w:rsidRPr="00BD3DAF">
        <w:rPr>
          <w:i/>
        </w:rPr>
        <w:t xml:space="preserve">Child Protection (Working with Children) Act 2012 No 51 </w:t>
      </w:r>
      <w:r w:rsidR="00BD3DAF">
        <w:t>(NSW)</w:t>
      </w:r>
      <w:r w:rsidRPr="006E163B">
        <w:t>;</w:t>
      </w:r>
    </w:p>
    <w:p w:rsidR="00DD054B" w:rsidRPr="006E163B" w:rsidRDefault="00DD054B" w:rsidP="00DD054B">
      <w:pPr>
        <w:ind w:left="540" w:hanging="540"/>
      </w:pPr>
      <w:r>
        <w:t>(</w:t>
      </w:r>
      <w:r w:rsidR="00F4425D">
        <w:t>b</w:t>
      </w:r>
      <w:r>
        <w:t>)</w:t>
      </w:r>
      <w:r>
        <w:tab/>
      </w:r>
      <w:proofErr w:type="gramStart"/>
      <w:r w:rsidRPr="006E163B">
        <w:t>the</w:t>
      </w:r>
      <w:proofErr w:type="gramEnd"/>
      <w:r w:rsidRPr="006E163B">
        <w:t xml:space="preserve"> Secretary to the Department of Justice </w:t>
      </w:r>
      <w:r w:rsidR="00E15F20">
        <w:t xml:space="preserve">referred to </w:t>
      </w:r>
      <w:r w:rsidRPr="006E163B">
        <w:t xml:space="preserve">in the </w:t>
      </w:r>
      <w:r w:rsidRPr="00A050D2">
        <w:rPr>
          <w:i/>
        </w:rPr>
        <w:t>Working with Children Act 2005</w:t>
      </w:r>
      <w:r w:rsidRPr="00A050D2">
        <w:t xml:space="preserve"> </w:t>
      </w:r>
      <w:r w:rsidRPr="006E163B">
        <w:t>(Vic);</w:t>
      </w:r>
    </w:p>
    <w:p w:rsidR="00DD054B" w:rsidRPr="00A050D2" w:rsidRDefault="00DD054B" w:rsidP="00DD054B">
      <w:pPr>
        <w:ind w:left="540" w:hanging="540"/>
      </w:pPr>
      <w:r>
        <w:t>(</w:t>
      </w:r>
      <w:r w:rsidR="00F4425D">
        <w:t>c</w:t>
      </w:r>
      <w:r>
        <w:t>)</w:t>
      </w:r>
      <w:r>
        <w:tab/>
      </w:r>
      <w:proofErr w:type="gramStart"/>
      <w:r w:rsidRPr="006E163B">
        <w:t>the</w:t>
      </w:r>
      <w:proofErr w:type="gramEnd"/>
      <w:r w:rsidRPr="006E163B">
        <w:t xml:space="preserve"> chief executive officer </w:t>
      </w:r>
      <w:r w:rsidR="00E15F20">
        <w:t xml:space="preserve">referred to </w:t>
      </w:r>
      <w:r w:rsidRPr="006E163B">
        <w:t xml:space="preserve">in the </w:t>
      </w:r>
      <w:r w:rsidRPr="00A050D2">
        <w:rPr>
          <w:i/>
        </w:rPr>
        <w:t>Working with Children (Criminal Record Checking) Act 2004</w:t>
      </w:r>
      <w:r w:rsidRPr="00A050D2">
        <w:t xml:space="preserve"> </w:t>
      </w:r>
      <w:r w:rsidRPr="006E163B">
        <w:t>(WA);</w:t>
      </w:r>
    </w:p>
    <w:p w:rsidR="00DD054B" w:rsidRDefault="00DD054B" w:rsidP="00DD054B">
      <w:pPr>
        <w:ind w:left="540" w:hanging="540"/>
      </w:pPr>
      <w:r>
        <w:t>(</w:t>
      </w:r>
      <w:r w:rsidR="00F4425D">
        <w:t>d</w:t>
      </w:r>
      <w:r>
        <w:t>)</w:t>
      </w:r>
      <w:r>
        <w:tab/>
      </w:r>
      <w:proofErr w:type="gramStart"/>
      <w:r w:rsidRPr="006E163B">
        <w:t>the</w:t>
      </w:r>
      <w:proofErr w:type="gramEnd"/>
      <w:r w:rsidRPr="006E163B">
        <w:t xml:space="preserve"> Screening Authority established under the </w:t>
      </w:r>
      <w:r w:rsidRPr="00A050D2">
        <w:rPr>
          <w:i/>
        </w:rPr>
        <w:t xml:space="preserve">Care and Protection of Children Act </w:t>
      </w:r>
      <w:r>
        <w:t>(NT), section 196;</w:t>
      </w:r>
    </w:p>
    <w:p w:rsidR="00DD054B" w:rsidRPr="006E163B" w:rsidRDefault="00DD054B" w:rsidP="00DD054B">
      <w:pPr>
        <w:ind w:left="540" w:hanging="540"/>
      </w:pPr>
      <w:r>
        <w:t>(</w:t>
      </w:r>
      <w:r w:rsidR="00F4425D">
        <w:t>e</w:t>
      </w:r>
      <w:r>
        <w:t>)</w:t>
      </w:r>
      <w:r>
        <w:tab/>
      </w:r>
      <w:proofErr w:type="gramStart"/>
      <w:r>
        <w:t>the</w:t>
      </w:r>
      <w:proofErr w:type="gramEnd"/>
      <w:r>
        <w:t xml:space="preserve"> </w:t>
      </w:r>
      <w:r w:rsidR="002D62AC">
        <w:t xml:space="preserve">chief executive </w:t>
      </w:r>
      <w:r w:rsidR="003C1BB7">
        <w:t>referred</w:t>
      </w:r>
      <w:r w:rsidR="002D62AC">
        <w:t xml:space="preserve"> to </w:t>
      </w:r>
      <w:r w:rsidR="003C1BB7">
        <w:t xml:space="preserve">in </w:t>
      </w:r>
      <w:r w:rsidR="002D62AC">
        <w:t xml:space="preserve">the </w:t>
      </w:r>
      <w:r w:rsidR="002D62AC" w:rsidRPr="002D62AC">
        <w:rPr>
          <w:i/>
        </w:rPr>
        <w:t>Working with Children (Risk Management and Screening) Act</w:t>
      </w:r>
      <w:r w:rsidRPr="00A050D2">
        <w:rPr>
          <w:i/>
        </w:rPr>
        <w:t xml:space="preserve"> 2000</w:t>
      </w:r>
      <w:r w:rsidRPr="00A050D2">
        <w:t xml:space="preserve"> </w:t>
      </w:r>
      <w:r w:rsidRPr="006E163B">
        <w:t>(</w:t>
      </w:r>
      <w:r>
        <w:t>Qld</w:t>
      </w:r>
      <w:r w:rsidRPr="006E163B">
        <w:t>);</w:t>
      </w:r>
      <w:r>
        <w:t xml:space="preserve"> </w:t>
      </w:r>
    </w:p>
    <w:p w:rsidR="00DD054B" w:rsidRDefault="00DD054B" w:rsidP="00415345">
      <w:pPr>
        <w:ind w:left="540" w:hanging="540"/>
      </w:pPr>
      <w:r>
        <w:t>(</w:t>
      </w:r>
      <w:r w:rsidR="00F4425D">
        <w:t>f</w:t>
      </w:r>
      <w:r>
        <w:t>)</w:t>
      </w:r>
      <w:r>
        <w:tab/>
      </w:r>
      <w:proofErr w:type="gramStart"/>
      <w:r>
        <w:t>the</w:t>
      </w:r>
      <w:proofErr w:type="gramEnd"/>
      <w:r>
        <w:t xml:space="preserve"> Queensland College of Teachers </w:t>
      </w:r>
      <w:r w:rsidR="00E15F20">
        <w:t xml:space="preserve">constituted by </w:t>
      </w:r>
      <w:r>
        <w:t xml:space="preserve">the </w:t>
      </w:r>
      <w:r w:rsidRPr="00A050D2">
        <w:rPr>
          <w:i/>
        </w:rPr>
        <w:t xml:space="preserve">Education (Queensland College of </w:t>
      </w:r>
      <w:r w:rsidR="005C08C9">
        <w:rPr>
          <w:i/>
        </w:rPr>
        <w:t>T</w:t>
      </w:r>
      <w:r w:rsidRPr="00A050D2">
        <w:rPr>
          <w:i/>
        </w:rPr>
        <w:t>eachers) Act 2005</w:t>
      </w:r>
      <w:r>
        <w:t xml:space="preserve"> (Qld); </w:t>
      </w:r>
    </w:p>
    <w:p w:rsidR="00EF6E6E" w:rsidRDefault="00EF6E6E" w:rsidP="00415345">
      <w:pPr>
        <w:ind w:left="540" w:hanging="540"/>
      </w:pPr>
      <w:r>
        <w:t xml:space="preserve">(g)    </w:t>
      </w:r>
      <w:proofErr w:type="gramStart"/>
      <w:r>
        <w:t>the</w:t>
      </w:r>
      <w:proofErr w:type="gramEnd"/>
      <w:r>
        <w:t xml:space="preserve"> Australian Capital Territory Office of Regulatory Services Background Screening Unit referred to in the </w:t>
      </w:r>
      <w:r w:rsidRPr="00EF6E6E">
        <w:rPr>
          <w:i/>
        </w:rPr>
        <w:t>Working With Vulnerable People (Background Checking) Act 2011</w:t>
      </w:r>
      <w:r>
        <w:t xml:space="preserve"> (ACT);</w:t>
      </w:r>
    </w:p>
    <w:p w:rsidR="00A6727A" w:rsidRDefault="007528F0" w:rsidP="00A6727A">
      <w:pPr>
        <w:ind w:left="540" w:hanging="540"/>
      </w:pPr>
      <w:r>
        <w:t>(h)</w:t>
      </w:r>
      <w:r>
        <w:tab/>
      </w:r>
      <w:proofErr w:type="gramStart"/>
      <w:r>
        <w:t>the</w:t>
      </w:r>
      <w:proofErr w:type="gramEnd"/>
      <w:r>
        <w:t xml:space="preserve"> Department </w:t>
      </w:r>
      <w:r w:rsidR="00A6727A">
        <w:t>o</w:t>
      </w:r>
      <w:r>
        <w:t>f</w:t>
      </w:r>
      <w:r w:rsidR="00A6727A">
        <w:t xml:space="preserve"> Communities and Social Inclusion Screening Unit pursuant to the </w:t>
      </w:r>
      <w:r w:rsidR="00A6727A" w:rsidRPr="00A6727A">
        <w:rPr>
          <w:i/>
        </w:rPr>
        <w:t>Children’s Protection Regulations 2010</w:t>
      </w:r>
      <w:r w:rsidR="00A6727A">
        <w:t xml:space="preserve"> (SA);</w:t>
      </w:r>
    </w:p>
    <w:p w:rsidR="00A31217" w:rsidRDefault="00A31217" w:rsidP="00A6727A">
      <w:pPr>
        <w:ind w:left="540" w:hanging="540"/>
      </w:pPr>
      <w:r>
        <w:t>(</w:t>
      </w:r>
      <w:proofErr w:type="spellStart"/>
      <w:r>
        <w:t>i</w:t>
      </w:r>
      <w:proofErr w:type="spellEnd"/>
      <w:r>
        <w:t>)</w:t>
      </w:r>
      <w:r>
        <w:tab/>
      </w:r>
      <w:proofErr w:type="gramStart"/>
      <w:r>
        <w:t>the</w:t>
      </w:r>
      <w:proofErr w:type="gramEnd"/>
      <w:r>
        <w:t xml:space="preserve"> Registrar appointed under the </w:t>
      </w:r>
      <w:r w:rsidRPr="00021857">
        <w:rPr>
          <w:i/>
        </w:rPr>
        <w:t xml:space="preserve">Registration </w:t>
      </w:r>
      <w:r>
        <w:rPr>
          <w:i/>
        </w:rPr>
        <w:t>to</w:t>
      </w:r>
      <w:r w:rsidRPr="00021857">
        <w:rPr>
          <w:i/>
        </w:rPr>
        <w:t xml:space="preserve"> Work With Vulnerable People Act 2013</w:t>
      </w:r>
      <w:r w:rsidR="007931FB">
        <w:t xml:space="preserve"> (</w:t>
      </w:r>
      <w:proofErr w:type="spellStart"/>
      <w:r w:rsidR="007931FB">
        <w:t>Tas</w:t>
      </w:r>
      <w:proofErr w:type="spellEnd"/>
      <w:r w:rsidR="007931FB">
        <w:t>)</w:t>
      </w:r>
      <w:r w:rsidR="004A5E4F">
        <w:t>;</w:t>
      </w:r>
      <w:r w:rsidR="007931FB">
        <w:t xml:space="preserve"> and</w:t>
      </w:r>
    </w:p>
    <w:p w:rsidR="008A26CB" w:rsidRPr="002870EC" w:rsidRDefault="00DD054B" w:rsidP="00622035">
      <w:pPr>
        <w:ind w:left="540" w:hanging="540"/>
      </w:pPr>
      <w:r>
        <w:t>(</w:t>
      </w:r>
      <w:r w:rsidR="00A31217">
        <w:t>j</w:t>
      </w:r>
      <w:r>
        <w:t>)</w:t>
      </w:r>
      <w:r>
        <w:tab/>
      </w:r>
      <w:proofErr w:type="gramStart"/>
      <w:r>
        <w:t>any</w:t>
      </w:r>
      <w:proofErr w:type="gramEnd"/>
      <w:r>
        <w:t xml:space="preserve"> </w:t>
      </w:r>
      <w:r w:rsidR="00077141">
        <w:t>child-related</w:t>
      </w:r>
      <w:r>
        <w:t xml:space="preserve"> employment screening units that the parties, </w:t>
      </w:r>
      <w:r w:rsidRPr="005C08C9">
        <w:t xml:space="preserve">under Part 7 of this </w:t>
      </w:r>
      <w:r w:rsidR="00F532AD">
        <w:t>agreement</w:t>
      </w:r>
      <w:r w:rsidRPr="005C08C9">
        <w:t xml:space="preserve">, agree may participate in </w:t>
      </w:r>
      <w:r w:rsidR="00D641CC">
        <w:t>the Exchange</w:t>
      </w:r>
      <w:r w:rsidRPr="005C08C9">
        <w:t xml:space="preserve"> in the future</w:t>
      </w:r>
      <w:r>
        <w:t xml:space="preserve"> and that the parties add to this schedule.</w:t>
      </w:r>
    </w:p>
    <w:p w:rsidR="00B70D1C" w:rsidRPr="00A050D2" w:rsidRDefault="00B70D1C" w:rsidP="00C059F3">
      <w:pPr>
        <w:pStyle w:val="NormalBlack"/>
        <w:keepNext/>
        <w:pageBreakBefore/>
        <w:numPr>
          <w:ilvl w:val="0"/>
          <w:numId w:val="0"/>
        </w:numPr>
        <w:jc w:val="right"/>
        <w:rPr>
          <w:b/>
          <w:sz w:val="28"/>
          <w:szCs w:val="28"/>
        </w:rPr>
      </w:pPr>
      <w:r>
        <w:rPr>
          <w:b/>
          <w:sz w:val="28"/>
          <w:szCs w:val="28"/>
        </w:rPr>
        <w:lastRenderedPageBreak/>
        <w:t>Schedule 3</w:t>
      </w:r>
      <w:r w:rsidR="0047197D">
        <w:rPr>
          <w:b/>
          <w:sz w:val="28"/>
          <w:szCs w:val="28"/>
        </w:rPr>
        <w:br/>
      </w:r>
    </w:p>
    <w:p w:rsidR="008663BD" w:rsidRPr="00B70D1C" w:rsidRDefault="00B70D1C" w:rsidP="00856D98">
      <w:pPr>
        <w:rPr>
          <w:b/>
          <w:bCs/>
          <w:sz w:val="28"/>
          <w:szCs w:val="28"/>
        </w:rPr>
      </w:pPr>
      <w:r>
        <w:rPr>
          <w:b/>
          <w:bCs/>
          <w:sz w:val="28"/>
          <w:szCs w:val="28"/>
        </w:rPr>
        <w:t>Model consent principles</w:t>
      </w:r>
    </w:p>
    <w:p w:rsidR="00B70D1C" w:rsidRPr="00B70D1C" w:rsidRDefault="00B70D1C" w:rsidP="00B70D1C">
      <w:pPr>
        <w:keepNext/>
      </w:pPr>
      <w:r w:rsidRPr="00B70D1C">
        <w:t xml:space="preserve">The following model consent principles </w:t>
      </w:r>
      <w:r w:rsidR="00735680">
        <w:t xml:space="preserve">are </w:t>
      </w:r>
      <w:r w:rsidRPr="00B70D1C">
        <w:t>agreed by</w:t>
      </w:r>
      <w:r w:rsidR="00735680">
        <w:t xml:space="preserve"> parties </w:t>
      </w:r>
      <w:r w:rsidRPr="00B70D1C">
        <w:t>as the model principles that participating screening units’ consent forms will reflect. Participating screening units may tailor the wording as appropriate to their situation.</w:t>
      </w:r>
    </w:p>
    <w:p w:rsidR="00B70D1C" w:rsidRPr="00B70D1C" w:rsidRDefault="00B70D1C" w:rsidP="00DE28A5">
      <w:pPr>
        <w:spacing w:after="240"/>
        <w:ind w:right="921"/>
        <w:rPr>
          <w:b/>
        </w:rPr>
      </w:pPr>
      <w:r w:rsidRPr="00B70D1C">
        <w:rPr>
          <w:b/>
        </w:rPr>
        <w:t>The following principles must be included in the consent model:</w:t>
      </w:r>
    </w:p>
    <w:p w:rsidR="00B70D1C" w:rsidRPr="00B70D1C" w:rsidRDefault="00B70D1C" w:rsidP="00045969">
      <w:pPr>
        <w:widowControl/>
        <w:numPr>
          <w:ilvl w:val="0"/>
          <w:numId w:val="13"/>
        </w:numPr>
        <w:autoSpaceDE/>
        <w:autoSpaceDN/>
        <w:adjustRightInd/>
        <w:spacing w:before="0"/>
        <w:ind w:right="26"/>
      </w:pPr>
      <w:r w:rsidRPr="00B70D1C">
        <w:t>A declaration that the name provided is true and correct;</w:t>
      </w:r>
    </w:p>
    <w:p w:rsidR="00B70D1C" w:rsidRPr="00B70D1C" w:rsidRDefault="00B70D1C" w:rsidP="00045969">
      <w:pPr>
        <w:widowControl/>
        <w:numPr>
          <w:ilvl w:val="0"/>
          <w:numId w:val="13"/>
        </w:numPr>
        <w:autoSpaceDE/>
        <w:autoSpaceDN/>
        <w:adjustRightInd/>
        <w:spacing w:before="0"/>
        <w:ind w:right="26"/>
      </w:pPr>
      <w:r w:rsidRPr="00B70D1C">
        <w:t>All names and aliases have been disclosed;</w:t>
      </w:r>
    </w:p>
    <w:p w:rsidR="00B70D1C" w:rsidRPr="00B70D1C" w:rsidRDefault="00B70D1C" w:rsidP="00045969">
      <w:pPr>
        <w:widowControl/>
        <w:numPr>
          <w:ilvl w:val="0"/>
          <w:numId w:val="13"/>
        </w:numPr>
        <w:autoSpaceDE/>
        <w:autoSpaceDN/>
        <w:adjustRightInd/>
        <w:spacing w:before="0"/>
        <w:ind w:right="26"/>
      </w:pPr>
      <w:r w:rsidRPr="00B70D1C">
        <w:t>The applicant has read the contents of any instructions and/or guidelines associated with the application;</w:t>
      </w:r>
    </w:p>
    <w:p w:rsidR="00B70D1C" w:rsidRPr="00B70D1C" w:rsidRDefault="00B70D1C" w:rsidP="00045969">
      <w:pPr>
        <w:widowControl/>
        <w:numPr>
          <w:ilvl w:val="0"/>
          <w:numId w:val="13"/>
        </w:numPr>
        <w:autoSpaceDE/>
        <w:autoSpaceDN/>
        <w:adjustRightInd/>
        <w:spacing w:before="0"/>
        <w:ind w:right="26"/>
      </w:pPr>
      <w:r w:rsidRPr="00B70D1C">
        <w:t>The applicant provides consent to the screening unit to obtain from the police, courts, prosecuting authority or other authorised agency and for the police, courts, prosecuting authority or other authorised agency to disclose to the screening units ANY information for the purposes of assessing the applicants</w:t>
      </w:r>
      <w:r w:rsidR="008B2345">
        <w:t>’</w:t>
      </w:r>
      <w:r w:rsidRPr="00B70D1C">
        <w:t xml:space="preserve"> </w:t>
      </w:r>
      <w:r w:rsidR="00EF4FB6">
        <w:t>suitability</w:t>
      </w:r>
      <w:r w:rsidR="00EF4FB6" w:rsidRPr="00B70D1C">
        <w:t xml:space="preserve"> </w:t>
      </w:r>
      <w:r w:rsidRPr="00B70D1C">
        <w:t>to work with children;</w:t>
      </w:r>
      <w:r w:rsidR="00E15F20">
        <w:t xml:space="preserve"> and </w:t>
      </w:r>
    </w:p>
    <w:p w:rsidR="00B70D1C" w:rsidRPr="00B70D1C" w:rsidRDefault="00B70D1C" w:rsidP="00045969">
      <w:pPr>
        <w:widowControl/>
        <w:numPr>
          <w:ilvl w:val="0"/>
          <w:numId w:val="13"/>
        </w:numPr>
        <w:autoSpaceDE/>
        <w:autoSpaceDN/>
        <w:adjustRightInd/>
        <w:spacing w:before="0"/>
        <w:ind w:right="26"/>
      </w:pPr>
      <w:r w:rsidRPr="00B70D1C">
        <w:t>A description of the type of information which may be obtained</w:t>
      </w:r>
      <w:r w:rsidR="00E15F20">
        <w:t>.</w:t>
      </w:r>
    </w:p>
    <w:p w:rsidR="00B70D1C" w:rsidRPr="00B70D1C" w:rsidRDefault="00B70D1C" w:rsidP="00B70D1C">
      <w:pPr>
        <w:rPr>
          <w:b/>
        </w:rPr>
      </w:pPr>
      <w:r w:rsidRPr="00B70D1C">
        <w:rPr>
          <w:b/>
        </w:rPr>
        <w:t xml:space="preserve">The following model consent is provided as a guide to wording </w:t>
      </w:r>
      <w:r w:rsidR="00C4523D">
        <w:rPr>
          <w:b/>
        </w:rPr>
        <w:t xml:space="preserve">that </w:t>
      </w:r>
      <w:r w:rsidRPr="00B70D1C">
        <w:rPr>
          <w:b/>
        </w:rPr>
        <w:t xml:space="preserve">suitably captures the above principles: </w:t>
      </w:r>
    </w:p>
    <w:p w:rsidR="00B70D1C" w:rsidRPr="00B70D1C" w:rsidRDefault="00B70D1C" w:rsidP="002026FF">
      <w:proofErr w:type="gramStart"/>
      <w:r w:rsidRPr="00B70D1C">
        <w:t>I</w:t>
      </w:r>
      <w:r w:rsidRPr="00B70D1C">
        <w:rPr>
          <w:i/>
        </w:rPr>
        <w:t>......(</w:t>
      </w:r>
      <w:proofErr w:type="gramEnd"/>
      <w:r w:rsidRPr="00B70D1C">
        <w:rPr>
          <w:i/>
        </w:rPr>
        <w:t>Full Name of Applicant).........</w:t>
      </w:r>
      <w:r w:rsidRPr="00B70D1C">
        <w:t>declare</w:t>
      </w:r>
      <w:r w:rsidR="00E15F20">
        <w:t xml:space="preserve"> that</w:t>
      </w:r>
      <w:r w:rsidRPr="00B70D1C">
        <w:t>:</w:t>
      </w:r>
    </w:p>
    <w:p w:rsidR="00B70D1C" w:rsidRPr="00B70D1C" w:rsidRDefault="00B70D1C" w:rsidP="00045969">
      <w:pPr>
        <w:widowControl/>
        <w:numPr>
          <w:ilvl w:val="0"/>
          <w:numId w:val="12"/>
        </w:numPr>
        <w:autoSpaceDE/>
        <w:autoSpaceDN/>
        <w:adjustRightInd/>
        <w:spacing w:before="0"/>
        <w:rPr>
          <w:color w:val="000000"/>
        </w:rPr>
      </w:pPr>
      <w:r w:rsidRPr="00B70D1C">
        <w:rPr>
          <w:color w:val="000000"/>
        </w:rPr>
        <w:t xml:space="preserve">I am the applicant named in </w:t>
      </w:r>
      <w:r w:rsidR="002026FF">
        <w:rPr>
          <w:color w:val="000000"/>
        </w:rPr>
        <w:t xml:space="preserve">this form.  All information and </w:t>
      </w:r>
      <w:r w:rsidRPr="00B70D1C">
        <w:rPr>
          <w:color w:val="000000"/>
        </w:rPr>
        <w:t>identification documents provided for this application are true and correct;</w:t>
      </w:r>
    </w:p>
    <w:p w:rsidR="00B70D1C" w:rsidRPr="00B70D1C" w:rsidRDefault="00B70D1C" w:rsidP="00045969">
      <w:pPr>
        <w:widowControl/>
        <w:numPr>
          <w:ilvl w:val="0"/>
          <w:numId w:val="12"/>
        </w:numPr>
        <w:autoSpaceDE/>
        <w:autoSpaceDN/>
        <w:adjustRightInd/>
        <w:spacing w:before="0"/>
        <w:rPr>
          <w:color w:val="000000"/>
        </w:rPr>
      </w:pPr>
      <w:r w:rsidRPr="00B70D1C">
        <w:rPr>
          <w:color w:val="000000"/>
        </w:rPr>
        <w:t xml:space="preserve">I have not omitted any names or aliases that I use or </w:t>
      </w:r>
      <w:r w:rsidR="00EF4FB6">
        <w:rPr>
          <w:color w:val="000000"/>
        </w:rPr>
        <w:t xml:space="preserve">have </w:t>
      </w:r>
      <w:r w:rsidRPr="00B70D1C">
        <w:rPr>
          <w:color w:val="000000"/>
        </w:rPr>
        <w:t>used in the past;</w:t>
      </w:r>
    </w:p>
    <w:p w:rsidR="00B70D1C" w:rsidRPr="00B70D1C" w:rsidRDefault="00B70D1C" w:rsidP="00045969">
      <w:pPr>
        <w:widowControl/>
        <w:numPr>
          <w:ilvl w:val="0"/>
          <w:numId w:val="12"/>
        </w:numPr>
        <w:autoSpaceDE/>
        <w:autoSpaceDN/>
        <w:adjustRightInd/>
        <w:spacing w:before="0"/>
        <w:rPr>
          <w:color w:val="000000"/>
        </w:rPr>
      </w:pPr>
      <w:r w:rsidRPr="00B70D1C">
        <w:rPr>
          <w:color w:val="000000"/>
        </w:rPr>
        <w:t>I have read the contents of this form, and any application guidelines/instructions provided;</w:t>
      </w:r>
    </w:p>
    <w:p w:rsidR="00B70D1C" w:rsidRPr="00B70D1C" w:rsidRDefault="00B70D1C" w:rsidP="00045969">
      <w:pPr>
        <w:widowControl/>
        <w:numPr>
          <w:ilvl w:val="0"/>
          <w:numId w:val="12"/>
        </w:numPr>
        <w:autoSpaceDE/>
        <w:autoSpaceDN/>
        <w:adjustRightInd/>
        <w:spacing w:before="0"/>
        <w:rPr>
          <w:color w:val="000000"/>
        </w:rPr>
      </w:pPr>
      <w:r w:rsidRPr="00B70D1C">
        <w:rPr>
          <w:color w:val="000000"/>
        </w:rPr>
        <w:t>I understand that providing false or misleading information may be an offence / or may result in a decision to reject my application;</w:t>
      </w:r>
    </w:p>
    <w:p w:rsidR="00B70D1C" w:rsidRPr="00B70D1C" w:rsidRDefault="00B70D1C" w:rsidP="00045969">
      <w:pPr>
        <w:widowControl/>
        <w:numPr>
          <w:ilvl w:val="0"/>
          <w:numId w:val="12"/>
        </w:numPr>
        <w:autoSpaceDE/>
        <w:autoSpaceDN/>
        <w:adjustRightInd/>
        <w:spacing w:before="0"/>
        <w:rPr>
          <w:color w:val="000000"/>
        </w:rPr>
      </w:pPr>
      <w:r w:rsidRPr="00B70D1C">
        <w:rPr>
          <w:color w:val="000000"/>
        </w:rPr>
        <w:t xml:space="preserve">I consent to </w:t>
      </w:r>
      <w:r w:rsidRPr="00B70D1C">
        <w:rPr>
          <w:i/>
          <w:color w:val="000000"/>
        </w:rPr>
        <w:t>(insert name of screening authority)</w:t>
      </w:r>
      <w:r w:rsidRPr="00B70D1C">
        <w:rPr>
          <w:color w:val="000000"/>
        </w:rPr>
        <w:t xml:space="preserve"> obtaining ANY information from any police, court, prosecuting authority or other authorised agency and for </w:t>
      </w:r>
      <w:r w:rsidRPr="00B70D1C">
        <w:t>the police, courts, prosecuting authority or other authorised agency to disclose ANY information</w:t>
      </w:r>
      <w:r w:rsidRPr="00B70D1C">
        <w:rPr>
          <w:color w:val="000000"/>
        </w:rPr>
        <w:t xml:space="preserve">, for the purposes of assessing my </w:t>
      </w:r>
      <w:r w:rsidR="00EF4FB6">
        <w:rPr>
          <w:color w:val="000000"/>
        </w:rPr>
        <w:t>suitability</w:t>
      </w:r>
      <w:r w:rsidR="00EF4FB6" w:rsidRPr="00B70D1C">
        <w:rPr>
          <w:color w:val="000000"/>
        </w:rPr>
        <w:t xml:space="preserve"> </w:t>
      </w:r>
      <w:r w:rsidRPr="00B70D1C">
        <w:rPr>
          <w:color w:val="000000"/>
        </w:rPr>
        <w:t>to work with children;</w:t>
      </w:r>
      <w:r w:rsidR="00E15F20">
        <w:rPr>
          <w:color w:val="000000"/>
        </w:rPr>
        <w:t xml:space="preserve"> and </w:t>
      </w:r>
    </w:p>
    <w:p w:rsidR="00B70D1C" w:rsidRPr="00B70D1C" w:rsidRDefault="00B70D1C" w:rsidP="00045969">
      <w:pPr>
        <w:widowControl/>
        <w:numPr>
          <w:ilvl w:val="0"/>
          <w:numId w:val="12"/>
        </w:numPr>
        <w:autoSpaceDE/>
        <w:autoSpaceDN/>
        <w:adjustRightInd/>
        <w:spacing w:before="0"/>
        <w:rPr>
          <w:color w:val="000000"/>
        </w:rPr>
      </w:pPr>
      <w:r w:rsidRPr="00B70D1C">
        <w:rPr>
          <w:color w:val="000000"/>
        </w:rPr>
        <w:t>The information obtained includes but is not limited to details of convictions and pending or non</w:t>
      </w:r>
      <w:r w:rsidR="008065CB">
        <w:rPr>
          <w:color w:val="000000"/>
        </w:rPr>
        <w:t>-</w:t>
      </w:r>
      <w:r w:rsidRPr="00B70D1C">
        <w:rPr>
          <w:color w:val="000000"/>
        </w:rPr>
        <w:t>conviction charges or circumstances information relating to offences committed or allegedly committed by me, regardless of when and where the offence or alleged offence occurred.</w:t>
      </w:r>
    </w:p>
    <w:p w:rsidR="00BA58C5" w:rsidRPr="00B70D1C" w:rsidRDefault="00B70D1C" w:rsidP="00DE28A5">
      <w:pPr>
        <w:spacing w:after="240"/>
        <w:ind w:right="26"/>
        <w:rPr>
          <w:b/>
        </w:rPr>
      </w:pPr>
      <w:r w:rsidRPr="00B70D1C">
        <w:rPr>
          <w:b/>
        </w:rPr>
        <w:t>The following is provided as a guide to the wording of additional clauses which are optional if relevant to the particular screening agency:</w:t>
      </w:r>
    </w:p>
    <w:p w:rsidR="00B70D1C" w:rsidRPr="00B70D1C" w:rsidRDefault="00B70D1C" w:rsidP="00045969">
      <w:pPr>
        <w:widowControl/>
        <w:numPr>
          <w:ilvl w:val="0"/>
          <w:numId w:val="12"/>
        </w:numPr>
        <w:autoSpaceDE/>
        <w:autoSpaceDN/>
        <w:adjustRightInd/>
        <w:spacing w:before="0"/>
        <w:ind w:right="26"/>
        <w:rPr>
          <w:color w:val="000000"/>
        </w:rPr>
      </w:pPr>
      <w:r w:rsidRPr="00B70D1C">
        <w:rPr>
          <w:color w:val="000000"/>
        </w:rPr>
        <w:t>I acknowledge that any information obtained as part of the check may be used by Australian police agencies for law enforcement purposes</w:t>
      </w:r>
      <w:r w:rsidR="00491B03">
        <w:rPr>
          <w:color w:val="000000"/>
        </w:rPr>
        <w:t>,</w:t>
      </w:r>
      <w:r w:rsidRPr="00B70D1C">
        <w:rPr>
          <w:color w:val="000000"/>
        </w:rPr>
        <w:t xml:space="preserve"> including the </w:t>
      </w:r>
      <w:r w:rsidRPr="00B70D1C">
        <w:rPr>
          <w:color w:val="000000"/>
        </w:rPr>
        <w:lastRenderedPageBreak/>
        <w:t>investigation of any outstanding criminal offences where the sharing of information is permissible within the laws of that State/Territory;</w:t>
      </w:r>
    </w:p>
    <w:p w:rsidR="00B70D1C" w:rsidRPr="00B70D1C" w:rsidRDefault="00B70D1C" w:rsidP="00045969">
      <w:pPr>
        <w:widowControl/>
        <w:numPr>
          <w:ilvl w:val="0"/>
          <w:numId w:val="12"/>
        </w:numPr>
        <w:autoSpaceDE/>
        <w:autoSpaceDN/>
        <w:adjustRightInd/>
        <w:spacing w:before="0"/>
        <w:ind w:right="26"/>
        <w:rPr>
          <w:color w:val="000000"/>
        </w:rPr>
      </w:pPr>
      <w:r w:rsidRPr="00B70D1C">
        <w:rPr>
          <w:color w:val="000000"/>
        </w:rPr>
        <w:t xml:space="preserve">In consideration of carrying out my request, I hereby release and agree to fully indemnify officers of the CrimTrac Agency, all Australian police agencies and the Commonwealth, States and Territories of Australia, its servants and agents against all actions, suits, proceedings, causes of actions, costs, claims and demands whatsoever which may be brought or made against it or them by me or by </w:t>
      </w:r>
      <w:proofErr w:type="spellStart"/>
      <w:r w:rsidRPr="00B70D1C">
        <w:rPr>
          <w:color w:val="000000"/>
        </w:rPr>
        <w:t>any body</w:t>
      </w:r>
      <w:proofErr w:type="spellEnd"/>
      <w:r w:rsidRPr="00B70D1C">
        <w:rPr>
          <w:color w:val="000000"/>
        </w:rPr>
        <w:t xml:space="preserve"> or person by reason of or arising out of the release of such Information;</w:t>
      </w:r>
    </w:p>
    <w:p w:rsidR="00B70D1C" w:rsidRPr="00C4523D" w:rsidRDefault="00B70D1C" w:rsidP="00045969">
      <w:pPr>
        <w:widowControl/>
        <w:numPr>
          <w:ilvl w:val="0"/>
          <w:numId w:val="12"/>
        </w:numPr>
        <w:autoSpaceDE/>
        <w:autoSpaceDN/>
        <w:adjustRightInd/>
        <w:spacing w:before="0"/>
        <w:ind w:right="26"/>
        <w:rPr>
          <w:color w:val="000000"/>
        </w:rPr>
      </w:pPr>
      <w:r w:rsidRPr="00C4523D">
        <w:rPr>
          <w:color w:val="000000"/>
        </w:rPr>
        <w:t xml:space="preserve">I hereby consent to ongoing checks of the records held by the police, courts, prosecuting authorities and other authorised agencies relative to me from time to time whilst my Working with Children Check remains in force.  While I understand that I am at liberty to withdraw my consent for ongoing checking at any time I also understand that I will not be able to continue in my working with children role as a result of withdrawal of this consent. </w:t>
      </w:r>
    </w:p>
    <w:p w:rsidR="00B70D1C" w:rsidRDefault="00B70D1C" w:rsidP="00B70D1C"/>
    <w:p w:rsidR="00027F83" w:rsidRPr="00A050D2" w:rsidRDefault="00027F83" w:rsidP="00027F83">
      <w:pPr>
        <w:pStyle w:val="NormalBlack"/>
        <w:keepNext/>
        <w:pageBreakBefore/>
        <w:numPr>
          <w:ilvl w:val="0"/>
          <w:numId w:val="0"/>
        </w:numPr>
        <w:jc w:val="right"/>
        <w:rPr>
          <w:b/>
          <w:sz w:val="28"/>
          <w:szCs w:val="28"/>
        </w:rPr>
      </w:pPr>
      <w:r>
        <w:rPr>
          <w:b/>
          <w:sz w:val="28"/>
          <w:szCs w:val="28"/>
        </w:rPr>
        <w:lastRenderedPageBreak/>
        <w:t>Schedule 4</w:t>
      </w:r>
      <w:r w:rsidR="0047197D">
        <w:rPr>
          <w:b/>
          <w:sz w:val="28"/>
          <w:szCs w:val="28"/>
        </w:rPr>
        <w:br/>
      </w:r>
    </w:p>
    <w:p w:rsidR="00027F83" w:rsidRDefault="00027F83" w:rsidP="00027F83">
      <w:pPr>
        <w:rPr>
          <w:b/>
          <w:bCs/>
          <w:sz w:val="28"/>
          <w:szCs w:val="28"/>
        </w:rPr>
      </w:pPr>
      <w:r>
        <w:rPr>
          <w:b/>
          <w:bCs/>
          <w:sz w:val="28"/>
          <w:szCs w:val="28"/>
        </w:rPr>
        <w:t xml:space="preserve">Circumstances information - billing </w:t>
      </w:r>
      <w:r w:rsidR="00F612E5">
        <w:rPr>
          <w:b/>
          <w:bCs/>
          <w:sz w:val="28"/>
          <w:szCs w:val="28"/>
        </w:rPr>
        <w:t>guidelines</w:t>
      </w:r>
      <w:r w:rsidR="0022078D">
        <w:rPr>
          <w:b/>
          <w:bCs/>
          <w:sz w:val="28"/>
          <w:szCs w:val="28"/>
        </w:rPr>
        <w:t xml:space="preserve"> and principles for consideration</w:t>
      </w:r>
      <w:r w:rsidR="00D34300">
        <w:rPr>
          <w:b/>
          <w:bCs/>
          <w:sz w:val="28"/>
          <w:szCs w:val="28"/>
        </w:rPr>
        <w:t xml:space="preserve"> </w:t>
      </w:r>
    </w:p>
    <w:p w:rsidR="00027F83" w:rsidRPr="00FC195B" w:rsidRDefault="00027F83" w:rsidP="00027F83">
      <w:pPr>
        <w:rPr>
          <w:bCs/>
          <w:u w:val="single"/>
        </w:rPr>
      </w:pPr>
      <w:r>
        <w:rPr>
          <w:bCs/>
          <w:u w:val="single"/>
        </w:rPr>
        <w:t>Billing guidelines for circumstances information</w:t>
      </w:r>
    </w:p>
    <w:p w:rsidR="00E61A09" w:rsidRPr="00EB458A" w:rsidRDefault="00027F83" w:rsidP="00027F83">
      <w:pPr>
        <w:keepNext/>
        <w:rPr>
          <w:sz w:val="23"/>
          <w:szCs w:val="23"/>
        </w:rPr>
      </w:pPr>
      <w:r w:rsidRPr="00EB458A">
        <w:rPr>
          <w:sz w:val="23"/>
          <w:szCs w:val="23"/>
        </w:rPr>
        <w:t xml:space="preserve">Unless </w:t>
      </w:r>
      <w:r w:rsidR="00774AE9" w:rsidRPr="00EB458A">
        <w:rPr>
          <w:sz w:val="23"/>
          <w:szCs w:val="23"/>
        </w:rPr>
        <w:t xml:space="preserve">the relevant participating screening unit and </w:t>
      </w:r>
      <w:r w:rsidR="004D0C33" w:rsidRPr="00EB458A">
        <w:rPr>
          <w:sz w:val="23"/>
          <w:szCs w:val="23"/>
        </w:rPr>
        <w:t>interjurisdictional</w:t>
      </w:r>
      <w:r w:rsidR="00E61A09" w:rsidRPr="00EB458A">
        <w:rPr>
          <w:sz w:val="23"/>
          <w:szCs w:val="23"/>
        </w:rPr>
        <w:t xml:space="preserve"> police service agree</w:t>
      </w:r>
      <w:r w:rsidR="00774AE9" w:rsidRPr="00EB458A">
        <w:rPr>
          <w:sz w:val="23"/>
          <w:szCs w:val="23"/>
        </w:rPr>
        <w:t xml:space="preserve"> </w:t>
      </w:r>
      <w:r w:rsidR="00E61A09" w:rsidRPr="00EB458A">
        <w:rPr>
          <w:sz w:val="23"/>
          <w:szCs w:val="23"/>
        </w:rPr>
        <w:t>to alternative arrangements</w:t>
      </w:r>
      <w:r w:rsidR="00616B05">
        <w:rPr>
          <w:sz w:val="23"/>
          <w:szCs w:val="23"/>
        </w:rPr>
        <w:t>, t</w:t>
      </w:r>
      <w:r w:rsidR="00774AE9" w:rsidRPr="00EB458A">
        <w:rPr>
          <w:sz w:val="23"/>
          <w:szCs w:val="23"/>
        </w:rPr>
        <w:t>he following</w:t>
      </w:r>
      <w:r w:rsidR="003C7FDA" w:rsidRPr="00EB458A">
        <w:rPr>
          <w:sz w:val="23"/>
          <w:szCs w:val="23"/>
        </w:rPr>
        <w:t xml:space="preserve"> </w:t>
      </w:r>
      <w:r w:rsidR="00774AE9" w:rsidRPr="00EB458A">
        <w:rPr>
          <w:sz w:val="23"/>
          <w:szCs w:val="23"/>
        </w:rPr>
        <w:t>guidelines apply to police services billing</w:t>
      </w:r>
      <w:r w:rsidR="00EF4FB6" w:rsidRPr="00EB458A">
        <w:rPr>
          <w:sz w:val="23"/>
          <w:szCs w:val="23"/>
        </w:rPr>
        <w:t xml:space="preserve"> </w:t>
      </w:r>
      <w:r w:rsidR="00774AE9" w:rsidRPr="00EB458A">
        <w:rPr>
          <w:sz w:val="23"/>
          <w:szCs w:val="23"/>
        </w:rPr>
        <w:t xml:space="preserve">participating screening units </w:t>
      </w:r>
      <w:r w:rsidR="00E61A09" w:rsidRPr="00EB458A">
        <w:rPr>
          <w:sz w:val="23"/>
          <w:szCs w:val="23"/>
        </w:rPr>
        <w:t xml:space="preserve">for </w:t>
      </w:r>
      <w:r w:rsidR="00A514AC">
        <w:rPr>
          <w:sz w:val="23"/>
          <w:szCs w:val="23"/>
        </w:rPr>
        <w:t xml:space="preserve">the </w:t>
      </w:r>
      <w:r w:rsidR="00E61A09" w:rsidRPr="00EB458A">
        <w:rPr>
          <w:sz w:val="23"/>
          <w:szCs w:val="23"/>
        </w:rPr>
        <w:t>supp</w:t>
      </w:r>
      <w:r w:rsidR="009A0F4F" w:rsidRPr="00EB458A">
        <w:rPr>
          <w:sz w:val="23"/>
          <w:szCs w:val="23"/>
        </w:rPr>
        <w:t>ly</w:t>
      </w:r>
      <w:r w:rsidR="00A514AC">
        <w:rPr>
          <w:sz w:val="23"/>
          <w:szCs w:val="23"/>
        </w:rPr>
        <w:t xml:space="preserve"> of</w:t>
      </w:r>
      <w:r w:rsidR="009A0F4F" w:rsidRPr="00EB458A">
        <w:rPr>
          <w:sz w:val="23"/>
          <w:szCs w:val="23"/>
        </w:rPr>
        <w:t xml:space="preserve"> circumstances information:</w:t>
      </w:r>
    </w:p>
    <w:p w:rsidR="009A0F4F" w:rsidRPr="00EB458A" w:rsidRDefault="009A0F4F" w:rsidP="00045969">
      <w:pPr>
        <w:numPr>
          <w:ilvl w:val="0"/>
          <w:numId w:val="14"/>
        </w:numPr>
        <w:rPr>
          <w:color w:val="000000"/>
          <w:sz w:val="23"/>
          <w:szCs w:val="23"/>
        </w:rPr>
      </w:pPr>
      <w:r w:rsidRPr="00EB458A">
        <w:rPr>
          <w:color w:val="000000"/>
          <w:sz w:val="23"/>
          <w:szCs w:val="23"/>
        </w:rPr>
        <w:t xml:space="preserve">The </w:t>
      </w:r>
      <w:r w:rsidR="00CE4365" w:rsidRPr="00EB458A">
        <w:rPr>
          <w:color w:val="000000"/>
          <w:sz w:val="23"/>
          <w:szCs w:val="23"/>
        </w:rPr>
        <w:t xml:space="preserve">supplying police service will invoice the requesting </w:t>
      </w:r>
      <w:r w:rsidR="004D0C33" w:rsidRPr="00EB458A">
        <w:rPr>
          <w:color w:val="000000"/>
          <w:sz w:val="23"/>
          <w:szCs w:val="23"/>
        </w:rPr>
        <w:t>interjurisdictional</w:t>
      </w:r>
      <w:r w:rsidR="001533FA" w:rsidRPr="00EB458A">
        <w:rPr>
          <w:color w:val="000000"/>
          <w:sz w:val="23"/>
          <w:szCs w:val="23"/>
        </w:rPr>
        <w:t xml:space="preserve"> participating screening </w:t>
      </w:r>
      <w:r w:rsidR="00CE4365" w:rsidRPr="00EB458A">
        <w:rPr>
          <w:color w:val="000000"/>
          <w:sz w:val="23"/>
          <w:szCs w:val="23"/>
        </w:rPr>
        <w:t xml:space="preserve">unit for circumstances information, if any, </w:t>
      </w:r>
      <w:r w:rsidR="001533FA" w:rsidRPr="00EB458A">
        <w:rPr>
          <w:color w:val="000000"/>
          <w:sz w:val="23"/>
          <w:szCs w:val="23"/>
        </w:rPr>
        <w:t xml:space="preserve">supplied </w:t>
      </w:r>
      <w:r w:rsidR="00CE4365" w:rsidRPr="00EB458A">
        <w:rPr>
          <w:color w:val="000000"/>
          <w:sz w:val="23"/>
          <w:szCs w:val="23"/>
        </w:rPr>
        <w:t>during the previous calendar month.</w:t>
      </w:r>
    </w:p>
    <w:p w:rsidR="00CE4365" w:rsidRPr="00EB458A" w:rsidRDefault="001533FA" w:rsidP="00045969">
      <w:pPr>
        <w:numPr>
          <w:ilvl w:val="0"/>
          <w:numId w:val="14"/>
        </w:numPr>
        <w:rPr>
          <w:color w:val="000000"/>
          <w:sz w:val="23"/>
          <w:szCs w:val="23"/>
        </w:rPr>
      </w:pPr>
      <w:r w:rsidRPr="00EB458A">
        <w:rPr>
          <w:color w:val="000000"/>
          <w:sz w:val="23"/>
          <w:szCs w:val="23"/>
        </w:rPr>
        <w:t xml:space="preserve">The fee will apply to circumstances information relating to each offence or alleged offence, unless the </w:t>
      </w:r>
      <w:r w:rsidR="006829BF" w:rsidRPr="00EB458A">
        <w:rPr>
          <w:color w:val="000000"/>
          <w:sz w:val="23"/>
          <w:szCs w:val="23"/>
        </w:rPr>
        <w:t xml:space="preserve">relevant </w:t>
      </w:r>
      <w:r w:rsidRPr="00EB458A">
        <w:rPr>
          <w:color w:val="000000"/>
          <w:sz w:val="23"/>
          <w:szCs w:val="23"/>
        </w:rPr>
        <w:t>police prosecution brief covers more than one offence or alleged offence for which circumstances information is sought, in which case one fee will apply.</w:t>
      </w:r>
    </w:p>
    <w:p w:rsidR="00EB458A" w:rsidRPr="00EB458A" w:rsidRDefault="001533FA" w:rsidP="00045969">
      <w:pPr>
        <w:numPr>
          <w:ilvl w:val="0"/>
          <w:numId w:val="14"/>
        </w:numPr>
        <w:rPr>
          <w:color w:val="000000"/>
          <w:sz w:val="23"/>
          <w:szCs w:val="23"/>
        </w:rPr>
      </w:pPr>
      <w:r w:rsidRPr="00EB458A">
        <w:rPr>
          <w:sz w:val="23"/>
          <w:szCs w:val="23"/>
        </w:rPr>
        <w:t xml:space="preserve">Disputes about charging or billing will be settled between the supplying police service and the requesting </w:t>
      </w:r>
      <w:r w:rsidR="004D0C33" w:rsidRPr="00EB458A">
        <w:rPr>
          <w:sz w:val="23"/>
          <w:szCs w:val="23"/>
        </w:rPr>
        <w:t>interjurisdictional</w:t>
      </w:r>
      <w:r w:rsidRPr="00EB458A">
        <w:rPr>
          <w:sz w:val="23"/>
          <w:szCs w:val="23"/>
        </w:rPr>
        <w:t xml:space="preserve"> participating screening unit.</w:t>
      </w:r>
    </w:p>
    <w:p w:rsidR="00EB458A" w:rsidRPr="00732A11" w:rsidRDefault="00EB458A" w:rsidP="00EB458A">
      <w:pPr>
        <w:rPr>
          <w:color w:val="000000"/>
          <w:u w:val="single"/>
        </w:rPr>
      </w:pPr>
      <w:r w:rsidRPr="00732A11">
        <w:rPr>
          <w:color w:val="000000"/>
          <w:u w:val="single"/>
        </w:rPr>
        <w:t>Principles for consideration</w:t>
      </w:r>
    </w:p>
    <w:p w:rsidR="00D87D71" w:rsidRDefault="00D87D71" w:rsidP="00D87D71">
      <w:pPr>
        <w:rPr>
          <w:color w:val="000000"/>
          <w:sz w:val="23"/>
          <w:szCs w:val="23"/>
        </w:rPr>
      </w:pPr>
      <w:r w:rsidRPr="00EB458A">
        <w:rPr>
          <w:color w:val="000000"/>
          <w:sz w:val="23"/>
          <w:szCs w:val="23"/>
        </w:rPr>
        <w:t>It is desirable that parties agree to a standard fee to be charged for efficiency and ease of administration.</w:t>
      </w:r>
      <w:r w:rsidRPr="009F0D80">
        <w:rPr>
          <w:color w:val="000000"/>
          <w:sz w:val="23"/>
          <w:szCs w:val="23"/>
        </w:rPr>
        <w:t xml:space="preserve"> </w:t>
      </w:r>
    </w:p>
    <w:p w:rsidR="009F0D80" w:rsidRPr="009F0D80" w:rsidRDefault="009F0D80" w:rsidP="009F0D80">
      <w:pPr>
        <w:pStyle w:val="NormalBlack"/>
        <w:keepNext/>
        <w:numPr>
          <w:ilvl w:val="0"/>
          <w:numId w:val="0"/>
        </w:numPr>
        <w:rPr>
          <w:sz w:val="23"/>
          <w:szCs w:val="23"/>
        </w:rPr>
      </w:pPr>
      <w:r w:rsidRPr="009F0D80">
        <w:rPr>
          <w:sz w:val="23"/>
          <w:szCs w:val="23"/>
        </w:rPr>
        <w:t xml:space="preserve">Fees or billing arrangements may be </w:t>
      </w:r>
      <w:r>
        <w:rPr>
          <w:sz w:val="23"/>
          <w:szCs w:val="23"/>
        </w:rPr>
        <w:t xml:space="preserve">waived or </w:t>
      </w:r>
      <w:r w:rsidRPr="009F0D80">
        <w:rPr>
          <w:sz w:val="23"/>
          <w:szCs w:val="23"/>
        </w:rPr>
        <w:t xml:space="preserve">reduced </w:t>
      </w:r>
      <w:r>
        <w:rPr>
          <w:sz w:val="23"/>
          <w:szCs w:val="23"/>
        </w:rPr>
        <w:t>at the discretion of</w:t>
      </w:r>
      <w:r w:rsidRPr="009F0D80">
        <w:rPr>
          <w:sz w:val="23"/>
          <w:szCs w:val="23"/>
        </w:rPr>
        <w:t xml:space="preserve"> police services or</w:t>
      </w:r>
      <w:r>
        <w:rPr>
          <w:sz w:val="23"/>
          <w:szCs w:val="23"/>
        </w:rPr>
        <w:t xml:space="preserve"> altered</w:t>
      </w:r>
      <w:r w:rsidRPr="009F0D80">
        <w:rPr>
          <w:sz w:val="23"/>
          <w:szCs w:val="23"/>
        </w:rPr>
        <w:t xml:space="preserve"> by agreement with the requesting screening unit</w:t>
      </w:r>
      <w:r>
        <w:rPr>
          <w:sz w:val="23"/>
          <w:szCs w:val="23"/>
        </w:rPr>
        <w:t>.</w:t>
      </w:r>
    </w:p>
    <w:p w:rsidR="00EB458A" w:rsidRPr="00B00DBB" w:rsidRDefault="009F0D80" w:rsidP="00EB458A">
      <w:pPr>
        <w:rPr>
          <w:color w:val="000000"/>
          <w:sz w:val="23"/>
          <w:szCs w:val="23"/>
        </w:rPr>
      </w:pPr>
      <w:r w:rsidRPr="00EB458A">
        <w:rPr>
          <w:color w:val="000000"/>
          <w:sz w:val="23"/>
          <w:szCs w:val="23"/>
        </w:rPr>
        <w:t xml:space="preserve">It </w:t>
      </w:r>
      <w:r>
        <w:rPr>
          <w:color w:val="000000"/>
          <w:sz w:val="23"/>
          <w:szCs w:val="23"/>
        </w:rPr>
        <w:t xml:space="preserve">is ultimately desirable that </w:t>
      </w:r>
      <w:r w:rsidR="00EB458A" w:rsidRPr="00EB458A">
        <w:rPr>
          <w:color w:val="000000"/>
          <w:sz w:val="23"/>
          <w:szCs w:val="23"/>
        </w:rPr>
        <w:t xml:space="preserve">jurisdictions move away from </w:t>
      </w:r>
      <w:r w:rsidR="004B7C9C">
        <w:rPr>
          <w:color w:val="000000"/>
          <w:sz w:val="23"/>
          <w:szCs w:val="23"/>
        </w:rPr>
        <w:t xml:space="preserve">reciprocal </w:t>
      </w:r>
      <w:r w:rsidR="00EB458A" w:rsidRPr="00EB458A">
        <w:rPr>
          <w:color w:val="000000"/>
          <w:sz w:val="23"/>
          <w:szCs w:val="23"/>
        </w:rPr>
        <w:t>bi</w:t>
      </w:r>
      <w:r>
        <w:rPr>
          <w:color w:val="000000"/>
          <w:sz w:val="23"/>
          <w:szCs w:val="23"/>
        </w:rPr>
        <w:t xml:space="preserve">lling </w:t>
      </w:r>
      <w:r w:rsidR="00EB458A" w:rsidRPr="00EB458A">
        <w:rPr>
          <w:color w:val="000000"/>
          <w:sz w:val="23"/>
          <w:szCs w:val="23"/>
        </w:rPr>
        <w:t>for thi</w:t>
      </w:r>
      <w:r>
        <w:rPr>
          <w:color w:val="000000"/>
          <w:sz w:val="23"/>
          <w:szCs w:val="23"/>
        </w:rPr>
        <w:t xml:space="preserve">s service where possible, particularly where </w:t>
      </w:r>
      <w:r w:rsidR="00EB458A" w:rsidRPr="00EB458A">
        <w:rPr>
          <w:color w:val="000000"/>
          <w:sz w:val="23"/>
          <w:szCs w:val="23"/>
        </w:rPr>
        <w:t xml:space="preserve">the </w:t>
      </w:r>
      <w:r w:rsidR="00EB458A">
        <w:rPr>
          <w:color w:val="000000"/>
          <w:sz w:val="23"/>
          <w:szCs w:val="23"/>
        </w:rPr>
        <w:t>net</w:t>
      </w:r>
      <w:r w:rsidR="00EB458A" w:rsidRPr="00EB458A">
        <w:rPr>
          <w:color w:val="000000"/>
          <w:sz w:val="23"/>
          <w:szCs w:val="23"/>
        </w:rPr>
        <w:t xml:space="preserve"> cost </w:t>
      </w:r>
      <w:r>
        <w:rPr>
          <w:color w:val="000000"/>
          <w:sz w:val="23"/>
          <w:szCs w:val="23"/>
        </w:rPr>
        <w:t>of the supply of information</w:t>
      </w:r>
      <w:r w:rsidR="004B7C9C">
        <w:rPr>
          <w:color w:val="000000"/>
          <w:sz w:val="23"/>
          <w:szCs w:val="23"/>
        </w:rPr>
        <w:t xml:space="preserve"> between jurisdictions</w:t>
      </w:r>
      <w:r>
        <w:rPr>
          <w:color w:val="000000"/>
          <w:sz w:val="23"/>
          <w:szCs w:val="23"/>
        </w:rPr>
        <w:t xml:space="preserve"> </w:t>
      </w:r>
      <w:r w:rsidR="00EB458A" w:rsidRPr="00EB458A">
        <w:rPr>
          <w:color w:val="000000"/>
          <w:sz w:val="23"/>
          <w:szCs w:val="23"/>
        </w:rPr>
        <w:t xml:space="preserve">is negligible. </w:t>
      </w:r>
    </w:p>
    <w:p w:rsidR="00D34300" w:rsidRPr="00A87851" w:rsidRDefault="00D34300" w:rsidP="00EB458A">
      <w:pPr>
        <w:rPr>
          <w:color w:val="000000"/>
        </w:rPr>
      </w:pPr>
    </w:p>
    <w:p w:rsidR="00D34300" w:rsidRDefault="00D34300" w:rsidP="008037CD">
      <w:pPr>
        <w:pStyle w:val="Default"/>
        <w:rPr>
          <w:sz w:val="23"/>
          <w:szCs w:val="23"/>
        </w:rPr>
        <w:sectPr w:rsidR="00D34300" w:rsidSect="001B7387">
          <w:footerReference w:type="default" r:id="rId9"/>
          <w:footnotePr>
            <w:numFmt w:val="chicago"/>
          </w:footnotePr>
          <w:pgSz w:w="11906" w:h="16838"/>
          <w:pgMar w:top="1440" w:right="1797" w:bottom="1440" w:left="1797" w:header="709" w:footer="709" w:gutter="0"/>
          <w:cols w:space="708"/>
          <w:docGrid w:linePitch="360"/>
        </w:sectPr>
      </w:pPr>
    </w:p>
    <w:p w:rsidR="00D64D2E" w:rsidRPr="00BB4EA1" w:rsidRDefault="00D64D2E" w:rsidP="00F34B9E">
      <w:pPr>
        <w:pStyle w:val="Default"/>
        <w:ind w:left="-142"/>
        <w:rPr>
          <w:rFonts w:ascii="Times New Roman" w:hAnsi="Times New Roman" w:cs="Times New Roman"/>
        </w:rPr>
      </w:pPr>
      <w:r w:rsidRPr="00BB4EA1">
        <w:rPr>
          <w:rFonts w:ascii="Times New Roman" w:hAnsi="Times New Roman" w:cs="Times New Roman"/>
        </w:rPr>
        <w:lastRenderedPageBreak/>
        <w:t xml:space="preserve">The </w:t>
      </w:r>
      <w:r w:rsidR="007E157C">
        <w:rPr>
          <w:rFonts w:ascii="Times New Roman" w:hAnsi="Times New Roman" w:cs="Times New Roman"/>
        </w:rPr>
        <w:t xml:space="preserve">following </w:t>
      </w:r>
      <w:r w:rsidRPr="00BB4EA1">
        <w:rPr>
          <w:rFonts w:ascii="Times New Roman" w:hAnsi="Times New Roman" w:cs="Times New Roman"/>
        </w:rPr>
        <w:t xml:space="preserve">Parties have confirmed their commitment to this agreement: </w:t>
      </w:r>
    </w:p>
    <w:p w:rsidR="00D64D2E" w:rsidRDefault="00D64D2E" w:rsidP="00D64D2E">
      <w:pPr>
        <w:pStyle w:val="Default"/>
        <w:rPr>
          <w:sz w:val="23"/>
          <w:szCs w:val="23"/>
        </w:rPr>
      </w:pPr>
    </w:p>
    <w:tbl>
      <w:tblPr>
        <w:tblW w:w="0" w:type="auto"/>
        <w:tblInd w:w="-72" w:type="dxa"/>
        <w:tblBorders>
          <w:top w:val="nil"/>
          <w:left w:val="nil"/>
          <w:bottom w:val="nil"/>
          <w:right w:val="nil"/>
        </w:tblBorders>
        <w:tblLook w:val="0000" w:firstRow="0" w:lastRow="0" w:firstColumn="0" w:lastColumn="0" w:noHBand="0" w:noVBand="0"/>
      </w:tblPr>
      <w:tblGrid>
        <w:gridCol w:w="3026"/>
      </w:tblGrid>
      <w:tr w:rsidR="00177EE7" w:rsidTr="00F34B9E">
        <w:trPr>
          <w:trHeight w:val="717"/>
        </w:trPr>
        <w:tc>
          <w:tcPr>
            <w:tcW w:w="3026" w:type="dxa"/>
          </w:tcPr>
          <w:p w:rsidR="00D64D2E" w:rsidRDefault="00D64D2E" w:rsidP="009D42A6">
            <w:pPr>
              <w:pStyle w:val="Default"/>
              <w:rPr>
                <w:rFonts w:ascii="Book Antiqua" w:hAnsi="Book Antiqua" w:cs="Book Antiqua"/>
                <w:i/>
                <w:iCs/>
                <w:sz w:val="22"/>
                <w:szCs w:val="22"/>
              </w:rPr>
            </w:pPr>
            <w:r>
              <w:rPr>
                <w:rFonts w:ascii="Book Antiqua" w:hAnsi="Book Antiqua" w:cs="Book Antiqua"/>
                <w:i/>
                <w:iCs/>
                <w:sz w:val="22"/>
                <w:szCs w:val="22"/>
              </w:rPr>
              <w:t>Signed for and on behalf of the</w:t>
            </w:r>
          </w:p>
          <w:p w:rsidR="00D64D2E" w:rsidRPr="00F34B9E" w:rsidRDefault="00D64D2E" w:rsidP="00F34B9E">
            <w:pPr>
              <w:pStyle w:val="Default"/>
              <w:rPr>
                <w:rFonts w:ascii="Book Antiqua" w:hAnsi="Book Antiqua" w:cs="Book Antiqua"/>
                <w:i/>
                <w:iCs/>
                <w:sz w:val="22"/>
                <w:szCs w:val="22"/>
              </w:rPr>
            </w:pPr>
            <w:r>
              <w:rPr>
                <w:rFonts w:ascii="Book Antiqua" w:hAnsi="Book Antiqua" w:cs="Book Antiqua"/>
                <w:i/>
                <w:iCs/>
                <w:sz w:val="22"/>
                <w:szCs w:val="22"/>
              </w:rPr>
              <w:t xml:space="preserve">Commonwealth of Australia by </w:t>
            </w:r>
          </w:p>
        </w:tc>
      </w:tr>
    </w:tbl>
    <w:p w:rsidR="00D64D2E" w:rsidRDefault="00D64D2E" w:rsidP="00D64D2E">
      <w:pPr>
        <w:rPr>
          <w:rFonts w:ascii="Corbel" w:hAnsi="Corbel" w:cs="Corbel"/>
          <w:color w:val="000000"/>
        </w:rPr>
      </w:pPr>
      <w:r>
        <w:rPr>
          <w:rFonts w:ascii="Book Antiqua" w:hAnsi="Book Antiqua" w:cs="Book Antiqua"/>
          <w:i/>
          <w:iCs/>
          <w:sz w:val="22"/>
          <w:szCs w:val="22"/>
        </w:rPr>
        <w:t>___________________________________</w:t>
      </w:r>
    </w:p>
    <w:tbl>
      <w:tblPr>
        <w:tblW w:w="0" w:type="auto"/>
        <w:tblInd w:w="-72" w:type="dxa"/>
        <w:tblBorders>
          <w:top w:val="nil"/>
          <w:left w:val="nil"/>
          <w:bottom w:val="nil"/>
          <w:right w:val="nil"/>
        </w:tblBorders>
        <w:tblLook w:val="0000" w:firstRow="0" w:lastRow="0" w:firstColumn="0" w:lastColumn="0" w:noHBand="0" w:noVBand="0"/>
      </w:tblPr>
      <w:tblGrid>
        <w:gridCol w:w="4227"/>
        <w:gridCol w:w="4373"/>
      </w:tblGrid>
      <w:tr w:rsidR="00D64D2E" w:rsidTr="00F34B9E">
        <w:trPr>
          <w:trHeight w:val="1485"/>
        </w:trPr>
        <w:tc>
          <w:tcPr>
            <w:tcW w:w="8600" w:type="dxa"/>
            <w:gridSpan w:val="2"/>
          </w:tcPr>
          <w:p w:rsidR="00D64D2E" w:rsidRDefault="00CE7166" w:rsidP="009D42A6">
            <w:pPr>
              <w:pStyle w:val="Default"/>
              <w:tabs>
                <w:tab w:val="left" w:pos="4935"/>
                <w:tab w:val="left" w:pos="5760"/>
              </w:tabs>
              <w:rPr>
                <w:b/>
                <w:bCs/>
                <w:sz w:val="23"/>
                <w:szCs w:val="23"/>
              </w:rPr>
            </w:pPr>
            <w:r>
              <w:rPr>
                <w:b/>
                <w:bCs/>
                <w:sz w:val="23"/>
                <w:szCs w:val="23"/>
              </w:rPr>
              <w:t xml:space="preserve">The Hon </w:t>
            </w:r>
            <w:r w:rsidR="0000547F">
              <w:rPr>
                <w:b/>
                <w:bCs/>
                <w:sz w:val="23"/>
                <w:szCs w:val="23"/>
              </w:rPr>
              <w:t>Kevin Rudd</w:t>
            </w:r>
            <w:r>
              <w:rPr>
                <w:b/>
                <w:bCs/>
                <w:sz w:val="23"/>
                <w:szCs w:val="23"/>
              </w:rPr>
              <w:t xml:space="preserve"> MP</w:t>
            </w:r>
          </w:p>
          <w:p w:rsidR="00D64D2E" w:rsidRPr="004E30C2" w:rsidRDefault="00CE7166" w:rsidP="009D42A6">
            <w:pPr>
              <w:pStyle w:val="Default"/>
              <w:tabs>
                <w:tab w:val="left" w:pos="5040"/>
              </w:tabs>
              <w:rPr>
                <w:bCs/>
                <w:sz w:val="23"/>
                <w:szCs w:val="23"/>
              </w:rPr>
            </w:pPr>
            <w:r>
              <w:rPr>
                <w:bCs/>
                <w:sz w:val="23"/>
                <w:szCs w:val="23"/>
              </w:rPr>
              <w:t>Prime Minister of the Commonwealth of Australia</w:t>
            </w:r>
          </w:p>
          <w:p w:rsidR="00F34B9E" w:rsidRDefault="00E15F20" w:rsidP="00F34B9E">
            <w:pPr>
              <w:pStyle w:val="Default"/>
              <w:tabs>
                <w:tab w:val="left" w:pos="3780"/>
                <w:tab w:val="left" w:pos="8655"/>
              </w:tabs>
              <w:rPr>
                <w:sz w:val="23"/>
                <w:szCs w:val="23"/>
              </w:rPr>
            </w:pPr>
            <w:r>
              <w:rPr>
                <w:sz w:val="23"/>
                <w:szCs w:val="23"/>
              </w:rPr>
              <w:t xml:space="preserve">Date: </w:t>
            </w:r>
          </w:p>
          <w:p w:rsidR="00D64D2E" w:rsidRPr="00F34B9E" w:rsidRDefault="00F34B9E" w:rsidP="00F34B9E">
            <w:pPr>
              <w:tabs>
                <w:tab w:val="left" w:pos="2389"/>
              </w:tabs>
              <w:rPr>
                <w:lang w:eastAsia="en-AU"/>
              </w:rPr>
            </w:pPr>
            <w:r>
              <w:rPr>
                <w:lang w:eastAsia="en-AU"/>
              </w:rPr>
              <w:tab/>
            </w:r>
          </w:p>
        </w:tc>
      </w:tr>
      <w:tr w:rsidR="00D64D2E">
        <w:trPr>
          <w:trHeight w:val="2263"/>
        </w:trPr>
        <w:tc>
          <w:tcPr>
            <w:tcW w:w="4227" w:type="dxa"/>
          </w:tcPr>
          <w:p w:rsidR="007E157C" w:rsidRDefault="00C35509" w:rsidP="00C35509">
            <w:pPr>
              <w:pStyle w:val="Default"/>
              <w:rPr>
                <w:rFonts w:ascii="Book Antiqua" w:hAnsi="Book Antiqua" w:cs="Book Antiqua"/>
                <w:i/>
                <w:sz w:val="22"/>
                <w:szCs w:val="22"/>
              </w:rPr>
            </w:pPr>
            <w:r>
              <w:rPr>
                <w:rFonts w:ascii="Book Antiqua" w:hAnsi="Book Antiqua" w:cs="Book Antiqua"/>
                <w:i/>
                <w:iCs/>
                <w:sz w:val="22"/>
                <w:szCs w:val="22"/>
              </w:rPr>
              <w:t xml:space="preserve">Signed for and on behalf of </w:t>
            </w:r>
            <w:r w:rsidRPr="00BB4EA1">
              <w:rPr>
                <w:rFonts w:ascii="Book Antiqua" w:hAnsi="Book Antiqua" w:cs="Book Antiqua"/>
                <w:i/>
                <w:sz w:val="22"/>
                <w:szCs w:val="22"/>
              </w:rPr>
              <w:t xml:space="preserve">the </w:t>
            </w:r>
          </w:p>
          <w:p w:rsidR="00C35509" w:rsidRDefault="00C35509" w:rsidP="00C35509">
            <w:pPr>
              <w:pStyle w:val="Default"/>
              <w:rPr>
                <w:rFonts w:ascii="Book Antiqua" w:hAnsi="Book Antiqua" w:cs="Book Antiqua"/>
                <w:i/>
                <w:iCs/>
                <w:sz w:val="22"/>
                <w:szCs w:val="22"/>
              </w:rPr>
            </w:pPr>
            <w:r w:rsidRPr="00BB4EA1">
              <w:rPr>
                <w:rFonts w:ascii="Book Antiqua" w:hAnsi="Book Antiqua" w:cs="Book Antiqua"/>
                <w:i/>
                <w:sz w:val="22"/>
                <w:szCs w:val="22"/>
              </w:rPr>
              <w:t>State of</w:t>
            </w:r>
            <w:r>
              <w:rPr>
                <w:rFonts w:ascii="Book Antiqua" w:hAnsi="Book Antiqua" w:cs="Book Antiqua"/>
                <w:sz w:val="22"/>
                <w:szCs w:val="22"/>
              </w:rPr>
              <w:t xml:space="preserve"> </w:t>
            </w:r>
            <w:r>
              <w:rPr>
                <w:rFonts w:ascii="Book Antiqua" w:hAnsi="Book Antiqua" w:cs="Book Antiqua"/>
                <w:i/>
                <w:iCs/>
                <w:sz w:val="22"/>
                <w:szCs w:val="22"/>
              </w:rPr>
              <w:t xml:space="preserve">New South Wales by </w:t>
            </w:r>
          </w:p>
          <w:p w:rsidR="00C35509" w:rsidRDefault="00C35509" w:rsidP="00C35509">
            <w:pPr>
              <w:pStyle w:val="Default"/>
              <w:rPr>
                <w:rFonts w:ascii="Book Antiqua" w:hAnsi="Book Antiqua" w:cs="Book Antiqua"/>
                <w:i/>
                <w:iCs/>
                <w:sz w:val="22"/>
                <w:szCs w:val="22"/>
              </w:rPr>
            </w:pPr>
          </w:p>
          <w:p w:rsidR="00C35509" w:rsidRDefault="00C35509" w:rsidP="00C35509">
            <w:pPr>
              <w:pStyle w:val="Default"/>
              <w:rPr>
                <w:rFonts w:ascii="Book Antiqua" w:hAnsi="Book Antiqua" w:cs="Book Antiqua"/>
                <w:sz w:val="23"/>
                <w:szCs w:val="23"/>
              </w:rPr>
            </w:pPr>
            <w:r>
              <w:rPr>
                <w:rFonts w:ascii="Book Antiqua" w:hAnsi="Book Antiqua" w:cs="Book Antiqua"/>
                <w:sz w:val="23"/>
                <w:szCs w:val="23"/>
              </w:rPr>
              <w:t>________________________________</w:t>
            </w:r>
          </w:p>
          <w:p w:rsidR="00C35509" w:rsidRDefault="00CE7166" w:rsidP="00C35509">
            <w:pPr>
              <w:pStyle w:val="Default"/>
              <w:rPr>
                <w:b/>
                <w:bCs/>
                <w:sz w:val="23"/>
                <w:szCs w:val="23"/>
              </w:rPr>
            </w:pPr>
            <w:r>
              <w:rPr>
                <w:b/>
                <w:bCs/>
                <w:sz w:val="23"/>
                <w:szCs w:val="23"/>
              </w:rPr>
              <w:t>The Hon Barry O’Farrell MP</w:t>
            </w:r>
          </w:p>
          <w:p w:rsidR="00C35509" w:rsidRPr="00533558" w:rsidRDefault="00CE7166" w:rsidP="00533558">
            <w:pPr>
              <w:pStyle w:val="Default"/>
              <w:tabs>
                <w:tab w:val="left" w:pos="5040"/>
              </w:tabs>
              <w:rPr>
                <w:bCs/>
                <w:sz w:val="23"/>
                <w:szCs w:val="23"/>
              </w:rPr>
            </w:pPr>
            <w:r>
              <w:rPr>
                <w:bCs/>
                <w:sz w:val="23"/>
                <w:szCs w:val="23"/>
              </w:rPr>
              <w:t>Premier of the State of New South Wales</w:t>
            </w:r>
          </w:p>
          <w:p w:rsidR="00D64D2E" w:rsidRDefault="00E15F20" w:rsidP="009D42A6">
            <w:pPr>
              <w:pStyle w:val="Default"/>
              <w:rPr>
                <w:sz w:val="23"/>
                <w:szCs w:val="23"/>
              </w:rPr>
            </w:pPr>
            <w:r>
              <w:rPr>
                <w:sz w:val="23"/>
                <w:szCs w:val="23"/>
              </w:rPr>
              <w:t>Date:</w:t>
            </w:r>
          </w:p>
        </w:tc>
        <w:tc>
          <w:tcPr>
            <w:tcW w:w="0" w:type="auto"/>
          </w:tcPr>
          <w:p w:rsidR="007E157C"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Signed for and on behalf of the </w:t>
            </w:r>
          </w:p>
          <w:p w:rsidR="00C35509"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State of Victoria by </w:t>
            </w:r>
          </w:p>
          <w:p w:rsidR="00C35509" w:rsidRDefault="00C35509" w:rsidP="00C35509">
            <w:pPr>
              <w:pStyle w:val="Default"/>
              <w:rPr>
                <w:rFonts w:ascii="Book Antiqua" w:hAnsi="Book Antiqua" w:cs="Book Antiqua"/>
                <w:i/>
                <w:iCs/>
                <w:sz w:val="22"/>
                <w:szCs w:val="22"/>
              </w:rPr>
            </w:pPr>
          </w:p>
          <w:p w:rsidR="00C35509" w:rsidRDefault="00C35509" w:rsidP="00C35509">
            <w:pPr>
              <w:pStyle w:val="Default"/>
              <w:rPr>
                <w:rFonts w:ascii="Book Antiqua" w:hAnsi="Book Antiqua" w:cs="Book Antiqua"/>
                <w:sz w:val="23"/>
                <w:szCs w:val="23"/>
              </w:rPr>
            </w:pPr>
            <w:r>
              <w:rPr>
                <w:rFonts w:ascii="Book Antiqua" w:hAnsi="Book Antiqua" w:cs="Book Antiqua"/>
                <w:sz w:val="23"/>
                <w:szCs w:val="23"/>
              </w:rPr>
              <w:t xml:space="preserve">_______________________________ </w:t>
            </w:r>
          </w:p>
          <w:p w:rsidR="00C35509" w:rsidRDefault="00CE7166" w:rsidP="00C35509">
            <w:pPr>
              <w:pStyle w:val="Default"/>
              <w:rPr>
                <w:b/>
                <w:bCs/>
                <w:sz w:val="23"/>
                <w:szCs w:val="23"/>
              </w:rPr>
            </w:pPr>
            <w:r>
              <w:rPr>
                <w:b/>
                <w:bCs/>
                <w:sz w:val="23"/>
                <w:szCs w:val="23"/>
              </w:rPr>
              <w:t xml:space="preserve">The Hon </w:t>
            </w:r>
            <w:r w:rsidR="008065CB">
              <w:rPr>
                <w:b/>
                <w:bCs/>
                <w:sz w:val="23"/>
                <w:szCs w:val="23"/>
              </w:rPr>
              <w:t xml:space="preserve">Dr </w:t>
            </w:r>
            <w:r w:rsidR="00F37444">
              <w:rPr>
                <w:b/>
                <w:bCs/>
                <w:sz w:val="23"/>
                <w:szCs w:val="23"/>
              </w:rPr>
              <w:t xml:space="preserve">Denis </w:t>
            </w:r>
            <w:proofErr w:type="spellStart"/>
            <w:r w:rsidR="00F37444">
              <w:rPr>
                <w:b/>
                <w:bCs/>
                <w:sz w:val="23"/>
                <w:szCs w:val="23"/>
              </w:rPr>
              <w:t>Napthine</w:t>
            </w:r>
            <w:proofErr w:type="spellEnd"/>
            <w:r w:rsidR="008065CB">
              <w:rPr>
                <w:b/>
                <w:bCs/>
                <w:sz w:val="23"/>
                <w:szCs w:val="23"/>
              </w:rPr>
              <w:t xml:space="preserve"> MLA</w:t>
            </w:r>
          </w:p>
          <w:p w:rsidR="00C35509" w:rsidRDefault="00CE7166" w:rsidP="00C35509">
            <w:pPr>
              <w:pStyle w:val="Default"/>
              <w:tabs>
                <w:tab w:val="left" w:pos="180"/>
                <w:tab w:val="left" w:pos="5040"/>
              </w:tabs>
              <w:rPr>
                <w:sz w:val="20"/>
                <w:szCs w:val="20"/>
              </w:rPr>
            </w:pPr>
            <w:r>
              <w:rPr>
                <w:bCs/>
                <w:sz w:val="23"/>
                <w:szCs w:val="23"/>
              </w:rPr>
              <w:t xml:space="preserve">Premier of the State of Victoria </w:t>
            </w:r>
          </w:p>
          <w:p w:rsidR="00D64D2E" w:rsidRPr="006062AF" w:rsidRDefault="00E15F20" w:rsidP="009D42A6">
            <w:pPr>
              <w:pStyle w:val="Default"/>
              <w:rPr>
                <w:sz w:val="23"/>
                <w:szCs w:val="23"/>
              </w:rPr>
            </w:pPr>
            <w:r>
              <w:rPr>
                <w:sz w:val="23"/>
                <w:szCs w:val="23"/>
              </w:rPr>
              <w:t>Date:</w:t>
            </w:r>
          </w:p>
        </w:tc>
      </w:tr>
      <w:tr w:rsidR="00D64D2E">
        <w:trPr>
          <w:trHeight w:val="2263"/>
        </w:trPr>
        <w:tc>
          <w:tcPr>
            <w:tcW w:w="4227" w:type="dxa"/>
          </w:tcPr>
          <w:p w:rsidR="00CE7166" w:rsidRDefault="00CE7166" w:rsidP="00C35509">
            <w:pPr>
              <w:pStyle w:val="Default"/>
              <w:rPr>
                <w:rFonts w:ascii="Book Antiqua" w:hAnsi="Book Antiqua" w:cs="Book Antiqua"/>
                <w:i/>
                <w:iCs/>
                <w:sz w:val="22"/>
                <w:szCs w:val="22"/>
              </w:rPr>
            </w:pPr>
          </w:p>
          <w:p w:rsidR="007E157C"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Signed for and on behalf of the </w:t>
            </w:r>
          </w:p>
          <w:p w:rsidR="00C35509"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State of Queensland by </w:t>
            </w:r>
          </w:p>
          <w:p w:rsidR="00C35509" w:rsidRDefault="00C35509" w:rsidP="00C35509">
            <w:pPr>
              <w:pStyle w:val="Default"/>
              <w:rPr>
                <w:rFonts w:ascii="Book Antiqua" w:hAnsi="Book Antiqua" w:cs="Book Antiqua"/>
                <w:sz w:val="23"/>
                <w:szCs w:val="23"/>
              </w:rPr>
            </w:pPr>
          </w:p>
          <w:p w:rsidR="00C35509" w:rsidRDefault="00C35509" w:rsidP="00C35509">
            <w:pPr>
              <w:pStyle w:val="Default"/>
              <w:rPr>
                <w:rFonts w:ascii="Book Antiqua" w:hAnsi="Book Antiqua" w:cs="Book Antiqua"/>
                <w:sz w:val="23"/>
                <w:szCs w:val="23"/>
              </w:rPr>
            </w:pPr>
            <w:r>
              <w:rPr>
                <w:rFonts w:ascii="Book Antiqua" w:hAnsi="Book Antiqua" w:cs="Book Antiqua"/>
                <w:sz w:val="23"/>
                <w:szCs w:val="23"/>
              </w:rPr>
              <w:t>________________________________</w:t>
            </w:r>
          </w:p>
          <w:p w:rsidR="00C35509" w:rsidRDefault="00D641CC" w:rsidP="00C35509">
            <w:pPr>
              <w:pStyle w:val="Default"/>
              <w:rPr>
                <w:b/>
                <w:bCs/>
                <w:sz w:val="23"/>
                <w:szCs w:val="23"/>
              </w:rPr>
            </w:pPr>
            <w:r>
              <w:rPr>
                <w:b/>
                <w:bCs/>
                <w:sz w:val="23"/>
                <w:szCs w:val="23"/>
              </w:rPr>
              <w:t xml:space="preserve">The Hon </w:t>
            </w:r>
            <w:r w:rsidR="00F37444">
              <w:rPr>
                <w:b/>
                <w:bCs/>
                <w:sz w:val="23"/>
                <w:szCs w:val="23"/>
              </w:rPr>
              <w:t>Campbell Newman</w:t>
            </w:r>
            <w:r w:rsidR="00C35509">
              <w:rPr>
                <w:b/>
                <w:bCs/>
                <w:sz w:val="23"/>
                <w:szCs w:val="23"/>
              </w:rPr>
              <w:t xml:space="preserve"> </w:t>
            </w:r>
          </w:p>
          <w:p w:rsidR="00C35509" w:rsidRDefault="00E05A14" w:rsidP="00C35509">
            <w:pPr>
              <w:pStyle w:val="Default"/>
              <w:rPr>
                <w:sz w:val="20"/>
                <w:szCs w:val="20"/>
              </w:rPr>
            </w:pPr>
            <w:r>
              <w:rPr>
                <w:bCs/>
                <w:sz w:val="23"/>
                <w:szCs w:val="23"/>
              </w:rPr>
              <w:t>Premier of the State of Queensland</w:t>
            </w:r>
          </w:p>
          <w:p w:rsidR="00D64D2E" w:rsidRDefault="00E15F20" w:rsidP="009D42A6">
            <w:pPr>
              <w:pStyle w:val="Default"/>
              <w:rPr>
                <w:sz w:val="23"/>
                <w:szCs w:val="23"/>
              </w:rPr>
            </w:pPr>
            <w:r>
              <w:rPr>
                <w:sz w:val="23"/>
                <w:szCs w:val="23"/>
              </w:rPr>
              <w:t>Date:</w:t>
            </w:r>
          </w:p>
          <w:p w:rsidR="007E157C" w:rsidRDefault="007E157C" w:rsidP="009D42A6">
            <w:pPr>
              <w:pStyle w:val="Default"/>
              <w:rPr>
                <w:sz w:val="23"/>
                <w:szCs w:val="23"/>
              </w:rPr>
            </w:pPr>
          </w:p>
        </w:tc>
        <w:tc>
          <w:tcPr>
            <w:tcW w:w="0" w:type="auto"/>
          </w:tcPr>
          <w:p w:rsidR="003A40AA" w:rsidRDefault="003A40AA" w:rsidP="00C35509">
            <w:pPr>
              <w:pStyle w:val="Default"/>
              <w:rPr>
                <w:rFonts w:ascii="Book Antiqua" w:hAnsi="Book Antiqua" w:cs="Book Antiqua"/>
                <w:i/>
                <w:iCs/>
                <w:sz w:val="22"/>
                <w:szCs w:val="22"/>
              </w:rPr>
            </w:pPr>
          </w:p>
          <w:p w:rsidR="007E157C"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Signed for and on behalf of the </w:t>
            </w:r>
          </w:p>
          <w:p w:rsidR="00C35509"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State of Western Australia by </w:t>
            </w:r>
          </w:p>
          <w:p w:rsidR="00C35509" w:rsidRDefault="00C35509" w:rsidP="00C35509">
            <w:pPr>
              <w:pStyle w:val="Default"/>
              <w:rPr>
                <w:rFonts w:ascii="Book Antiqua" w:hAnsi="Book Antiqua" w:cs="Book Antiqua"/>
                <w:sz w:val="23"/>
                <w:szCs w:val="23"/>
              </w:rPr>
            </w:pPr>
          </w:p>
          <w:p w:rsidR="00C35509" w:rsidRDefault="00C35509" w:rsidP="00C35509">
            <w:pPr>
              <w:pStyle w:val="Default"/>
              <w:rPr>
                <w:rFonts w:ascii="Book Antiqua" w:hAnsi="Book Antiqua" w:cs="Book Antiqua"/>
                <w:sz w:val="23"/>
                <w:szCs w:val="23"/>
              </w:rPr>
            </w:pPr>
            <w:r>
              <w:rPr>
                <w:rFonts w:ascii="Book Antiqua" w:hAnsi="Book Antiqua" w:cs="Book Antiqua"/>
                <w:sz w:val="23"/>
                <w:szCs w:val="23"/>
              </w:rPr>
              <w:t xml:space="preserve">_______________________________ </w:t>
            </w:r>
          </w:p>
          <w:p w:rsidR="00C35509" w:rsidRDefault="00E05A14" w:rsidP="00C35509">
            <w:pPr>
              <w:pStyle w:val="Default"/>
              <w:rPr>
                <w:b/>
                <w:bCs/>
                <w:sz w:val="23"/>
                <w:szCs w:val="23"/>
              </w:rPr>
            </w:pPr>
            <w:r>
              <w:rPr>
                <w:b/>
                <w:bCs/>
                <w:sz w:val="23"/>
                <w:szCs w:val="23"/>
              </w:rPr>
              <w:t>The Hon Colin Barnett MLA</w:t>
            </w:r>
          </w:p>
          <w:p w:rsidR="00C35509" w:rsidRDefault="00E05A14" w:rsidP="00C35509">
            <w:pPr>
              <w:pStyle w:val="Default"/>
              <w:rPr>
                <w:sz w:val="20"/>
                <w:szCs w:val="20"/>
              </w:rPr>
            </w:pPr>
            <w:r>
              <w:rPr>
                <w:bCs/>
                <w:sz w:val="23"/>
                <w:szCs w:val="23"/>
              </w:rPr>
              <w:t xml:space="preserve"> Premier of the State of Western Australia</w:t>
            </w:r>
          </w:p>
          <w:p w:rsidR="00D64D2E" w:rsidRDefault="00E15F20" w:rsidP="009D42A6">
            <w:pPr>
              <w:pStyle w:val="Default"/>
              <w:rPr>
                <w:sz w:val="23"/>
                <w:szCs w:val="23"/>
              </w:rPr>
            </w:pPr>
            <w:r>
              <w:rPr>
                <w:sz w:val="23"/>
                <w:szCs w:val="23"/>
              </w:rPr>
              <w:t>Date:</w:t>
            </w:r>
          </w:p>
        </w:tc>
      </w:tr>
      <w:tr w:rsidR="00D64D2E">
        <w:trPr>
          <w:trHeight w:val="2263"/>
        </w:trPr>
        <w:tc>
          <w:tcPr>
            <w:tcW w:w="4227" w:type="dxa"/>
          </w:tcPr>
          <w:p w:rsidR="007E157C"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Signed for and on behalf of the </w:t>
            </w:r>
          </w:p>
          <w:p w:rsidR="00C35509"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State of South Australia by </w:t>
            </w:r>
          </w:p>
          <w:p w:rsidR="00C35509" w:rsidRDefault="00C35509" w:rsidP="00C35509">
            <w:pPr>
              <w:pStyle w:val="Default"/>
              <w:rPr>
                <w:rFonts w:ascii="Book Antiqua" w:hAnsi="Book Antiqua" w:cs="Book Antiqua"/>
                <w:i/>
                <w:iCs/>
                <w:sz w:val="22"/>
                <w:szCs w:val="22"/>
              </w:rPr>
            </w:pPr>
          </w:p>
          <w:p w:rsidR="00C35509" w:rsidRDefault="00C35509" w:rsidP="00C35509">
            <w:pPr>
              <w:pStyle w:val="Default"/>
              <w:rPr>
                <w:rFonts w:ascii="Book Antiqua" w:hAnsi="Book Antiqua" w:cs="Book Antiqua"/>
                <w:sz w:val="23"/>
                <w:szCs w:val="23"/>
              </w:rPr>
            </w:pPr>
            <w:r>
              <w:rPr>
                <w:rFonts w:ascii="Book Antiqua" w:hAnsi="Book Antiqua" w:cs="Book Antiqua"/>
                <w:sz w:val="23"/>
                <w:szCs w:val="23"/>
              </w:rPr>
              <w:t>________________________________</w:t>
            </w:r>
          </w:p>
          <w:p w:rsidR="00C35509" w:rsidRDefault="00E05A14" w:rsidP="00C35509">
            <w:pPr>
              <w:pStyle w:val="Default"/>
              <w:rPr>
                <w:b/>
                <w:bCs/>
                <w:sz w:val="23"/>
                <w:szCs w:val="23"/>
              </w:rPr>
            </w:pPr>
            <w:r>
              <w:rPr>
                <w:b/>
                <w:bCs/>
                <w:sz w:val="23"/>
                <w:szCs w:val="23"/>
              </w:rPr>
              <w:t xml:space="preserve">The Hon Jay </w:t>
            </w:r>
            <w:proofErr w:type="spellStart"/>
            <w:r>
              <w:rPr>
                <w:b/>
                <w:bCs/>
                <w:sz w:val="23"/>
                <w:szCs w:val="23"/>
              </w:rPr>
              <w:t>Weatherill</w:t>
            </w:r>
            <w:proofErr w:type="spellEnd"/>
            <w:r>
              <w:rPr>
                <w:b/>
                <w:bCs/>
                <w:sz w:val="23"/>
                <w:szCs w:val="23"/>
              </w:rPr>
              <w:t xml:space="preserve"> MP</w:t>
            </w:r>
          </w:p>
          <w:p w:rsidR="00C35509" w:rsidRDefault="00E05A14" w:rsidP="00C35509">
            <w:pPr>
              <w:pStyle w:val="Default"/>
              <w:rPr>
                <w:sz w:val="20"/>
                <w:szCs w:val="20"/>
              </w:rPr>
            </w:pPr>
            <w:r>
              <w:rPr>
                <w:bCs/>
                <w:sz w:val="23"/>
                <w:szCs w:val="23"/>
              </w:rPr>
              <w:t>Premier of the State of South Australia</w:t>
            </w:r>
          </w:p>
          <w:p w:rsidR="00D64D2E" w:rsidRDefault="00E15F20" w:rsidP="009D42A6">
            <w:pPr>
              <w:pStyle w:val="Default"/>
              <w:rPr>
                <w:sz w:val="23"/>
                <w:szCs w:val="23"/>
              </w:rPr>
            </w:pPr>
            <w:r>
              <w:rPr>
                <w:sz w:val="23"/>
                <w:szCs w:val="23"/>
              </w:rPr>
              <w:t>Date:</w:t>
            </w:r>
          </w:p>
        </w:tc>
        <w:tc>
          <w:tcPr>
            <w:tcW w:w="0" w:type="auto"/>
          </w:tcPr>
          <w:p w:rsidR="007E157C"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Signed for and on behalf of the </w:t>
            </w:r>
          </w:p>
          <w:p w:rsidR="00C35509"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State of Tasmania by </w:t>
            </w:r>
          </w:p>
          <w:p w:rsidR="00C35509" w:rsidRDefault="00C35509" w:rsidP="00C35509">
            <w:pPr>
              <w:pStyle w:val="Default"/>
              <w:rPr>
                <w:rFonts w:ascii="Book Antiqua" w:hAnsi="Book Antiqua" w:cs="Book Antiqua"/>
                <w:i/>
                <w:iCs/>
                <w:sz w:val="22"/>
                <w:szCs w:val="22"/>
              </w:rPr>
            </w:pPr>
          </w:p>
          <w:p w:rsidR="00C35509" w:rsidRDefault="00C35509" w:rsidP="00C35509">
            <w:pPr>
              <w:pStyle w:val="Default"/>
              <w:rPr>
                <w:rFonts w:ascii="Book Antiqua" w:hAnsi="Book Antiqua" w:cs="Book Antiqua"/>
                <w:sz w:val="23"/>
                <w:szCs w:val="23"/>
              </w:rPr>
            </w:pPr>
            <w:r>
              <w:rPr>
                <w:rFonts w:ascii="Book Antiqua" w:hAnsi="Book Antiqua" w:cs="Book Antiqua"/>
                <w:sz w:val="23"/>
                <w:szCs w:val="23"/>
              </w:rPr>
              <w:t>_______________________________</w:t>
            </w:r>
          </w:p>
          <w:p w:rsidR="00C35509" w:rsidRDefault="00E05A14" w:rsidP="00C35509">
            <w:pPr>
              <w:pStyle w:val="Default"/>
              <w:rPr>
                <w:b/>
                <w:bCs/>
                <w:sz w:val="23"/>
                <w:szCs w:val="23"/>
              </w:rPr>
            </w:pPr>
            <w:r>
              <w:rPr>
                <w:b/>
                <w:bCs/>
                <w:sz w:val="23"/>
                <w:szCs w:val="23"/>
              </w:rPr>
              <w:t>The Hon Lara Giddings M</w:t>
            </w:r>
            <w:r w:rsidR="008065CB">
              <w:rPr>
                <w:b/>
                <w:bCs/>
                <w:sz w:val="23"/>
                <w:szCs w:val="23"/>
              </w:rPr>
              <w:t>LA</w:t>
            </w:r>
          </w:p>
          <w:p w:rsidR="00C35509" w:rsidRDefault="00E05A14" w:rsidP="00C35509">
            <w:pPr>
              <w:pStyle w:val="Default"/>
              <w:rPr>
                <w:sz w:val="20"/>
                <w:szCs w:val="20"/>
              </w:rPr>
            </w:pPr>
            <w:r>
              <w:rPr>
                <w:bCs/>
                <w:sz w:val="23"/>
                <w:szCs w:val="23"/>
              </w:rPr>
              <w:t>Premier of the State of Tasmania</w:t>
            </w:r>
          </w:p>
          <w:p w:rsidR="00D64D2E" w:rsidRDefault="00E15F20" w:rsidP="009D42A6">
            <w:pPr>
              <w:pStyle w:val="Default"/>
              <w:rPr>
                <w:sz w:val="23"/>
                <w:szCs w:val="23"/>
              </w:rPr>
            </w:pPr>
            <w:r>
              <w:rPr>
                <w:sz w:val="23"/>
                <w:szCs w:val="23"/>
              </w:rPr>
              <w:t>Date:</w:t>
            </w:r>
          </w:p>
        </w:tc>
      </w:tr>
      <w:tr w:rsidR="00D64D2E">
        <w:trPr>
          <w:trHeight w:val="2267"/>
        </w:trPr>
        <w:tc>
          <w:tcPr>
            <w:tcW w:w="4227" w:type="dxa"/>
          </w:tcPr>
          <w:p w:rsidR="007E157C"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Signed for and on behalf of the </w:t>
            </w:r>
          </w:p>
          <w:p w:rsidR="00C35509"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Australian Capital Territory by </w:t>
            </w:r>
          </w:p>
          <w:p w:rsidR="00C35509" w:rsidRDefault="00C35509" w:rsidP="00C35509">
            <w:pPr>
              <w:pStyle w:val="Default"/>
              <w:rPr>
                <w:rFonts w:ascii="Book Antiqua" w:hAnsi="Book Antiqua" w:cs="Book Antiqua"/>
                <w:i/>
                <w:iCs/>
                <w:sz w:val="22"/>
                <w:szCs w:val="22"/>
              </w:rPr>
            </w:pPr>
          </w:p>
          <w:p w:rsidR="00C35509" w:rsidRPr="00942FE3" w:rsidRDefault="00C35509" w:rsidP="00C35509">
            <w:pPr>
              <w:pStyle w:val="Default"/>
              <w:rPr>
                <w:rFonts w:ascii="Book Antiqua" w:hAnsi="Book Antiqua" w:cs="Book Antiqua"/>
                <w:sz w:val="23"/>
                <w:szCs w:val="23"/>
              </w:rPr>
            </w:pPr>
            <w:r>
              <w:rPr>
                <w:rFonts w:ascii="Book Antiqua" w:hAnsi="Book Antiqua" w:cs="Book Antiqua"/>
                <w:sz w:val="23"/>
                <w:szCs w:val="23"/>
              </w:rPr>
              <w:t xml:space="preserve">________________________________ </w:t>
            </w:r>
          </w:p>
          <w:p w:rsidR="00C35509" w:rsidRDefault="00E05A14" w:rsidP="00C35509">
            <w:pPr>
              <w:pStyle w:val="Default"/>
              <w:rPr>
                <w:b/>
                <w:bCs/>
                <w:sz w:val="23"/>
                <w:szCs w:val="23"/>
              </w:rPr>
            </w:pPr>
            <w:r>
              <w:rPr>
                <w:b/>
                <w:bCs/>
                <w:sz w:val="23"/>
                <w:szCs w:val="23"/>
              </w:rPr>
              <w:t>Ms Katy Gallagher</w:t>
            </w:r>
            <w:r w:rsidR="008065CB">
              <w:rPr>
                <w:b/>
                <w:bCs/>
                <w:sz w:val="23"/>
                <w:szCs w:val="23"/>
              </w:rPr>
              <w:t xml:space="preserve"> MLA</w:t>
            </w:r>
          </w:p>
          <w:p w:rsidR="00C35509" w:rsidRDefault="00E05A14" w:rsidP="00C35509">
            <w:pPr>
              <w:pStyle w:val="Default"/>
              <w:rPr>
                <w:sz w:val="20"/>
                <w:szCs w:val="20"/>
              </w:rPr>
            </w:pPr>
            <w:r>
              <w:rPr>
                <w:bCs/>
                <w:sz w:val="23"/>
                <w:szCs w:val="23"/>
              </w:rPr>
              <w:t>Chief Minister of the Australian Capital Territory</w:t>
            </w:r>
          </w:p>
          <w:p w:rsidR="00D64D2E" w:rsidRDefault="00E15F20" w:rsidP="009D42A6">
            <w:pPr>
              <w:pStyle w:val="Default"/>
              <w:rPr>
                <w:sz w:val="23"/>
                <w:szCs w:val="23"/>
              </w:rPr>
            </w:pPr>
            <w:r>
              <w:rPr>
                <w:sz w:val="23"/>
                <w:szCs w:val="23"/>
              </w:rPr>
              <w:t>Date:</w:t>
            </w:r>
          </w:p>
        </w:tc>
        <w:tc>
          <w:tcPr>
            <w:tcW w:w="0" w:type="auto"/>
          </w:tcPr>
          <w:p w:rsidR="007E157C"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Signed for and on behalf of the </w:t>
            </w:r>
          </w:p>
          <w:p w:rsidR="00C35509" w:rsidRDefault="00C35509" w:rsidP="00C35509">
            <w:pPr>
              <w:pStyle w:val="Default"/>
              <w:rPr>
                <w:rFonts w:ascii="Book Antiqua" w:hAnsi="Book Antiqua" w:cs="Book Antiqua"/>
                <w:i/>
                <w:iCs/>
                <w:sz w:val="22"/>
                <w:szCs w:val="22"/>
              </w:rPr>
            </w:pPr>
            <w:r>
              <w:rPr>
                <w:rFonts w:ascii="Book Antiqua" w:hAnsi="Book Antiqua" w:cs="Book Antiqua"/>
                <w:i/>
                <w:iCs/>
                <w:sz w:val="22"/>
                <w:szCs w:val="22"/>
              </w:rPr>
              <w:t xml:space="preserve">State of Northern Territory by </w:t>
            </w:r>
          </w:p>
          <w:p w:rsidR="00C35509" w:rsidRDefault="00C35509" w:rsidP="00C35509">
            <w:pPr>
              <w:pStyle w:val="Default"/>
              <w:rPr>
                <w:rFonts w:ascii="Book Antiqua" w:hAnsi="Book Antiqua" w:cs="Book Antiqua"/>
                <w:i/>
                <w:iCs/>
                <w:sz w:val="22"/>
                <w:szCs w:val="22"/>
              </w:rPr>
            </w:pPr>
          </w:p>
          <w:p w:rsidR="00C35509" w:rsidRDefault="00C35509" w:rsidP="00C35509">
            <w:pPr>
              <w:pStyle w:val="Default"/>
              <w:rPr>
                <w:rFonts w:ascii="Book Antiqua" w:hAnsi="Book Antiqua" w:cs="Book Antiqua"/>
                <w:sz w:val="23"/>
                <w:szCs w:val="23"/>
              </w:rPr>
            </w:pPr>
            <w:r>
              <w:rPr>
                <w:rFonts w:ascii="Book Antiqua" w:hAnsi="Book Antiqua" w:cs="Book Antiqua"/>
                <w:sz w:val="23"/>
                <w:szCs w:val="23"/>
              </w:rPr>
              <w:t xml:space="preserve">_______________________________ </w:t>
            </w:r>
          </w:p>
          <w:p w:rsidR="00C35509" w:rsidRDefault="008065CB" w:rsidP="00C35509">
            <w:pPr>
              <w:pStyle w:val="Default"/>
              <w:rPr>
                <w:sz w:val="20"/>
                <w:szCs w:val="20"/>
              </w:rPr>
            </w:pPr>
            <w:r>
              <w:rPr>
                <w:b/>
                <w:bCs/>
                <w:sz w:val="23"/>
                <w:szCs w:val="23"/>
              </w:rPr>
              <w:t xml:space="preserve">The Hon </w:t>
            </w:r>
            <w:r w:rsidR="00F37444">
              <w:rPr>
                <w:b/>
                <w:bCs/>
                <w:sz w:val="23"/>
                <w:szCs w:val="23"/>
              </w:rPr>
              <w:t>Adam Giles</w:t>
            </w:r>
            <w:r>
              <w:rPr>
                <w:b/>
                <w:bCs/>
                <w:sz w:val="23"/>
                <w:szCs w:val="23"/>
              </w:rPr>
              <w:t xml:space="preserve"> MLA</w:t>
            </w:r>
          </w:p>
          <w:p w:rsidR="00C35509" w:rsidRDefault="00E05A14" w:rsidP="00C35509">
            <w:pPr>
              <w:pStyle w:val="Default"/>
              <w:rPr>
                <w:sz w:val="20"/>
                <w:szCs w:val="20"/>
              </w:rPr>
            </w:pPr>
            <w:r>
              <w:rPr>
                <w:bCs/>
                <w:sz w:val="23"/>
                <w:szCs w:val="23"/>
              </w:rPr>
              <w:t xml:space="preserve">Chief Minister of the Northern Territory </w:t>
            </w:r>
          </w:p>
          <w:p w:rsidR="00D64D2E" w:rsidRDefault="00E15F20" w:rsidP="009D42A6">
            <w:pPr>
              <w:pStyle w:val="Default"/>
              <w:rPr>
                <w:sz w:val="23"/>
                <w:szCs w:val="23"/>
              </w:rPr>
            </w:pPr>
            <w:r>
              <w:rPr>
                <w:sz w:val="23"/>
                <w:szCs w:val="23"/>
              </w:rPr>
              <w:t>Date:</w:t>
            </w:r>
          </w:p>
        </w:tc>
      </w:tr>
    </w:tbl>
    <w:p w:rsidR="00BF2F08" w:rsidRPr="00BF2F08" w:rsidRDefault="00BF2F08" w:rsidP="009F565C">
      <w:pPr>
        <w:ind w:right="480"/>
        <w:rPr>
          <w:rFonts w:ascii="Arial Rounded MT Bold" w:eastAsia="Arial Unicode MS" w:hAnsi="Arial Rounded MT Bold" w:cs="Arial"/>
          <w:sz w:val="22"/>
          <w:szCs w:val="22"/>
        </w:rPr>
      </w:pPr>
    </w:p>
    <w:sectPr w:rsidR="00BF2F08" w:rsidRPr="00BF2F08" w:rsidSect="001B7387">
      <w:footerReference w:type="default" r:id="rId10"/>
      <w:footnotePr>
        <w:numFmt w:val="chicago"/>
      </w:foot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6F" w:rsidRDefault="00D67D6F">
      <w:r>
        <w:separator/>
      </w:r>
    </w:p>
    <w:p w:rsidR="00D67D6F" w:rsidRDefault="00D67D6F"/>
  </w:endnote>
  <w:endnote w:type="continuationSeparator" w:id="0">
    <w:p w:rsidR="00D67D6F" w:rsidRDefault="00D67D6F">
      <w:r>
        <w:continuationSeparator/>
      </w:r>
    </w:p>
    <w:p w:rsidR="00D67D6F" w:rsidRDefault="00D67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C9" w:rsidRPr="005554A0" w:rsidRDefault="002562C9" w:rsidP="00903AF8">
    <w:pPr>
      <w:pStyle w:val="Footer"/>
      <w:pBdr>
        <w:top w:val="single" w:sz="4" w:space="1" w:color="auto"/>
      </w:pBdr>
      <w:rPr>
        <w:rFonts w:ascii="Times New Roman" w:hAnsi="Times New Roman" w:cs="Times New Roman"/>
        <w:b/>
        <w:sz w:val="16"/>
        <w:szCs w:val="16"/>
      </w:rPr>
    </w:pPr>
    <w:r>
      <w:rPr>
        <w:rFonts w:ascii="Times New Roman" w:hAnsi="Times New Roman" w:cs="Times New Roman"/>
        <w:sz w:val="16"/>
        <w:szCs w:val="16"/>
      </w:rPr>
      <w:t>Intergovernmental Agreement</w:t>
    </w:r>
    <w:r w:rsidRPr="00903AF8">
      <w:rPr>
        <w:rFonts w:ascii="Times New Roman" w:hAnsi="Times New Roman" w:cs="Times New Roman"/>
        <w:sz w:val="16"/>
        <w:szCs w:val="16"/>
      </w:rPr>
      <w:t xml:space="preserve"> for a National Exchange </w:t>
    </w:r>
    <w:r>
      <w:rPr>
        <w:rFonts w:ascii="Times New Roman" w:hAnsi="Times New Roman" w:cs="Times New Roman"/>
        <w:sz w:val="16"/>
        <w:szCs w:val="16"/>
      </w:rPr>
      <w:t xml:space="preserve">of Criminal History Information </w:t>
    </w:r>
    <w:r>
      <w:rPr>
        <w:rFonts w:ascii="Times New Roman" w:hAnsi="Times New Roman" w:cs="Times New Roman"/>
        <w:sz w:val="16"/>
        <w:szCs w:val="16"/>
      </w:rPr>
      <w:tab/>
      <w:t xml:space="preserve">page </w:t>
    </w:r>
    <w:r w:rsidRPr="00903AF8">
      <w:rPr>
        <w:rFonts w:ascii="Times New Roman" w:hAnsi="Times New Roman" w:cs="Times New Roman"/>
        <w:sz w:val="16"/>
        <w:szCs w:val="16"/>
      </w:rPr>
      <w:fldChar w:fldCharType="begin"/>
    </w:r>
    <w:r w:rsidRPr="00903AF8">
      <w:rPr>
        <w:rFonts w:ascii="Times New Roman" w:hAnsi="Times New Roman" w:cs="Times New Roman"/>
        <w:sz w:val="16"/>
        <w:szCs w:val="16"/>
      </w:rPr>
      <w:instrText xml:space="preserve"> PAGE </w:instrText>
    </w:r>
    <w:r w:rsidRPr="00903AF8">
      <w:rPr>
        <w:rFonts w:ascii="Times New Roman" w:hAnsi="Times New Roman" w:cs="Times New Roman"/>
        <w:sz w:val="16"/>
        <w:szCs w:val="16"/>
      </w:rPr>
      <w:fldChar w:fldCharType="separate"/>
    </w:r>
    <w:r w:rsidR="005578FA">
      <w:rPr>
        <w:rFonts w:ascii="Times New Roman" w:hAnsi="Times New Roman" w:cs="Times New Roman"/>
        <w:noProof/>
        <w:sz w:val="16"/>
        <w:szCs w:val="16"/>
      </w:rPr>
      <w:t>2</w:t>
    </w:r>
    <w:r w:rsidRPr="00903AF8">
      <w:rPr>
        <w:rFonts w:ascii="Times New Roman" w:hAnsi="Times New Roman" w:cs="Times New Roman"/>
        <w:sz w:val="16"/>
        <w:szCs w:val="16"/>
      </w:rPr>
      <w:fldChar w:fldCharType="end"/>
    </w:r>
    <w:r>
      <w:rPr>
        <w:rFonts w:ascii="Times New Roman" w:hAnsi="Times New Roman" w:cs="Times New Roman"/>
        <w:sz w:val="16"/>
        <w:szCs w:val="16"/>
      </w:rPr>
      <w:br/>
    </w:r>
    <w:r w:rsidRPr="00903AF8">
      <w:rPr>
        <w:rFonts w:ascii="Times New Roman" w:hAnsi="Times New Roman" w:cs="Times New Roman"/>
        <w:sz w:val="16"/>
        <w:szCs w:val="16"/>
      </w:rPr>
      <w:t>for People Working with Children</w:t>
    </w:r>
    <w:r w:rsidRPr="005554A0">
      <w:rPr>
        <w:rFonts w:ascii="Times New Roman" w:hAnsi="Times New Roman" w:cs="Times New Roman"/>
        <w:b/>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C9" w:rsidRPr="005554A0" w:rsidRDefault="002562C9" w:rsidP="006C286C">
    <w:pPr>
      <w:pStyle w:val="Footer"/>
      <w:pBdr>
        <w:top w:val="single" w:sz="4" w:space="1" w:color="auto"/>
      </w:pBdr>
      <w:rPr>
        <w:rFonts w:ascii="Times New Roman" w:hAnsi="Times New Roman" w:cs="Times New Roman"/>
        <w:b/>
        <w:sz w:val="16"/>
        <w:szCs w:val="16"/>
      </w:rPr>
    </w:pPr>
    <w:r>
      <w:rPr>
        <w:rFonts w:ascii="Times New Roman" w:hAnsi="Times New Roman" w:cs="Times New Roman"/>
        <w:sz w:val="16"/>
        <w:szCs w:val="16"/>
      </w:rPr>
      <w:t>Intergovernmental Agreement</w:t>
    </w:r>
    <w:r w:rsidRPr="00903AF8">
      <w:rPr>
        <w:rFonts w:ascii="Times New Roman" w:hAnsi="Times New Roman" w:cs="Times New Roman"/>
        <w:sz w:val="16"/>
        <w:szCs w:val="16"/>
      </w:rPr>
      <w:t xml:space="preserve"> for a National Exchange </w:t>
    </w:r>
    <w:r>
      <w:rPr>
        <w:rFonts w:ascii="Times New Roman" w:hAnsi="Times New Roman" w:cs="Times New Roman"/>
        <w:sz w:val="16"/>
        <w:szCs w:val="16"/>
      </w:rPr>
      <w:t xml:space="preserve">of Criminal History Information </w:t>
    </w:r>
    <w:r>
      <w:rPr>
        <w:rFonts w:ascii="Times New Roman" w:hAnsi="Times New Roman" w:cs="Times New Roman"/>
        <w:sz w:val="16"/>
        <w:szCs w:val="16"/>
      </w:rPr>
      <w:tab/>
      <w:t xml:space="preserve">page </w:t>
    </w:r>
    <w:r w:rsidRPr="00903AF8">
      <w:rPr>
        <w:rFonts w:ascii="Times New Roman" w:hAnsi="Times New Roman" w:cs="Times New Roman"/>
        <w:sz w:val="16"/>
        <w:szCs w:val="16"/>
      </w:rPr>
      <w:fldChar w:fldCharType="begin"/>
    </w:r>
    <w:r w:rsidRPr="00903AF8">
      <w:rPr>
        <w:rFonts w:ascii="Times New Roman" w:hAnsi="Times New Roman" w:cs="Times New Roman"/>
        <w:sz w:val="16"/>
        <w:szCs w:val="16"/>
      </w:rPr>
      <w:instrText xml:space="preserve"> PAGE </w:instrText>
    </w:r>
    <w:r w:rsidRPr="00903AF8">
      <w:rPr>
        <w:rFonts w:ascii="Times New Roman" w:hAnsi="Times New Roman" w:cs="Times New Roman"/>
        <w:sz w:val="16"/>
        <w:szCs w:val="16"/>
      </w:rPr>
      <w:fldChar w:fldCharType="separate"/>
    </w:r>
    <w:r w:rsidR="005578FA">
      <w:rPr>
        <w:rFonts w:ascii="Times New Roman" w:hAnsi="Times New Roman" w:cs="Times New Roman"/>
        <w:noProof/>
        <w:sz w:val="16"/>
        <w:szCs w:val="16"/>
      </w:rPr>
      <w:t>20</w:t>
    </w:r>
    <w:r w:rsidRPr="00903AF8">
      <w:rPr>
        <w:rFonts w:ascii="Times New Roman" w:hAnsi="Times New Roman" w:cs="Times New Roman"/>
        <w:sz w:val="16"/>
        <w:szCs w:val="16"/>
      </w:rPr>
      <w:fldChar w:fldCharType="end"/>
    </w:r>
    <w:r>
      <w:rPr>
        <w:rFonts w:ascii="Times New Roman" w:hAnsi="Times New Roman" w:cs="Times New Roman"/>
        <w:sz w:val="16"/>
        <w:szCs w:val="16"/>
      </w:rPr>
      <w:br/>
    </w:r>
    <w:r w:rsidRPr="00903AF8">
      <w:rPr>
        <w:rFonts w:ascii="Times New Roman" w:hAnsi="Times New Roman" w:cs="Times New Roman"/>
        <w:sz w:val="16"/>
        <w:szCs w:val="16"/>
      </w:rPr>
      <w:t>for People Working with Children</w:t>
    </w:r>
    <w:r w:rsidRPr="005554A0">
      <w:rPr>
        <w:rFonts w:ascii="Times New Roman" w:hAnsi="Times New Roman" w:cs="Times New Roman"/>
        <w:b/>
        <w:sz w:val="16"/>
        <w:szCs w:val="16"/>
      </w:rPr>
      <w:t xml:space="preserve"> </w:t>
    </w:r>
  </w:p>
  <w:p w:rsidR="002562C9" w:rsidRPr="005554A0" w:rsidRDefault="002562C9" w:rsidP="00903AF8">
    <w:pPr>
      <w:pStyle w:val="Footer"/>
      <w:pBdr>
        <w:top w:val="single" w:sz="4" w:space="1" w:color="auto"/>
      </w:pBdr>
      <w:rPr>
        <w:rFonts w:ascii="Times New Roman" w:hAnsi="Times New Roman" w:cs="Times New Roman"/>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6F" w:rsidRDefault="00D67D6F">
      <w:r>
        <w:separator/>
      </w:r>
    </w:p>
    <w:p w:rsidR="00D67D6F" w:rsidRDefault="00D67D6F"/>
  </w:footnote>
  <w:footnote w:type="continuationSeparator" w:id="0">
    <w:p w:rsidR="00D67D6F" w:rsidRDefault="00D67D6F">
      <w:r>
        <w:continuationSeparator/>
      </w:r>
    </w:p>
    <w:p w:rsidR="00D67D6F" w:rsidRDefault="00D67D6F"/>
  </w:footnote>
  <w:footnote w:id="1">
    <w:p w:rsidR="002562C9" w:rsidRPr="005051CB" w:rsidRDefault="002562C9" w:rsidP="009276A3">
      <w:pPr>
        <w:pStyle w:val="Recommendation"/>
        <w:spacing w:after="200"/>
        <w:rPr>
          <w:color w:val="000000"/>
        </w:rPr>
      </w:pPr>
      <w:r w:rsidRPr="005051CB">
        <w:rPr>
          <w:rStyle w:val="FootnoteReference"/>
          <w:b/>
        </w:rPr>
        <w:footnoteRef/>
      </w:r>
      <w:r w:rsidRPr="005051CB">
        <w:rPr>
          <w:b/>
        </w:rPr>
        <w:t xml:space="preserve"> </w:t>
      </w:r>
      <w:r>
        <w:rPr>
          <w:b/>
        </w:rPr>
        <w:tab/>
      </w:r>
      <w:r w:rsidRPr="005051CB">
        <w:rPr>
          <w:color w:val="000000"/>
        </w:rPr>
        <w:t xml:space="preserve">For the purposes of this </w:t>
      </w:r>
      <w:r>
        <w:rPr>
          <w:color w:val="000000"/>
        </w:rPr>
        <w:t>agreement</w:t>
      </w:r>
      <w:r w:rsidRPr="005051CB">
        <w:rPr>
          <w:color w:val="000000"/>
        </w:rPr>
        <w:t xml:space="preserve">, a mere change in the name of a unit listed above does not affect the unit’s continued participation in the exchange.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62F"/>
    <w:multiLevelType w:val="hybridMultilevel"/>
    <w:tmpl w:val="73806D32"/>
    <w:lvl w:ilvl="0" w:tplc="0C090001">
      <w:start w:val="1"/>
      <w:numFmt w:val="bullet"/>
      <w:lvlText w:val=""/>
      <w:lvlJc w:val="left"/>
      <w:pPr>
        <w:tabs>
          <w:tab w:val="num" w:pos="360"/>
        </w:tabs>
        <w:ind w:left="360" w:hanging="360"/>
      </w:pPr>
      <w:rPr>
        <w:rFonts w:ascii="Symbol" w:hAnsi="Symbol" w:hint="default"/>
      </w:rPr>
    </w:lvl>
    <w:lvl w:ilvl="1" w:tplc="9B74526E">
      <w:start w:val="1"/>
      <w:numFmt w:val="bullet"/>
      <w:pStyle w:val="Bullet2"/>
      <w:lvlText w:val=""/>
      <w:lvlJc w:val="left"/>
      <w:pPr>
        <w:tabs>
          <w:tab w:val="num" w:pos="1440"/>
        </w:tabs>
        <w:ind w:left="1440" w:hanging="360"/>
      </w:pPr>
      <w:rPr>
        <w:rFonts w:ascii="Wingdings" w:hAnsi="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9E3406D"/>
    <w:multiLevelType w:val="multilevel"/>
    <w:tmpl w:val="887C5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2566975"/>
    <w:multiLevelType w:val="hybridMultilevel"/>
    <w:tmpl w:val="1786E0AA"/>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347704A3"/>
    <w:multiLevelType w:val="multilevel"/>
    <w:tmpl w:val="64A8DA3A"/>
    <w:lvl w:ilvl="0">
      <w:start w:val="1"/>
      <w:numFmt w:val="decimal"/>
      <w:lvlText w:val="%1"/>
      <w:lvlJc w:val="left"/>
      <w:pPr>
        <w:tabs>
          <w:tab w:val="num" w:pos="360"/>
        </w:tabs>
        <w:ind w:left="360" w:hanging="360"/>
      </w:pPr>
      <w:rPr>
        <w:rFonts w:hint="default"/>
      </w:rPr>
    </w:lvl>
    <w:lvl w:ilvl="1">
      <w:start w:val="1"/>
      <w:numFmt w:val="decimal"/>
      <w:pStyle w:val="NormalBlack"/>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E62944"/>
    <w:multiLevelType w:val="hybridMultilevel"/>
    <w:tmpl w:val="788E815C"/>
    <w:lvl w:ilvl="0" w:tplc="A7526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810013C"/>
    <w:multiLevelType w:val="multilevel"/>
    <w:tmpl w:val="783C2D12"/>
    <w:lvl w:ilvl="0">
      <w:start w:val="1"/>
      <w:numFmt w:val="decimal"/>
      <w:pStyle w:val="ScheduleHeading"/>
      <w:suff w:val="space"/>
      <w:lvlText w:val="Schedule %1."/>
      <w:lvlJc w:val="left"/>
      <w:pPr>
        <w:ind w:left="-1134" w:firstLine="1134"/>
      </w:pPr>
      <w:rPr>
        <w:rFonts w:hint="default"/>
      </w:rPr>
    </w:lvl>
    <w:lvl w:ilvl="1">
      <w:start w:val="1"/>
      <w:numFmt w:val="upperLetter"/>
      <w:pStyle w:val="ScheduleLevel1"/>
      <w:lvlText w:val="%2."/>
      <w:lvlJc w:val="left"/>
      <w:pPr>
        <w:tabs>
          <w:tab w:val="num" w:pos="0"/>
        </w:tabs>
        <w:ind w:left="0" w:hanging="1134"/>
      </w:pPr>
      <w:rPr>
        <w:rFonts w:hint="default"/>
        <w:sz w:val="20"/>
      </w:rPr>
    </w:lvl>
    <w:lvl w:ilvl="2">
      <w:start w:val="1"/>
      <w:numFmt w:val="decimal"/>
      <w:lvlText w:val="%2.%3."/>
      <w:lvlJc w:val="left"/>
      <w:pPr>
        <w:tabs>
          <w:tab w:val="num" w:pos="0"/>
        </w:tabs>
        <w:ind w:left="0" w:hanging="1134"/>
      </w:pPr>
      <w:rPr>
        <w:rFonts w:hint="default"/>
        <w:sz w:val="20"/>
      </w:rPr>
    </w:lvl>
    <w:lvl w:ilvl="3">
      <w:start w:val="1"/>
      <w:numFmt w:val="decimal"/>
      <w:lvlText w:val="%2.%3.%4."/>
      <w:lvlJc w:val="left"/>
      <w:pPr>
        <w:tabs>
          <w:tab w:val="num" w:pos="1134"/>
        </w:tabs>
        <w:ind w:left="1134" w:hanging="1134"/>
      </w:pPr>
      <w:rPr>
        <w:rFonts w:hint="default"/>
        <w:sz w:val="20"/>
      </w:rPr>
    </w:lvl>
    <w:lvl w:ilvl="4">
      <w:start w:val="1"/>
      <w:numFmt w:val="lowerLetter"/>
      <w:lvlText w:val="%5."/>
      <w:lvlJc w:val="left"/>
      <w:pPr>
        <w:tabs>
          <w:tab w:val="num" w:pos="425"/>
        </w:tabs>
        <w:ind w:left="425" w:hanging="425"/>
      </w:pPr>
      <w:rPr>
        <w:rFonts w:hint="default"/>
      </w:rPr>
    </w:lvl>
    <w:lvl w:ilvl="5">
      <w:start w:val="1"/>
      <w:numFmt w:val="lowerLetter"/>
      <w:pStyle w:val="ScheduleLevel4"/>
      <w:lvlText w:val="%6."/>
      <w:lvlJc w:val="left"/>
      <w:pPr>
        <w:tabs>
          <w:tab w:val="num" w:pos="850"/>
        </w:tabs>
        <w:ind w:left="850" w:hanging="425"/>
      </w:pPr>
      <w:rPr>
        <w:rFonts w:hint="default"/>
      </w:rPr>
    </w:lvl>
    <w:lvl w:ilvl="6">
      <w:start w:val="1"/>
      <w:numFmt w:val="upperLetter"/>
      <w:pStyle w:val="ScheduleLevel6"/>
      <w:lvlText w:val="%6."/>
      <w:lvlJc w:val="left"/>
      <w:pPr>
        <w:tabs>
          <w:tab w:val="num" w:pos="850"/>
        </w:tabs>
        <w:ind w:left="850" w:hanging="425"/>
      </w:pPr>
      <w:rPr>
        <w:rFonts w:hint="default"/>
      </w:rPr>
    </w:lvl>
    <w:lvl w:ilvl="7">
      <w:start w:val="1"/>
      <w:numFmt w:val="upperLetter"/>
      <w:pStyle w:val="ScheduleLevel7"/>
      <w:lvlText w:val="%6."/>
      <w:lvlJc w:val="left"/>
      <w:pPr>
        <w:tabs>
          <w:tab w:val="num" w:pos="850"/>
        </w:tabs>
        <w:ind w:left="850" w:hanging="425"/>
      </w:pPr>
      <w:rPr>
        <w:rFonts w:hint="default"/>
      </w:rPr>
    </w:lvl>
    <w:lvl w:ilvl="8">
      <w:start w:val="1"/>
      <w:numFmt w:val="upperLetter"/>
      <w:pStyle w:val="ScheduleLevel8"/>
      <w:lvlText w:val="%6."/>
      <w:lvlJc w:val="left"/>
      <w:pPr>
        <w:tabs>
          <w:tab w:val="num" w:pos="850"/>
        </w:tabs>
        <w:ind w:left="850" w:hanging="425"/>
      </w:pPr>
      <w:rPr>
        <w:rFonts w:hint="default"/>
      </w:rPr>
    </w:lvl>
  </w:abstractNum>
  <w:abstractNum w:abstractNumId="6">
    <w:nsid w:val="38D8724D"/>
    <w:multiLevelType w:val="hybridMultilevel"/>
    <w:tmpl w:val="6E067390"/>
    <w:lvl w:ilvl="0" w:tplc="ABD46D64">
      <w:start w:val="1"/>
      <w:numFmt w:val="bullet"/>
      <w:pStyle w:val="SimmaryofIAs2bullets"/>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43DC0BD7"/>
    <w:multiLevelType w:val="hybridMultilevel"/>
    <w:tmpl w:val="B44EBD66"/>
    <w:lvl w:ilvl="0" w:tplc="ABD46D64">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4BEF43CF"/>
    <w:multiLevelType w:val="multilevel"/>
    <w:tmpl w:val="4D36732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rPr>
    </w:lvl>
    <w:lvl w:ilvl="2">
      <w:start w:val="1"/>
      <w:numFmt w:val="decimal"/>
      <w:lvlText w:val="%1.%2.%3."/>
      <w:lvlJc w:val="left"/>
      <w:pPr>
        <w:tabs>
          <w:tab w:val="num" w:pos="1430"/>
        </w:tabs>
        <w:ind w:left="121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F5A65D1"/>
    <w:multiLevelType w:val="multilevel"/>
    <w:tmpl w:val="9D94B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08841D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2251111"/>
    <w:multiLevelType w:val="hybridMultilevel"/>
    <w:tmpl w:val="C0645246"/>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5813159E"/>
    <w:multiLevelType w:val="hybridMultilevel"/>
    <w:tmpl w:val="9A123CF2"/>
    <w:lvl w:ilvl="0" w:tplc="0C0A2812">
      <w:start w:val="1"/>
      <w:numFmt w:val="bullet"/>
      <w:lvlText w:val=""/>
      <w:lvlJc w:val="left"/>
      <w:pPr>
        <w:tabs>
          <w:tab w:val="num" w:pos="360"/>
        </w:tabs>
        <w:ind w:left="360" w:hanging="360"/>
      </w:pPr>
      <w:rPr>
        <w:rFonts w:ascii="Symbol" w:hAnsi="Symbol" w:hint="default"/>
        <w:color w:val="auto"/>
      </w:rPr>
    </w:lvl>
    <w:lvl w:ilvl="1" w:tplc="0C090015">
      <w:start w:val="1"/>
      <w:numFmt w:val="upperLetter"/>
      <w:lvlText w:val="%2."/>
      <w:lvlJc w:val="left"/>
      <w:pPr>
        <w:tabs>
          <w:tab w:val="num" w:pos="1043"/>
        </w:tabs>
        <w:ind w:left="1043" w:hanging="360"/>
      </w:pPr>
      <w:rPr>
        <w:rFonts w:hint="default"/>
        <w:color w:val="auto"/>
      </w:rPr>
    </w:lvl>
    <w:lvl w:ilvl="2" w:tplc="0C090005" w:tentative="1">
      <w:start w:val="1"/>
      <w:numFmt w:val="bullet"/>
      <w:lvlText w:val=""/>
      <w:lvlJc w:val="left"/>
      <w:pPr>
        <w:tabs>
          <w:tab w:val="num" w:pos="1763"/>
        </w:tabs>
        <w:ind w:left="1763" w:hanging="360"/>
      </w:pPr>
      <w:rPr>
        <w:rFonts w:ascii="Wingdings" w:hAnsi="Wingdings" w:hint="default"/>
      </w:rPr>
    </w:lvl>
    <w:lvl w:ilvl="3" w:tplc="0C090001" w:tentative="1">
      <w:start w:val="1"/>
      <w:numFmt w:val="bullet"/>
      <w:lvlText w:val=""/>
      <w:lvlJc w:val="left"/>
      <w:pPr>
        <w:tabs>
          <w:tab w:val="num" w:pos="2483"/>
        </w:tabs>
        <w:ind w:left="2483" w:hanging="360"/>
      </w:pPr>
      <w:rPr>
        <w:rFonts w:ascii="Symbol" w:hAnsi="Symbol" w:hint="default"/>
      </w:rPr>
    </w:lvl>
    <w:lvl w:ilvl="4" w:tplc="0C090003" w:tentative="1">
      <w:start w:val="1"/>
      <w:numFmt w:val="bullet"/>
      <w:lvlText w:val="o"/>
      <w:lvlJc w:val="left"/>
      <w:pPr>
        <w:tabs>
          <w:tab w:val="num" w:pos="3203"/>
        </w:tabs>
        <w:ind w:left="3203" w:hanging="360"/>
      </w:pPr>
      <w:rPr>
        <w:rFonts w:ascii="Courier New" w:hAnsi="Courier New" w:cs="Courier New" w:hint="default"/>
      </w:rPr>
    </w:lvl>
    <w:lvl w:ilvl="5" w:tplc="0C090005" w:tentative="1">
      <w:start w:val="1"/>
      <w:numFmt w:val="bullet"/>
      <w:lvlText w:val=""/>
      <w:lvlJc w:val="left"/>
      <w:pPr>
        <w:tabs>
          <w:tab w:val="num" w:pos="3923"/>
        </w:tabs>
        <w:ind w:left="3923" w:hanging="360"/>
      </w:pPr>
      <w:rPr>
        <w:rFonts w:ascii="Wingdings" w:hAnsi="Wingdings" w:hint="default"/>
      </w:rPr>
    </w:lvl>
    <w:lvl w:ilvl="6" w:tplc="0C090001" w:tentative="1">
      <w:start w:val="1"/>
      <w:numFmt w:val="bullet"/>
      <w:lvlText w:val=""/>
      <w:lvlJc w:val="left"/>
      <w:pPr>
        <w:tabs>
          <w:tab w:val="num" w:pos="4643"/>
        </w:tabs>
        <w:ind w:left="4643" w:hanging="360"/>
      </w:pPr>
      <w:rPr>
        <w:rFonts w:ascii="Symbol" w:hAnsi="Symbol" w:hint="default"/>
      </w:rPr>
    </w:lvl>
    <w:lvl w:ilvl="7" w:tplc="0C090003" w:tentative="1">
      <w:start w:val="1"/>
      <w:numFmt w:val="bullet"/>
      <w:lvlText w:val="o"/>
      <w:lvlJc w:val="left"/>
      <w:pPr>
        <w:tabs>
          <w:tab w:val="num" w:pos="5363"/>
        </w:tabs>
        <w:ind w:left="5363" w:hanging="360"/>
      </w:pPr>
      <w:rPr>
        <w:rFonts w:ascii="Courier New" w:hAnsi="Courier New" w:cs="Courier New" w:hint="default"/>
      </w:rPr>
    </w:lvl>
    <w:lvl w:ilvl="8" w:tplc="0C090005" w:tentative="1">
      <w:start w:val="1"/>
      <w:numFmt w:val="bullet"/>
      <w:lvlText w:val=""/>
      <w:lvlJc w:val="left"/>
      <w:pPr>
        <w:tabs>
          <w:tab w:val="num" w:pos="6083"/>
        </w:tabs>
        <w:ind w:left="6083" w:hanging="360"/>
      </w:pPr>
      <w:rPr>
        <w:rFonts w:ascii="Wingdings" w:hAnsi="Wingdings" w:hint="default"/>
      </w:rPr>
    </w:lvl>
  </w:abstractNum>
  <w:abstractNum w:abstractNumId="13">
    <w:nsid w:val="61FF3234"/>
    <w:multiLevelType w:val="hybridMultilevel"/>
    <w:tmpl w:val="5A8E50C8"/>
    <w:lvl w:ilvl="0" w:tplc="0C090015">
      <w:start w:val="1"/>
      <w:numFmt w:val="upperLetter"/>
      <w:lvlText w:val="%1."/>
      <w:lvlJc w:val="left"/>
      <w:pPr>
        <w:tabs>
          <w:tab w:val="num" w:pos="360"/>
        </w:tabs>
        <w:ind w:left="360" w:hanging="360"/>
      </w:pPr>
      <w:rPr>
        <w:rFonts w:hint="default"/>
      </w:rPr>
    </w:lvl>
    <w:lvl w:ilvl="1" w:tplc="0C090003">
      <w:start w:val="1"/>
      <w:numFmt w:val="lowerLetter"/>
      <w:lvlText w:val="%2."/>
      <w:lvlJc w:val="left"/>
      <w:pPr>
        <w:tabs>
          <w:tab w:val="num" w:pos="1080"/>
        </w:tabs>
        <w:ind w:left="1080" w:hanging="360"/>
      </w:pPr>
    </w:lvl>
    <w:lvl w:ilvl="2" w:tplc="C64A850C">
      <w:start w:val="1"/>
      <w:numFmt w:val="lowerRoman"/>
      <w:lvlText w:val="(%3)"/>
      <w:lvlJc w:val="left"/>
      <w:pPr>
        <w:tabs>
          <w:tab w:val="num" w:pos="2340"/>
        </w:tabs>
        <w:ind w:left="2340" w:hanging="720"/>
      </w:pPr>
      <w:rPr>
        <w:rFonts w:hint="default"/>
      </w:r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4">
    <w:nsid w:val="63CF53DE"/>
    <w:multiLevelType w:val="multilevel"/>
    <w:tmpl w:val="DBC23762"/>
    <w:lvl w:ilvl="0">
      <w:start w:val="1"/>
      <w:numFmt w:val="lowerLetter"/>
      <w:pStyle w:val="Plainparaa"/>
      <w:lvlText w:val="%1."/>
      <w:lvlJc w:val="left"/>
      <w:pPr>
        <w:tabs>
          <w:tab w:val="num" w:pos="425"/>
        </w:tabs>
        <w:ind w:left="425" w:hanging="425"/>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F462E31"/>
    <w:multiLevelType w:val="hybridMultilevel"/>
    <w:tmpl w:val="6EFAFBA4"/>
    <w:lvl w:ilvl="0" w:tplc="EC007684">
      <w:start w:val="1"/>
      <w:numFmt w:val="lowerRoman"/>
      <w:lvlText w:val="(%1)"/>
      <w:lvlJc w:val="left"/>
      <w:pPr>
        <w:tabs>
          <w:tab w:val="num" w:pos="1979"/>
        </w:tabs>
        <w:ind w:left="197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A2716A"/>
    <w:multiLevelType w:val="hybridMultilevel"/>
    <w:tmpl w:val="90245A96"/>
    <w:lvl w:ilvl="0" w:tplc="EC007684">
      <w:start w:val="1"/>
      <w:numFmt w:val="lowerRoman"/>
      <w:lvlText w:val="(%1)"/>
      <w:lvlJc w:val="left"/>
      <w:pPr>
        <w:tabs>
          <w:tab w:val="num" w:pos="1979"/>
        </w:tabs>
        <w:ind w:left="197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C0359B"/>
    <w:multiLevelType w:val="hybridMultilevel"/>
    <w:tmpl w:val="497EC8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3083EB1"/>
    <w:multiLevelType w:val="hybridMultilevel"/>
    <w:tmpl w:val="1EB8CEFA"/>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rPr>
        <w:rFonts w:hint="default"/>
      </w:rPr>
    </w:lvl>
    <w:lvl w:ilvl="2" w:tplc="0C090005">
      <w:start w:val="1"/>
      <w:numFmt w:val="lowerLetter"/>
      <w:lvlText w:val="(%3.)"/>
      <w:lvlJc w:val="left"/>
      <w:pPr>
        <w:tabs>
          <w:tab w:val="num" w:pos="1830"/>
        </w:tabs>
        <w:ind w:left="1830" w:hanging="390"/>
      </w:pPr>
      <w:rPr>
        <w:rFont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74396CF2"/>
    <w:multiLevelType w:val="multilevel"/>
    <w:tmpl w:val="9D94B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rPr>
    </w:lvl>
    <w:lvl w:ilvl="2">
      <w:start w:val="1"/>
      <w:numFmt w:val="decimal"/>
      <w:lvlText w:val="%1.%2.%3."/>
      <w:lvlJc w:val="left"/>
      <w:pPr>
        <w:tabs>
          <w:tab w:val="num" w:pos="1430"/>
        </w:tabs>
        <w:ind w:left="121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9493739"/>
    <w:multiLevelType w:val="hybridMultilevel"/>
    <w:tmpl w:val="8C0C2DF0"/>
    <w:lvl w:ilvl="0" w:tplc="ABD46D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10"/>
  </w:num>
  <w:num w:numId="4">
    <w:abstractNumId w:val="5"/>
  </w:num>
  <w:num w:numId="5">
    <w:abstractNumId w:val="14"/>
  </w:num>
  <w:num w:numId="6">
    <w:abstractNumId w:val="6"/>
  </w:num>
  <w:num w:numId="7">
    <w:abstractNumId w:val="18"/>
  </w:num>
  <w:num w:numId="8">
    <w:abstractNumId w:val="7"/>
  </w:num>
  <w:num w:numId="9">
    <w:abstractNumId w:val="0"/>
  </w:num>
  <w:num w:numId="10">
    <w:abstractNumId w:val="9"/>
  </w:num>
  <w:num w:numId="11">
    <w:abstractNumId w:val="19"/>
  </w:num>
  <w:num w:numId="12">
    <w:abstractNumId w:val="12"/>
  </w:num>
  <w:num w:numId="13">
    <w:abstractNumId w:val="2"/>
  </w:num>
  <w:num w:numId="14">
    <w:abstractNumId w:val="20"/>
  </w:num>
  <w:num w:numId="15">
    <w:abstractNumId w:val="15"/>
  </w:num>
  <w:num w:numId="16">
    <w:abstractNumId w:val="16"/>
  </w:num>
  <w:num w:numId="17">
    <w:abstractNumId w:val="11"/>
  </w:num>
  <w:num w:numId="18">
    <w:abstractNumId w:val="8"/>
  </w:num>
  <w:num w:numId="19">
    <w:abstractNumId w:val="4"/>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82"/>
    <w:rsid w:val="00003CBC"/>
    <w:rsid w:val="0000547F"/>
    <w:rsid w:val="00005965"/>
    <w:rsid w:val="00005F6C"/>
    <w:rsid w:val="000072F1"/>
    <w:rsid w:val="0001064B"/>
    <w:rsid w:val="00013137"/>
    <w:rsid w:val="00017E0B"/>
    <w:rsid w:val="00020F6B"/>
    <w:rsid w:val="00021857"/>
    <w:rsid w:val="0002599D"/>
    <w:rsid w:val="00026D0E"/>
    <w:rsid w:val="00027F83"/>
    <w:rsid w:val="00030ABB"/>
    <w:rsid w:val="00031A11"/>
    <w:rsid w:val="00032220"/>
    <w:rsid w:val="00033702"/>
    <w:rsid w:val="00035F43"/>
    <w:rsid w:val="00037A0D"/>
    <w:rsid w:val="00037D3A"/>
    <w:rsid w:val="000402ED"/>
    <w:rsid w:val="00041CD4"/>
    <w:rsid w:val="00043F77"/>
    <w:rsid w:val="00044472"/>
    <w:rsid w:val="00044678"/>
    <w:rsid w:val="00045969"/>
    <w:rsid w:val="00046776"/>
    <w:rsid w:val="00050F4E"/>
    <w:rsid w:val="00051299"/>
    <w:rsid w:val="00053018"/>
    <w:rsid w:val="00055C2E"/>
    <w:rsid w:val="0006091D"/>
    <w:rsid w:val="0006378E"/>
    <w:rsid w:val="000659C9"/>
    <w:rsid w:val="00066CF8"/>
    <w:rsid w:val="000679A2"/>
    <w:rsid w:val="00070CEB"/>
    <w:rsid w:val="00071DCB"/>
    <w:rsid w:val="000763CF"/>
    <w:rsid w:val="000770AD"/>
    <w:rsid w:val="00077141"/>
    <w:rsid w:val="00082BA0"/>
    <w:rsid w:val="0008454A"/>
    <w:rsid w:val="000900A8"/>
    <w:rsid w:val="00091C29"/>
    <w:rsid w:val="000924B2"/>
    <w:rsid w:val="00092973"/>
    <w:rsid w:val="000931BA"/>
    <w:rsid w:val="0009484C"/>
    <w:rsid w:val="00094E0A"/>
    <w:rsid w:val="00097467"/>
    <w:rsid w:val="000A14F3"/>
    <w:rsid w:val="000A1884"/>
    <w:rsid w:val="000A1D7E"/>
    <w:rsid w:val="000A2AA4"/>
    <w:rsid w:val="000A4F25"/>
    <w:rsid w:val="000A530E"/>
    <w:rsid w:val="000A56EE"/>
    <w:rsid w:val="000A7723"/>
    <w:rsid w:val="000A7D17"/>
    <w:rsid w:val="000B0A72"/>
    <w:rsid w:val="000B1836"/>
    <w:rsid w:val="000B288C"/>
    <w:rsid w:val="000B4565"/>
    <w:rsid w:val="000C16BC"/>
    <w:rsid w:val="000C19DB"/>
    <w:rsid w:val="000C21E7"/>
    <w:rsid w:val="000C6DA1"/>
    <w:rsid w:val="000D1B78"/>
    <w:rsid w:val="000D41FB"/>
    <w:rsid w:val="000D4B6A"/>
    <w:rsid w:val="000D6B47"/>
    <w:rsid w:val="000D6FD4"/>
    <w:rsid w:val="000D745B"/>
    <w:rsid w:val="000D7B99"/>
    <w:rsid w:val="000E00BE"/>
    <w:rsid w:val="000E40AB"/>
    <w:rsid w:val="000E4325"/>
    <w:rsid w:val="000E4DEC"/>
    <w:rsid w:val="000F3B06"/>
    <w:rsid w:val="000F4525"/>
    <w:rsid w:val="000F53AC"/>
    <w:rsid w:val="000F53F3"/>
    <w:rsid w:val="000F5B46"/>
    <w:rsid w:val="000F7383"/>
    <w:rsid w:val="00100B9D"/>
    <w:rsid w:val="00100EA9"/>
    <w:rsid w:val="0010134D"/>
    <w:rsid w:val="0010146C"/>
    <w:rsid w:val="00102C82"/>
    <w:rsid w:val="00110436"/>
    <w:rsid w:val="00112411"/>
    <w:rsid w:val="001138D2"/>
    <w:rsid w:val="00113AB9"/>
    <w:rsid w:val="00115F01"/>
    <w:rsid w:val="00117DCA"/>
    <w:rsid w:val="00120472"/>
    <w:rsid w:val="00120DB3"/>
    <w:rsid w:val="00121FE3"/>
    <w:rsid w:val="0012383D"/>
    <w:rsid w:val="00124D9A"/>
    <w:rsid w:val="0012708E"/>
    <w:rsid w:val="00137157"/>
    <w:rsid w:val="0013756D"/>
    <w:rsid w:val="00142F3D"/>
    <w:rsid w:val="00146E95"/>
    <w:rsid w:val="001533FA"/>
    <w:rsid w:val="00155F34"/>
    <w:rsid w:val="001577EB"/>
    <w:rsid w:val="00161EC4"/>
    <w:rsid w:val="0016315A"/>
    <w:rsid w:val="00164811"/>
    <w:rsid w:val="00166291"/>
    <w:rsid w:val="00172104"/>
    <w:rsid w:val="0017232F"/>
    <w:rsid w:val="001752A0"/>
    <w:rsid w:val="001779A7"/>
    <w:rsid w:val="00177D03"/>
    <w:rsid w:val="00177EE7"/>
    <w:rsid w:val="001800A9"/>
    <w:rsid w:val="00185990"/>
    <w:rsid w:val="001916FA"/>
    <w:rsid w:val="00194963"/>
    <w:rsid w:val="00195B9C"/>
    <w:rsid w:val="00197B8C"/>
    <w:rsid w:val="001A095C"/>
    <w:rsid w:val="001A2571"/>
    <w:rsid w:val="001A3917"/>
    <w:rsid w:val="001A7F40"/>
    <w:rsid w:val="001B0726"/>
    <w:rsid w:val="001B45BB"/>
    <w:rsid w:val="001B5D6B"/>
    <w:rsid w:val="001B6130"/>
    <w:rsid w:val="001B6527"/>
    <w:rsid w:val="001B7387"/>
    <w:rsid w:val="001C1C13"/>
    <w:rsid w:val="001C1F0C"/>
    <w:rsid w:val="001C2EE1"/>
    <w:rsid w:val="001D1493"/>
    <w:rsid w:val="001D2830"/>
    <w:rsid w:val="001D35E2"/>
    <w:rsid w:val="001D45DA"/>
    <w:rsid w:val="001D626D"/>
    <w:rsid w:val="001D6B8C"/>
    <w:rsid w:val="001D75B5"/>
    <w:rsid w:val="001E0379"/>
    <w:rsid w:val="001E3771"/>
    <w:rsid w:val="001E3ABE"/>
    <w:rsid w:val="001E55B3"/>
    <w:rsid w:val="001F0DF5"/>
    <w:rsid w:val="001F31E2"/>
    <w:rsid w:val="001F4614"/>
    <w:rsid w:val="001F4EE5"/>
    <w:rsid w:val="001F5264"/>
    <w:rsid w:val="002006F1"/>
    <w:rsid w:val="002026FF"/>
    <w:rsid w:val="00202A35"/>
    <w:rsid w:val="0020570D"/>
    <w:rsid w:val="00210B88"/>
    <w:rsid w:val="0021264A"/>
    <w:rsid w:val="002140EF"/>
    <w:rsid w:val="00216155"/>
    <w:rsid w:val="00216453"/>
    <w:rsid w:val="002167A6"/>
    <w:rsid w:val="0021784B"/>
    <w:rsid w:val="0022078D"/>
    <w:rsid w:val="00220D92"/>
    <w:rsid w:val="002233F2"/>
    <w:rsid w:val="00226739"/>
    <w:rsid w:val="00230F66"/>
    <w:rsid w:val="00233136"/>
    <w:rsid w:val="0023577B"/>
    <w:rsid w:val="00240A5E"/>
    <w:rsid w:val="00240F45"/>
    <w:rsid w:val="002424F2"/>
    <w:rsid w:val="00243210"/>
    <w:rsid w:val="0024445D"/>
    <w:rsid w:val="00244864"/>
    <w:rsid w:val="00244997"/>
    <w:rsid w:val="002464D1"/>
    <w:rsid w:val="00246D44"/>
    <w:rsid w:val="0025277B"/>
    <w:rsid w:val="0025457D"/>
    <w:rsid w:val="002547E4"/>
    <w:rsid w:val="00255F85"/>
    <w:rsid w:val="002562C9"/>
    <w:rsid w:val="002617A3"/>
    <w:rsid w:val="00261A59"/>
    <w:rsid w:val="00261FDF"/>
    <w:rsid w:val="002654A1"/>
    <w:rsid w:val="002660A2"/>
    <w:rsid w:val="00266C1D"/>
    <w:rsid w:val="002708EC"/>
    <w:rsid w:val="00272032"/>
    <w:rsid w:val="0027275E"/>
    <w:rsid w:val="00272DC5"/>
    <w:rsid w:val="00275992"/>
    <w:rsid w:val="0027608B"/>
    <w:rsid w:val="002772E6"/>
    <w:rsid w:val="00277D62"/>
    <w:rsid w:val="00280243"/>
    <w:rsid w:val="00284920"/>
    <w:rsid w:val="002870EC"/>
    <w:rsid w:val="00290EEA"/>
    <w:rsid w:val="00291454"/>
    <w:rsid w:val="002917D8"/>
    <w:rsid w:val="00291FF5"/>
    <w:rsid w:val="00292520"/>
    <w:rsid w:val="002932BA"/>
    <w:rsid w:val="00293675"/>
    <w:rsid w:val="00296927"/>
    <w:rsid w:val="00297BF9"/>
    <w:rsid w:val="00297DD5"/>
    <w:rsid w:val="002A2003"/>
    <w:rsid w:val="002A2C6C"/>
    <w:rsid w:val="002A4A99"/>
    <w:rsid w:val="002A4C74"/>
    <w:rsid w:val="002A5948"/>
    <w:rsid w:val="002A5EF6"/>
    <w:rsid w:val="002A7B49"/>
    <w:rsid w:val="002B270F"/>
    <w:rsid w:val="002B3121"/>
    <w:rsid w:val="002B3124"/>
    <w:rsid w:val="002B326C"/>
    <w:rsid w:val="002B4083"/>
    <w:rsid w:val="002B4E05"/>
    <w:rsid w:val="002B51A4"/>
    <w:rsid w:val="002B6DAD"/>
    <w:rsid w:val="002C02A4"/>
    <w:rsid w:val="002C045D"/>
    <w:rsid w:val="002C08F7"/>
    <w:rsid w:val="002C1BFF"/>
    <w:rsid w:val="002C2C04"/>
    <w:rsid w:val="002C3C3D"/>
    <w:rsid w:val="002C4254"/>
    <w:rsid w:val="002C5CC4"/>
    <w:rsid w:val="002D3422"/>
    <w:rsid w:val="002D3B56"/>
    <w:rsid w:val="002D62AC"/>
    <w:rsid w:val="002D655C"/>
    <w:rsid w:val="002D75B4"/>
    <w:rsid w:val="002E020C"/>
    <w:rsid w:val="002E1AF8"/>
    <w:rsid w:val="002E207C"/>
    <w:rsid w:val="002E4393"/>
    <w:rsid w:val="002E46CC"/>
    <w:rsid w:val="002E5C3B"/>
    <w:rsid w:val="002F0769"/>
    <w:rsid w:val="002F1E59"/>
    <w:rsid w:val="002F249D"/>
    <w:rsid w:val="002F718E"/>
    <w:rsid w:val="002F7BD0"/>
    <w:rsid w:val="002F7ED7"/>
    <w:rsid w:val="003023B6"/>
    <w:rsid w:val="00302963"/>
    <w:rsid w:val="003070F3"/>
    <w:rsid w:val="003135B6"/>
    <w:rsid w:val="00322251"/>
    <w:rsid w:val="00323953"/>
    <w:rsid w:val="00325F87"/>
    <w:rsid w:val="00327F6E"/>
    <w:rsid w:val="003321A3"/>
    <w:rsid w:val="003330EB"/>
    <w:rsid w:val="003336FA"/>
    <w:rsid w:val="00333C70"/>
    <w:rsid w:val="0033666D"/>
    <w:rsid w:val="00341006"/>
    <w:rsid w:val="00341630"/>
    <w:rsid w:val="003417CA"/>
    <w:rsid w:val="00342C43"/>
    <w:rsid w:val="003474A2"/>
    <w:rsid w:val="00347975"/>
    <w:rsid w:val="0035022E"/>
    <w:rsid w:val="00350793"/>
    <w:rsid w:val="0036158B"/>
    <w:rsid w:val="00361B12"/>
    <w:rsid w:val="003626C9"/>
    <w:rsid w:val="00364D4E"/>
    <w:rsid w:val="003662BF"/>
    <w:rsid w:val="0036653B"/>
    <w:rsid w:val="00366827"/>
    <w:rsid w:val="003668D4"/>
    <w:rsid w:val="00366D2F"/>
    <w:rsid w:val="00370BCF"/>
    <w:rsid w:val="00370C7E"/>
    <w:rsid w:val="00371463"/>
    <w:rsid w:val="00372B06"/>
    <w:rsid w:val="00375230"/>
    <w:rsid w:val="00375594"/>
    <w:rsid w:val="00377ECB"/>
    <w:rsid w:val="00380442"/>
    <w:rsid w:val="00382745"/>
    <w:rsid w:val="00383B63"/>
    <w:rsid w:val="0038465B"/>
    <w:rsid w:val="00386FAF"/>
    <w:rsid w:val="00390366"/>
    <w:rsid w:val="00391170"/>
    <w:rsid w:val="003924A2"/>
    <w:rsid w:val="00396FAC"/>
    <w:rsid w:val="003A0318"/>
    <w:rsid w:val="003A0959"/>
    <w:rsid w:val="003A2188"/>
    <w:rsid w:val="003A25D8"/>
    <w:rsid w:val="003A33F1"/>
    <w:rsid w:val="003A3EA6"/>
    <w:rsid w:val="003A3EE9"/>
    <w:rsid w:val="003A40AA"/>
    <w:rsid w:val="003A4294"/>
    <w:rsid w:val="003A6267"/>
    <w:rsid w:val="003A6D08"/>
    <w:rsid w:val="003B27D0"/>
    <w:rsid w:val="003B40B1"/>
    <w:rsid w:val="003B514C"/>
    <w:rsid w:val="003C0743"/>
    <w:rsid w:val="003C1BB7"/>
    <w:rsid w:val="003C2A70"/>
    <w:rsid w:val="003C3172"/>
    <w:rsid w:val="003C43DC"/>
    <w:rsid w:val="003C60A8"/>
    <w:rsid w:val="003C7E06"/>
    <w:rsid w:val="003C7FC2"/>
    <w:rsid w:val="003C7FDA"/>
    <w:rsid w:val="003D1238"/>
    <w:rsid w:val="003D124E"/>
    <w:rsid w:val="003D1F2A"/>
    <w:rsid w:val="003E0257"/>
    <w:rsid w:val="003E3478"/>
    <w:rsid w:val="003F0A29"/>
    <w:rsid w:val="003F0A39"/>
    <w:rsid w:val="003F0F06"/>
    <w:rsid w:val="003F0F27"/>
    <w:rsid w:val="003F34E0"/>
    <w:rsid w:val="003F4F78"/>
    <w:rsid w:val="003F7357"/>
    <w:rsid w:val="00402768"/>
    <w:rsid w:val="004065F5"/>
    <w:rsid w:val="00410237"/>
    <w:rsid w:val="004109C5"/>
    <w:rsid w:val="00410AC8"/>
    <w:rsid w:val="004150A5"/>
    <w:rsid w:val="00415345"/>
    <w:rsid w:val="00415C30"/>
    <w:rsid w:val="00416AE1"/>
    <w:rsid w:val="004204F2"/>
    <w:rsid w:val="0042414F"/>
    <w:rsid w:val="00425DED"/>
    <w:rsid w:val="004269C7"/>
    <w:rsid w:val="00432A5F"/>
    <w:rsid w:val="00434271"/>
    <w:rsid w:val="00434A48"/>
    <w:rsid w:val="0043554E"/>
    <w:rsid w:val="00435611"/>
    <w:rsid w:val="00440082"/>
    <w:rsid w:val="0044064C"/>
    <w:rsid w:val="00441B4B"/>
    <w:rsid w:val="00441DFC"/>
    <w:rsid w:val="00443C65"/>
    <w:rsid w:val="00445A9A"/>
    <w:rsid w:val="00447BAC"/>
    <w:rsid w:val="00455480"/>
    <w:rsid w:val="00455947"/>
    <w:rsid w:val="00455BD0"/>
    <w:rsid w:val="004625B3"/>
    <w:rsid w:val="0046338E"/>
    <w:rsid w:val="004633C8"/>
    <w:rsid w:val="004636AB"/>
    <w:rsid w:val="00465E0A"/>
    <w:rsid w:val="00467AEC"/>
    <w:rsid w:val="004702CA"/>
    <w:rsid w:val="004703A9"/>
    <w:rsid w:val="00470744"/>
    <w:rsid w:val="00471165"/>
    <w:rsid w:val="0047197D"/>
    <w:rsid w:val="0047204F"/>
    <w:rsid w:val="00472926"/>
    <w:rsid w:val="004739BC"/>
    <w:rsid w:val="004746CC"/>
    <w:rsid w:val="00476CC7"/>
    <w:rsid w:val="0048040A"/>
    <w:rsid w:val="00480F02"/>
    <w:rsid w:val="00481A7D"/>
    <w:rsid w:val="00481CA8"/>
    <w:rsid w:val="00483D7E"/>
    <w:rsid w:val="00484199"/>
    <w:rsid w:val="004854EE"/>
    <w:rsid w:val="00490516"/>
    <w:rsid w:val="00491A96"/>
    <w:rsid w:val="00491B03"/>
    <w:rsid w:val="00495CF0"/>
    <w:rsid w:val="0049622A"/>
    <w:rsid w:val="004A3168"/>
    <w:rsid w:val="004A5E4F"/>
    <w:rsid w:val="004A5ED8"/>
    <w:rsid w:val="004A6322"/>
    <w:rsid w:val="004B2E51"/>
    <w:rsid w:val="004B6F5D"/>
    <w:rsid w:val="004B790F"/>
    <w:rsid w:val="004B7C9C"/>
    <w:rsid w:val="004C2A9F"/>
    <w:rsid w:val="004C3272"/>
    <w:rsid w:val="004C5BC8"/>
    <w:rsid w:val="004C6803"/>
    <w:rsid w:val="004D0C33"/>
    <w:rsid w:val="004D28BC"/>
    <w:rsid w:val="004D40DA"/>
    <w:rsid w:val="004D7B47"/>
    <w:rsid w:val="004E0F06"/>
    <w:rsid w:val="004E31FC"/>
    <w:rsid w:val="004E3D42"/>
    <w:rsid w:val="004E581C"/>
    <w:rsid w:val="004E5F5C"/>
    <w:rsid w:val="004E6BE0"/>
    <w:rsid w:val="004E70BE"/>
    <w:rsid w:val="004F0BB5"/>
    <w:rsid w:val="004F1BCA"/>
    <w:rsid w:val="004F4124"/>
    <w:rsid w:val="004F44F6"/>
    <w:rsid w:val="00500A65"/>
    <w:rsid w:val="00504144"/>
    <w:rsid w:val="00504996"/>
    <w:rsid w:val="005051CB"/>
    <w:rsid w:val="00506341"/>
    <w:rsid w:val="0051167B"/>
    <w:rsid w:val="00511BD8"/>
    <w:rsid w:val="00511FB7"/>
    <w:rsid w:val="005148A1"/>
    <w:rsid w:val="00520988"/>
    <w:rsid w:val="00520A24"/>
    <w:rsid w:val="00521BC0"/>
    <w:rsid w:val="0052227D"/>
    <w:rsid w:val="00522D08"/>
    <w:rsid w:val="005245F1"/>
    <w:rsid w:val="00524608"/>
    <w:rsid w:val="0052512D"/>
    <w:rsid w:val="005273D4"/>
    <w:rsid w:val="00527D48"/>
    <w:rsid w:val="00530C76"/>
    <w:rsid w:val="0053241E"/>
    <w:rsid w:val="00533558"/>
    <w:rsid w:val="00535749"/>
    <w:rsid w:val="005368FB"/>
    <w:rsid w:val="005414D2"/>
    <w:rsid w:val="005429A0"/>
    <w:rsid w:val="00545EFD"/>
    <w:rsid w:val="005472D8"/>
    <w:rsid w:val="005508B7"/>
    <w:rsid w:val="005515BB"/>
    <w:rsid w:val="00551D08"/>
    <w:rsid w:val="00552254"/>
    <w:rsid w:val="00552FDF"/>
    <w:rsid w:val="00553940"/>
    <w:rsid w:val="005541C6"/>
    <w:rsid w:val="00554D77"/>
    <w:rsid w:val="005554A0"/>
    <w:rsid w:val="005562A0"/>
    <w:rsid w:val="005578FA"/>
    <w:rsid w:val="005578FE"/>
    <w:rsid w:val="00561E4A"/>
    <w:rsid w:val="00563357"/>
    <w:rsid w:val="00563482"/>
    <w:rsid w:val="0056399C"/>
    <w:rsid w:val="00564EB0"/>
    <w:rsid w:val="005703F5"/>
    <w:rsid w:val="00580764"/>
    <w:rsid w:val="0058324C"/>
    <w:rsid w:val="00584447"/>
    <w:rsid w:val="00584F6A"/>
    <w:rsid w:val="005877F4"/>
    <w:rsid w:val="00587C5B"/>
    <w:rsid w:val="0059027C"/>
    <w:rsid w:val="005907B5"/>
    <w:rsid w:val="00592D34"/>
    <w:rsid w:val="005932B2"/>
    <w:rsid w:val="005A0A5D"/>
    <w:rsid w:val="005A42BD"/>
    <w:rsid w:val="005B0858"/>
    <w:rsid w:val="005B1E98"/>
    <w:rsid w:val="005B1E9A"/>
    <w:rsid w:val="005B29C9"/>
    <w:rsid w:val="005B2D38"/>
    <w:rsid w:val="005B2D90"/>
    <w:rsid w:val="005B2FF9"/>
    <w:rsid w:val="005B3FD1"/>
    <w:rsid w:val="005C08C9"/>
    <w:rsid w:val="005C1E4C"/>
    <w:rsid w:val="005C35C8"/>
    <w:rsid w:val="005C4BFD"/>
    <w:rsid w:val="005D237D"/>
    <w:rsid w:val="005D2772"/>
    <w:rsid w:val="005D2AF1"/>
    <w:rsid w:val="005D6443"/>
    <w:rsid w:val="005E1298"/>
    <w:rsid w:val="005E280C"/>
    <w:rsid w:val="005E2A55"/>
    <w:rsid w:val="005F099B"/>
    <w:rsid w:val="005F4656"/>
    <w:rsid w:val="005F59F7"/>
    <w:rsid w:val="005F5FBA"/>
    <w:rsid w:val="006001D5"/>
    <w:rsid w:val="00604031"/>
    <w:rsid w:val="0060588D"/>
    <w:rsid w:val="006100B3"/>
    <w:rsid w:val="00610C71"/>
    <w:rsid w:val="00611F07"/>
    <w:rsid w:val="0061267C"/>
    <w:rsid w:val="00614E6F"/>
    <w:rsid w:val="006154FB"/>
    <w:rsid w:val="0061640B"/>
    <w:rsid w:val="00616B05"/>
    <w:rsid w:val="00621426"/>
    <w:rsid w:val="00622035"/>
    <w:rsid w:val="00623988"/>
    <w:rsid w:val="00630AC5"/>
    <w:rsid w:val="00630F63"/>
    <w:rsid w:val="006311AB"/>
    <w:rsid w:val="00631F12"/>
    <w:rsid w:val="0063293B"/>
    <w:rsid w:val="00633AD1"/>
    <w:rsid w:val="006370A3"/>
    <w:rsid w:val="00644A8E"/>
    <w:rsid w:val="00646FF1"/>
    <w:rsid w:val="006476E6"/>
    <w:rsid w:val="00647F39"/>
    <w:rsid w:val="006507C9"/>
    <w:rsid w:val="00654794"/>
    <w:rsid w:val="0065725D"/>
    <w:rsid w:val="00664241"/>
    <w:rsid w:val="00671985"/>
    <w:rsid w:val="00671EFB"/>
    <w:rsid w:val="006829BF"/>
    <w:rsid w:val="006863B1"/>
    <w:rsid w:val="006905BA"/>
    <w:rsid w:val="0069456D"/>
    <w:rsid w:val="00694A91"/>
    <w:rsid w:val="00695F8D"/>
    <w:rsid w:val="00697A99"/>
    <w:rsid w:val="006A1633"/>
    <w:rsid w:val="006A16FD"/>
    <w:rsid w:val="006A25AE"/>
    <w:rsid w:val="006A3E39"/>
    <w:rsid w:val="006A4112"/>
    <w:rsid w:val="006A65D3"/>
    <w:rsid w:val="006A761D"/>
    <w:rsid w:val="006B0935"/>
    <w:rsid w:val="006B1643"/>
    <w:rsid w:val="006B2787"/>
    <w:rsid w:val="006B3BC0"/>
    <w:rsid w:val="006C006E"/>
    <w:rsid w:val="006C131F"/>
    <w:rsid w:val="006C286C"/>
    <w:rsid w:val="006C33FA"/>
    <w:rsid w:val="006C3E07"/>
    <w:rsid w:val="006C43C1"/>
    <w:rsid w:val="006C4D0D"/>
    <w:rsid w:val="006C66A0"/>
    <w:rsid w:val="006C7D42"/>
    <w:rsid w:val="006D09C6"/>
    <w:rsid w:val="006D242A"/>
    <w:rsid w:val="006D4264"/>
    <w:rsid w:val="006D5039"/>
    <w:rsid w:val="006D5696"/>
    <w:rsid w:val="006D627A"/>
    <w:rsid w:val="006D7B75"/>
    <w:rsid w:val="006E5C64"/>
    <w:rsid w:val="006F3B2F"/>
    <w:rsid w:val="006F3E24"/>
    <w:rsid w:val="006F617A"/>
    <w:rsid w:val="006F6AE1"/>
    <w:rsid w:val="00704E52"/>
    <w:rsid w:val="00705D84"/>
    <w:rsid w:val="0070620F"/>
    <w:rsid w:val="00707596"/>
    <w:rsid w:val="007129A0"/>
    <w:rsid w:val="007132DD"/>
    <w:rsid w:val="007153BE"/>
    <w:rsid w:val="007159AB"/>
    <w:rsid w:val="00716B7A"/>
    <w:rsid w:val="00717515"/>
    <w:rsid w:val="0072386E"/>
    <w:rsid w:val="00725F0D"/>
    <w:rsid w:val="007265AC"/>
    <w:rsid w:val="00726CC7"/>
    <w:rsid w:val="0073058D"/>
    <w:rsid w:val="00732A11"/>
    <w:rsid w:val="00732E3B"/>
    <w:rsid w:val="00732F54"/>
    <w:rsid w:val="00733EEB"/>
    <w:rsid w:val="00735680"/>
    <w:rsid w:val="00736E44"/>
    <w:rsid w:val="0073763D"/>
    <w:rsid w:val="007379BE"/>
    <w:rsid w:val="00737C18"/>
    <w:rsid w:val="00740BA8"/>
    <w:rsid w:val="00742721"/>
    <w:rsid w:val="00744C71"/>
    <w:rsid w:val="00744E05"/>
    <w:rsid w:val="007473BA"/>
    <w:rsid w:val="007528F0"/>
    <w:rsid w:val="00753667"/>
    <w:rsid w:val="00753915"/>
    <w:rsid w:val="00757255"/>
    <w:rsid w:val="00760644"/>
    <w:rsid w:val="00760882"/>
    <w:rsid w:val="007628C9"/>
    <w:rsid w:val="00764431"/>
    <w:rsid w:val="00766B58"/>
    <w:rsid w:val="00766DD2"/>
    <w:rsid w:val="00766E7C"/>
    <w:rsid w:val="00767975"/>
    <w:rsid w:val="00773F14"/>
    <w:rsid w:val="00774AE9"/>
    <w:rsid w:val="00775A28"/>
    <w:rsid w:val="0077783F"/>
    <w:rsid w:val="007819C2"/>
    <w:rsid w:val="007834EB"/>
    <w:rsid w:val="00783E3B"/>
    <w:rsid w:val="00785E12"/>
    <w:rsid w:val="00787406"/>
    <w:rsid w:val="00790429"/>
    <w:rsid w:val="00792B0B"/>
    <w:rsid w:val="007931FB"/>
    <w:rsid w:val="00793428"/>
    <w:rsid w:val="00795C28"/>
    <w:rsid w:val="007963F8"/>
    <w:rsid w:val="00796694"/>
    <w:rsid w:val="007A025D"/>
    <w:rsid w:val="007A07BA"/>
    <w:rsid w:val="007A0B8C"/>
    <w:rsid w:val="007A0DDE"/>
    <w:rsid w:val="007A286D"/>
    <w:rsid w:val="007A2CDD"/>
    <w:rsid w:val="007A3AA1"/>
    <w:rsid w:val="007A561B"/>
    <w:rsid w:val="007B1961"/>
    <w:rsid w:val="007B22BC"/>
    <w:rsid w:val="007B5B51"/>
    <w:rsid w:val="007C1F5E"/>
    <w:rsid w:val="007D0372"/>
    <w:rsid w:val="007D4A14"/>
    <w:rsid w:val="007D7553"/>
    <w:rsid w:val="007E157C"/>
    <w:rsid w:val="007E5F50"/>
    <w:rsid w:val="007E6793"/>
    <w:rsid w:val="007E7EB6"/>
    <w:rsid w:val="007F55C1"/>
    <w:rsid w:val="008037CD"/>
    <w:rsid w:val="00805F10"/>
    <w:rsid w:val="008065CB"/>
    <w:rsid w:val="008077D4"/>
    <w:rsid w:val="00814251"/>
    <w:rsid w:val="00814CA0"/>
    <w:rsid w:val="008156D6"/>
    <w:rsid w:val="00816C1B"/>
    <w:rsid w:val="00816D40"/>
    <w:rsid w:val="00821FF3"/>
    <w:rsid w:val="0082322B"/>
    <w:rsid w:val="00826C72"/>
    <w:rsid w:val="008346D1"/>
    <w:rsid w:val="008438E2"/>
    <w:rsid w:val="00845B70"/>
    <w:rsid w:val="008467B2"/>
    <w:rsid w:val="00847597"/>
    <w:rsid w:val="00847662"/>
    <w:rsid w:val="008554C8"/>
    <w:rsid w:val="008558FC"/>
    <w:rsid w:val="008567B4"/>
    <w:rsid w:val="00856D98"/>
    <w:rsid w:val="00860DF0"/>
    <w:rsid w:val="00862464"/>
    <w:rsid w:val="008646AE"/>
    <w:rsid w:val="008663BD"/>
    <w:rsid w:val="00866BD9"/>
    <w:rsid w:val="008670A9"/>
    <w:rsid w:val="00867785"/>
    <w:rsid w:val="008706ED"/>
    <w:rsid w:val="00870DE0"/>
    <w:rsid w:val="00871771"/>
    <w:rsid w:val="00876C11"/>
    <w:rsid w:val="00877F13"/>
    <w:rsid w:val="0088178C"/>
    <w:rsid w:val="00883306"/>
    <w:rsid w:val="00885FCC"/>
    <w:rsid w:val="00890C7E"/>
    <w:rsid w:val="00891798"/>
    <w:rsid w:val="008930F2"/>
    <w:rsid w:val="008969FB"/>
    <w:rsid w:val="00896A2D"/>
    <w:rsid w:val="00897CA3"/>
    <w:rsid w:val="008A110D"/>
    <w:rsid w:val="008A12D0"/>
    <w:rsid w:val="008A26CB"/>
    <w:rsid w:val="008A6531"/>
    <w:rsid w:val="008A6EFD"/>
    <w:rsid w:val="008A7FB3"/>
    <w:rsid w:val="008B2345"/>
    <w:rsid w:val="008B2F53"/>
    <w:rsid w:val="008B3AB5"/>
    <w:rsid w:val="008B49B3"/>
    <w:rsid w:val="008B59FA"/>
    <w:rsid w:val="008B6B65"/>
    <w:rsid w:val="008C1138"/>
    <w:rsid w:val="008C20CB"/>
    <w:rsid w:val="008C2F51"/>
    <w:rsid w:val="008C3477"/>
    <w:rsid w:val="008D00A6"/>
    <w:rsid w:val="008D137D"/>
    <w:rsid w:val="008D316D"/>
    <w:rsid w:val="008E0627"/>
    <w:rsid w:val="008E0C77"/>
    <w:rsid w:val="008E1878"/>
    <w:rsid w:val="008E33F1"/>
    <w:rsid w:val="008E3652"/>
    <w:rsid w:val="008E5369"/>
    <w:rsid w:val="008E76CD"/>
    <w:rsid w:val="008F2C0D"/>
    <w:rsid w:val="008F3E34"/>
    <w:rsid w:val="008F5110"/>
    <w:rsid w:val="00903AF8"/>
    <w:rsid w:val="00905810"/>
    <w:rsid w:val="00907C30"/>
    <w:rsid w:val="00911C83"/>
    <w:rsid w:val="00912312"/>
    <w:rsid w:val="009129CB"/>
    <w:rsid w:val="00915304"/>
    <w:rsid w:val="00915863"/>
    <w:rsid w:val="00915983"/>
    <w:rsid w:val="00916B2F"/>
    <w:rsid w:val="0091769F"/>
    <w:rsid w:val="009206A0"/>
    <w:rsid w:val="00920EEB"/>
    <w:rsid w:val="00922623"/>
    <w:rsid w:val="00923F32"/>
    <w:rsid w:val="009276A3"/>
    <w:rsid w:val="00927909"/>
    <w:rsid w:val="00930104"/>
    <w:rsid w:val="00932235"/>
    <w:rsid w:val="00937997"/>
    <w:rsid w:val="00937F33"/>
    <w:rsid w:val="00945950"/>
    <w:rsid w:val="00946491"/>
    <w:rsid w:val="009467BD"/>
    <w:rsid w:val="00950283"/>
    <w:rsid w:val="009550F5"/>
    <w:rsid w:val="00955785"/>
    <w:rsid w:val="009564FF"/>
    <w:rsid w:val="00957765"/>
    <w:rsid w:val="0096352E"/>
    <w:rsid w:val="009658C2"/>
    <w:rsid w:val="0096619B"/>
    <w:rsid w:val="00966E89"/>
    <w:rsid w:val="00967BC5"/>
    <w:rsid w:val="0097002D"/>
    <w:rsid w:val="009775C9"/>
    <w:rsid w:val="00977E38"/>
    <w:rsid w:val="00977EE6"/>
    <w:rsid w:val="00981BB0"/>
    <w:rsid w:val="00982980"/>
    <w:rsid w:val="00983E66"/>
    <w:rsid w:val="00984021"/>
    <w:rsid w:val="00985054"/>
    <w:rsid w:val="00990EB9"/>
    <w:rsid w:val="00994B5D"/>
    <w:rsid w:val="00997693"/>
    <w:rsid w:val="009A0F4F"/>
    <w:rsid w:val="009A30E4"/>
    <w:rsid w:val="009A3176"/>
    <w:rsid w:val="009A6038"/>
    <w:rsid w:val="009A63C7"/>
    <w:rsid w:val="009A6AAD"/>
    <w:rsid w:val="009B0866"/>
    <w:rsid w:val="009B171D"/>
    <w:rsid w:val="009B373F"/>
    <w:rsid w:val="009B3906"/>
    <w:rsid w:val="009B4C59"/>
    <w:rsid w:val="009B602B"/>
    <w:rsid w:val="009C04B5"/>
    <w:rsid w:val="009C1170"/>
    <w:rsid w:val="009C2B15"/>
    <w:rsid w:val="009C5486"/>
    <w:rsid w:val="009D10C5"/>
    <w:rsid w:val="009D148A"/>
    <w:rsid w:val="009D1BB3"/>
    <w:rsid w:val="009D42A6"/>
    <w:rsid w:val="009D6BA5"/>
    <w:rsid w:val="009E06CB"/>
    <w:rsid w:val="009E37C5"/>
    <w:rsid w:val="009E3F50"/>
    <w:rsid w:val="009F0D80"/>
    <w:rsid w:val="009F1473"/>
    <w:rsid w:val="009F3094"/>
    <w:rsid w:val="009F4AC8"/>
    <w:rsid w:val="009F565C"/>
    <w:rsid w:val="009F5C0F"/>
    <w:rsid w:val="009F6A6D"/>
    <w:rsid w:val="009F7EDA"/>
    <w:rsid w:val="00A025FC"/>
    <w:rsid w:val="00A03BAD"/>
    <w:rsid w:val="00A050D2"/>
    <w:rsid w:val="00A053F8"/>
    <w:rsid w:val="00A06CF5"/>
    <w:rsid w:val="00A07BD1"/>
    <w:rsid w:val="00A11984"/>
    <w:rsid w:val="00A1256F"/>
    <w:rsid w:val="00A139AB"/>
    <w:rsid w:val="00A14D7F"/>
    <w:rsid w:val="00A16E43"/>
    <w:rsid w:val="00A24C9A"/>
    <w:rsid w:val="00A26D17"/>
    <w:rsid w:val="00A31217"/>
    <w:rsid w:val="00A31E56"/>
    <w:rsid w:val="00A34179"/>
    <w:rsid w:val="00A3588A"/>
    <w:rsid w:val="00A37F95"/>
    <w:rsid w:val="00A42377"/>
    <w:rsid w:val="00A44169"/>
    <w:rsid w:val="00A45C05"/>
    <w:rsid w:val="00A45D3B"/>
    <w:rsid w:val="00A47AF0"/>
    <w:rsid w:val="00A47F1D"/>
    <w:rsid w:val="00A514AC"/>
    <w:rsid w:val="00A51D32"/>
    <w:rsid w:val="00A54423"/>
    <w:rsid w:val="00A54A1B"/>
    <w:rsid w:val="00A60D68"/>
    <w:rsid w:val="00A615F3"/>
    <w:rsid w:val="00A622C4"/>
    <w:rsid w:val="00A647BF"/>
    <w:rsid w:val="00A6727A"/>
    <w:rsid w:val="00A673B5"/>
    <w:rsid w:val="00A67CEF"/>
    <w:rsid w:val="00A74817"/>
    <w:rsid w:val="00A7512A"/>
    <w:rsid w:val="00A763C8"/>
    <w:rsid w:val="00A8063B"/>
    <w:rsid w:val="00A83BA6"/>
    <w:rsid w:val="00A861DA"/>
    <w:rsid w:val="00A8657E"/>
    <w:rsid w:val="00A8724C"/>
    <w:rsid w:val="00A87851"/>
    <w:rsid w:val="00A87B6E"/>
    <w:rsid w:val="00A90979"/>
    <w:rsid w:val="00A91AAC"/>
    <w:rsid w:val="00A9325E"/>
    <w:rsid w:val="00A9680E"/>
    <w:rsid w:val="00A9777B"/>
    <w:rsid w:val="00AA0A65"/>
    <w:rsid w:val="00AA1AD8"/>
    <w:rsid w:val="00AA2BC6"/>
    <w:rsid w:val="00AB18FE"/>
    <w:rsid w:val="00AB202A"/>
    <w:rsid w:val="00AB2E00"/>
    <w:rsid w:val="00AB3539"/>
    <w:rsid w:val="00AC33B3"/>
    <w:rsid w:val="00AC3BEF"/>
    <w:rsid w:val="00AC4D37"/>
    <w:rsid w:val="00AC71CF"/>
    <w:rsid w:val="00AD006A"/>
    <w:rsid w:val="00AD1806"/>
    <w:rsid w:val="00AD241C"/>
    <w:rsid w:val="00AD50BD"/>
    <w:rsid w:val="00AE0452"/>
    <w:rsid w:val="00AE0981"/>
    <w:rsid w:val="00AE166A"/>
    <w:rsid w:val="00AE3EC8"/>
    <w:rsid w:val="00AE3ED0"/>
    <w:rsid w:val="00AE7CE8"/>
    <w:rsid w:val="00AF0BC9"/>
    <w:rsid w:val="00AF22D4"/>
    <w:rsid w:val="00B00DBB"/>
    <w:rsid w:val="00B012CD"/>
    <w:rsid w:val="00B11875"/>
    <w:rsid w:val="00B11EF5"/>
    <w:rsid w:val="00B1332B"/>
    <w:rsid w:val="00B20E7A"/>
    <w:rsid w:val="00B25774"/>
    <w:rsid w:val="00B2713F"/>
    <w:rsid w:val="00B30DBB"/>
    <w:rsid w:val="00B31E3D"/>
    <w:rsid w:val="00B3312F"/>
    <w:rsid w:val="00B345AF"/>
    <w:rsid w:val="00B3608B"/>
    <w:rsid w:val="00B37CC0"/>
    <w:rsid w:val="00B403D2"/>
    <w:rsid w:val="00B40EFF"/>
    <w:rsid w:val="00B41DB0"/>
    <w:rsid w:val="00B432CB"/>
    <w:rsid w:val="00B44CBE"/>
    <w:rsid w:val="00B44E22"/>
    <w:rsid w:val="00B4642A"/>
    <w:rsid w:val="00B46B8B"/>
    <w:rsid w:val="00B51F82"/>
    <w:rsid w:val="00B52254"/>
    <w:rsid w:val="00B55622"/>
    <w:rsid w:val="00B564BD"/>
    <w:rsid w:val="00B5713F"/>
    <w:rsid w:val="00B571D0"/>
    <w:rsid w:val="00B61D55"/>
    <w:rsid w:val="00B64D3C"/>
    <w:rsid w:val="00B663D7"/>
    <w:rsid w:val="00B665FD"/>
    <w:rsid w:val="00B668EC"/>
    <w:rsid w:val="00B706C6"/>
    <w:rsid w:val="00B70C9E"/>
    <w:rsid w:val="00B70D1C"/>
    <w:rsid w:val="00B76205"/>
    <w:rsid w:val="00B7700F"/>
    <w:rsid w:val="00B77D46"/>
    <w:rsid w:val="00B80DC4"/>
    <w:rsid w:val="00B813C3"/>
    <w:rsid w:val="00B82F7E"/>
    <w:rsid w:val="00B84B9D"/>
    <w:rsid w:val="00B952BE"/>
    <w:rsid w:val="00B966DC"/>
    <w:rsid w:val="00B9686E"/>
    <w:rsid w:val="00B96EC3"/>
    <w:rsid w:val="00BA0DA9"/>
    <w:rsid w:val="00BA58C5"/>
    <w:rsid w:val="00BA6587"/>
    <w:rsid w:val="00BA75B8"/>
    <w:rsid w:val="00BB1438"/>
    <w:rsid w:val="00BB279C"/>
    <w:rsid w:val="00BB4EA1"/>
    <w:rsid w:val="00BB7417"/>
    <w:rsid w:val="00BB750A"/>
    <w:rsid w:val="00BB750F"/>
    <w:rsid w:val="00BB793D"/>
    <w:rsid w:val="00BB7D99"/>
    <w:rsid w:val="00BC06A8"/>
    <w:rsid w:val="00BC60BC"/>
    <w:rsid w:val="00BC7BCE"/>
    <w:rsid w:val="00BD0651"/>
    <w:rsid w:val="00BD3DAF"/>
    <w:rsid w:val="00BD62BD"/>
    <w:rsid w:val="00BD6C53"/>
    <w:rsid w:val="00BD76DB"/>
    <w:rsid w:val="00BD7FD2"/>
    <w:rsid w:val="00BE10A2"/>
    <w:rsid w:val="00BE1218"/>
    <w:rsid w:val="00BE6A27"/>
    <w:rsid w:val="00BE71CD"/>
    <w:rsid w:val="00BF234E"/>
    <w:rsid w:val="00BF2E6A"/>
    <w:rsid w:val="00BF2F08"/>
    <w:rsid w:val="00BF6126"/>
    <w:rsid w:val="00BF640C"/>
    <w:rsid w:val="00BF75EA"/>
    <w:rsid w:val="00C01EC4"/>
    <w:rsid w:val="00C0592A"/>
    <w:rsid w:val="00C059F3"/>
    <w:rsid w:val="00C07413"/>
    <w:rsid w:val="00C07647"/>
    <w:rsid w:val="00C10B53"/>
    <w:rsid w:val="00C133E0"/>
    <w:rsid w:val="00C138B1"/>
    <w:rsid w:val="00C151F2"/>
    <w:rsid w:val="00C16B62"/>
    <w:rsid w:val="00C21DAB"/>
    <w:rsid w:val="00C229DC"/>
    <w:rsid w:val="00C22F93"/>
    <w:rsid w:val="00C24190"/>
    <w:rsid w:val="00C246D7"/>
    <w:rsid w:val="00C31325"/>
    <w:rsid w:val="00C326EC"/>
    <w:rsid w:val="00C3533B"/>
    <w:rsid w:val="00C35509"/>
    <w:rsid w:val="00C366C9"/>
    <w:rsid w:val="00C37A5B"/>
    <w:rsid w:val="00C41EFC"/>
    <w:rsid w:val="00C44BD0"/>
    <w:rsid w:val="00C4523D"/>
    <w:rsid w:val="00C45B93"/>
    <w:rsid w:val="00C465C2"/>
    <w:rsid w:val="00C47E76"/>
    <w:rsid w:val="00C5006A"/>
    <w:rsid w:val="00C503A6"/>
    <w:rsid w:val="00C50B1A"/>
    <w:rsid w:val="00C52458"/>
    <w:rsid w:val="00C524D5"/>
    <w:rsid w:val="00C5631C"/>
    <w:rsid w:val="00C57518"/>
    <w:rsid w:val="00C604A6"/>
    <w:rsid w:val="00C6358E"/>
    <w:rsid w:val="00C6479F"/>
    <w:rsid w:val="00C67E82"/>
    <w:rsid w:val="00C70A1D"/>
    <w:rsid w:val="00C716AC"/>
    <w:rsid w:val="00C80C3F"/>
    <w:rsid w:val="00C80D94"/>
    <w:rsid w:val="00C81756"/>
    <w:rsid w:val="00C82074"/>
    <w:rsid w:val="00C8236E"/>
    <w:rsid w:val="00C830D3"/>
    <w:rsid w:val="00C83625"/>
    <w:rsid w:val="00C85B93"/>
    <w:rsid w:val="00C86E59"/>
    <w:rsid w:val="00C90B73"/>
    <w:rsid w:val="00C94FF6"/>
    <w:rsid w:val="00C95F90"/>
    <w:rsid w:val="00CA247D"/>
    <w:rsid w:val="00CA339C"/>
    <w:rsid w:val="00CA558D"/>
    <w:rsid w:val="00CA6132"/>
    <w:rsid w:val="00CB212C"/>
    <w:rsid w:val="00CB4B59"/>
    <w:rsid w:val="00CB4D4E"/>
    <w:rsid w:val="00CB5610"/>
    <w:rsid w:val="00CB63BE"/>
    <w:rsid w:val="00CB7B4C"/>
    <w:rsid w:val="00CB7E4A"/>
    <w:rsid w:val="00CC0048"/>
    <w:rsid w:val="00CC06C4"/>
    <w:rsid w:val="00CC116E"/>
    <w:rsid w:val="00CC14F4"/>
    <w:rsid w:val="00CC2B4A"/>
    <w:rsid w:val="00CC4A6A"/>
    <w:rsid w:val="00CC4F55"/>
    <w:rsid w:val="00CC629E"/>
    <w:rsid w:val="00CC7C30"/>
    <w:rsid w:val="00CC7E6D"/>
    <w:rsid w:val="00CD69C1"/>
    <w:rsid w:val="00CE4365"/>
    <w:rsid w:val="00CE7166"/>
    <w:rsid w:val="00CF0BED"/>
    <w:rsid w:val="00CF50F9"/>
    <w:rsid w:val="00CF6BCD"/>
    <w:rsid w:val="00D01D28"/>
    <w:rsid w:val="00D02F16"/>
    <w:rsid w:val="00D04BAC"/>
    <w:rsid w:val="00D04BCE"/>
    <w:rsid w:val="00D04EEC"/>
    <w:rsid w:val="00D0512C"/>
    <w:rsid w:val="00D0568F"/>
    <w:rsid w:val="00D06435"/>
    <w:rsid w:val="00D105C7"/>
    <w:rsid w:val="00D1359E"/>
    <w:rsid w:val="00D1364B"/>
    <w:rsid w:val="00D1479A"/>
    <w:rsid w:val="00D17D3D"/>
    <w:rsid w:val="00D20901"/>
    <w:rsid w:val="00D23E36"/>
    <w:rsid w:val="00D27368"/>
    <w:rsid w:val="00D34300"/>
    <w:rsid w:val="00D345A4"/>
    <w:rsid w:val="00D34997"/>
    <w:rsid w:val="00D3667F"/>
    <w:rsid w:val="00D41C47"/>
    <w:rsid w:val="00D425D1"/>
    <w:rsid w:val="00D42A91"/>
    <w:rsid w:val="00D46539"/>
    <w:rsid w:val="00D47FB9"/>
    <w:rsid w:val="00D53A26"/>
    <w:rsid w:val="00D611AF"/>
    <w:rsid w:val="00D62813"/>
    <w:rsid w:val="00D641CC"/>
    <w:rsid w:val="00D64D2E"/>
    <w:rsid w:val="00D662C8"/>
    <w:rsid w:val="00D67A79"/>
    <w:rsid w:val="00D67D6F"/>
    <w:rsid w:val="00D7031A"/>
    <w:rsid w:val="00D70AF8"/>
    <w:rsid w:val="00D71BBC"/>
    <w:rsid w:val="00D72787"/>
    <w:rsid w:val="00D72DFE"/>
    <w:rsid w:val="00D72E76"/>
    <w:rsid w:val="00D73B30"/>
    <w:rsid w:val="00D777C4"/>
    <w:rsid w:val="00D80D6C"/>
    <w:rsid w:val="00D82985"/>
    <w:rsid w:val="00D82B83"/>
    <w:rsid w:val="00D837F0"/>
    <w:rsid w:val="00D85E23"/>
    <w:rsid w:val="00D87D71"/>
    <w:rsid w:val="00D87E5B"/>
    <w:rsid w:val="00D91107"/>
    <w:rsid w:val="00D91A10"/>
    <w:rsid w:val="00D92F81"/>
    <w:rsid w:val="00D93BBB"/>
    <w:rsid w:val="00D95CE2"/>
    <w:rsid w:val="00D97E40"/>
    <w:rsid w:val="00DA4B51"/>
    <w:rsid w:val="00DA5095"/>
    <w:rsid w:val="00DB2989"/>
    <w:rsid w:val="00DB54FC"/>
    <w:rsid w:val="00DB5F03"/>
    <w:rsid w:val="00DB6E07"/>
    <w:rsid w:val="00DC0D94"/>
    <w:rsid w:val="00DC13C4"/>
    <w:rsid w:val="00DC5552"/>
    <w:rsid w:val="00DC7E35"/>
    <w:rsid w:val="00DD054B"/>
    <w:rsid w:val="00DD0B54"/>
    <w:rsid w:val="00DD2567"/>
    <w:rsid w:val="00DD38E3"/>
    <w:rsid w:val="00DD4736"/>
    <w:rsid w:val="00DD5F0E"/>
    <w:rsid w:val="00DE041A"/>
    <w:rsid w:val="00DE045C"/>
    <w:rsid w:val="00DE0F0D"/>
    <w:rsid w:val="00DE1D36"/>
    <w:rsid w:val="00DE218B"/>
    <w:rsid w:val="00DE27D9"/>
    <w:rsid w:val="00DE28A5"/>
    <w:rsid w:val="00DE2F3E"/>
    <w:rsid w:val="00DE58ED"/>
    <w:rsid w:val="00DE5CAE"/>
    <w:rsid w:val="00DE5D59"/>
    <w:rsid w:val="00DF0866"/>
    <w:rsid w:val="00DF0F89"/>
    <w:rsid w:val="00DF3879"/>
    <w:rsid w:val="00DF3C1F"/>
    <w:rsid w:val="00DF4E96"/>
    <w:rsid w:val="00DF6BE1"/>
    <w:rsid w:val="00DF7588"/>
    <w:rsid w:val="00DF7C1B"/>
    <w:rsid w:val="00E02FF1"/>
    <w:rsid w:val="00E05A14"/>
    <w:rsid w:val="00E128BC"/>
    <w:rsid w:val="00E14912"/>
    <w:rsid w:val="00E15F20"/>
    <w:rsid w:val="00E167AF"/>
    <w:rsid w:val="00E17C2D"/>
    <w:rsid w:val="00E20505"/>
    <w:rsid w:val="00E257F9"/>
    <w:rsid w:val="00E26B55"/>
    <w:rsid w:val="00E26DDF"/>
    <w:rsid w:val="00E2739B"/>
    <w:rsid w:val="00E3165B"/>
    <w:rsid w:val="00E3184C"/>
    <w:rsid w:val="00E326E4"/>
    <w:rsid w:val="00E340B7"/>
    <w:rsid w:val="00E35266"/>
    <w:rsid w:val="00E36337"/>
    <w:rsid w:val="00E37EBB"/>
    <w:rsid w:val="00E424A0"/>
    <w:rsid w:val="00E431BA"/>
    <w:rsid w:val="00E44436"/>
    <w:rsid w:val="00E44C0F"/>
    <w:rsid w:val="00E45734"/>
    <w:rsid w:val="00E50B90"/>
    <w:rsid w:val="00E51B49"/>
    <w:rsid w:val="00E52A9A"/>
    <w:rsid w:val="00E5428D"/>
    <w:rsid w:val="00E60AFE"/>
    <w:rsid w:val="00E614EA"/>
    <w:rsid w:val="00E61A09"/>
    <w:rsid w:val="00E63947"/>
    <w:rsid w:val="00E63A63"/>
    <w:rsid w:val="00E63BF7"/>
    <w:rsid w:val="00E63C87"/>
    <w:rsid w:val="00E63D2A"/>
    <w:rsid w:val="00E652B7"/>
    <w:rsid w:val="00E705B1"/>
    <w:rsid w:val="00E70EB5"/>
    <w:rsid w:val="00E71163"/>
    <w:rsid w:val="00E7144F"/>
    <w:rsid w:val="00E727F6"/>
    <w:rsid w:val="00E73BBE"/>
    <w:rsid w:val="00E7560E"/>
    <w:rsid w:val="00E77168"/>
    <w:rsid w:val="00E77B81"/>
    <w:rsid w:val="00E80434"/>
    <w:rsid w:val="00E80C36"/>
    <w:rsid w:val="00E83604"/>
    <w:rsid w:val="00E83D00"/>
    <w:rsid w:val="00E84A5D"/>
    <w:rsid w:val="00E86666"/>
    <w:rsid w:val="00E87D8D"/>
    <w:rsid w:val="00E904CD"/>
    <w:rsid w:val="00E92845"/>
    <w:rsid w:val="00E949CD"/>
    <w:rsid w:val="00E97F69"/>
    <w:rsid w:val="00EA2C62"/>
    <w:rsid w:val="00EA2F81"/>
    <w:rsid w:val="00EA313B"/>
    <w:rsid w:val="00EA4821"/>
    <w:rsid w:val="00EA5BDD"/>
    <w:rsid w:val="00EB221D"/>
    <w:rsid w:val="00EB2AB5"/>
    <w:rsid w:val="00EB4277"/>
    <w:rsid w:val="00EB458A"/>
    <w:rsid w:val="00EB57DC"/>
    <w:rsid w:val="00EB57F8"/>
    <w:rsid w:val="00EB6B5C"/>
    <w:rsid w:val="00EC0AF2"/>
    <w:rsid w:val="00EC0E21"/>
    <w:rsid w:val="00EC1A38"/>
    <w:rsid w:val="00EC334D"/>
    <w:rsid w:val="00EC352F"/>
    <w:rsid w:val="00EC3F79"/>
    <w:rsid w:val="00EC6676"/>
    <w:rsid w:val="00EC6966"/>
    <w:rsid w:val="00ED19DC"/>
    <w:rsid w:val="00ED322D"/>
    <w:rsid w:val="00ED44B6"/>
    <w:rsid w:val="00ED4AA2"/>
    <w:rsid w:val="00ED552E"/>
    <w:rsid w:val="00ED655F"/>
    <w:rsid w:val="00ED67EE"/>
    <w:rsid w:val="00ED6E69"/>
    <w:rsid w:val="00EE018E"/>
    <w:rsid w:val="00EE2725"/>
    <w:rsid w:val="00EE33BF"/>
    <w:rsid w:val="00EE43A8"/>
    <w:rsid w:val="00EE5F31"/>
    <w:rsid w:val="00EE7E6B"/>
    <w:rsid w:val="00EF0D27"/>
    <w:rsid w:val="00EF4CA3"/>
    <w:rsid w:val="00EF4FB6"/>
    <w:rsid w:val="00EF647A"/>
    <w:rsid w:val="00EF6E6E"/>
    <w:rsid w:val="00F0441A"/>
    <w:rsid w:val="00F05647"/>
    <w:rsid w:val="00F12028"/>
    <w:rsid w:val="00F128FD"/>
    <w:rsid w:val="00F134B7"/>
    <w:rsid w:val="00F14039"/>
    <w:rsid w:val="00F1409F"/>
    <w:rsid w:val="00F15CE6"/>
    <w:rsid w:val="00F16687"/>
    <w:rsid w:val="00F207F2"/>
    <w:rsid w:val="00F20A9F"/>
    <w:rsid w:val="00F210B2"/>
    <w:rsid w:val="00F222C1"/>
    <w:rsid w:val="00F2272D"/>
    <w:rsid w:val="00F241E9"/>
    <w:rsid w:val="00F25220"/>
    <w:rsid w:val="00F252E9"/>
    <w:rsid w:val="00F34B9E"/>
    <w:rsid w:val="00F35612"/>
    <w:rsid w:val="00F37444"/>
    <w:rsid w:val="00F4425D"/>
    <w:rsid w:val="00F45AC5"/>
    <w:rsid w:val="00F47756"/>
    <w:rsid w:val="00F50303"/>
    <w:rsid w:val="00F506DD"/>
    <w:rsid w:val="00F516AE"/>
    <w:rsid w:val="00F532AD"/>
    <w:rsid w:val="00F55290"/>
    <w:rsid w:val="00F558D1"/>
    <w:rsid w:val="00F57121"/>
    <w:rsid w:val="00F612E5"/>
    <w:rsid w:val="00F64F0B"/>
    <w:rsid w:val="00F667D2"/>
    <w:rsid w:val="00F72A03"/>
    <w:rsid w:val="00F7613E"/>
    <w:rsid w:val="00F77233"/>
    <w:rsid w:val="00F77EC0"/>
    <w:rsid w:val="00F8263D"/>
    <w:rsid w:val="00F901AA"/>
    <w:rsid w:val="00F9066F"/>
    <w:rsid w:val="00F911B4"/>
    <w:rsid w:val="00F92AC8"/>
    <w:rsid w:val="00F9420B"/>
    <w:rsid w:val="00F97DE1"/>
    <w:rsid w:val="00FA1956"/>
    <w:rsid w:val="00FA1AFA"/>
    <w:rsid w:val="00FA2936"/>
    <w:rsid w:val="00FA4B6B"/>
    <w:rsid w:val="00FA5B0F"/>
    <w:rsid w:val="00FB0A4F"/>
    <w:rsid w:val="00FB2133"/>
    <w:rsid w:val="00FB53D4"/>
    <w:rsid w:val="00FB5AF8"/>
    <w:rsid w:val="00FC10EE"/>
    <w:rsid w:val="00FC195B"/>
    <w:rsid w:val="00FC235D"/>
    <w:rsid w:val="00FC5B66"/>
    <w:rsid w:val="00FC72B2"/>
    <w:rsid w:val="00FD209D"/>
    <w:rsid w:val="00FD5462"/>
    <w:rsid w:val="00FD7723"/>
    <w:rsid w:val="00FE07FA"/>
    <w:rsid w:val="00FE1BC7"/>
    <w:rsid w:val="00FE441E"/>
    <w:rsid w:val="00FE5BCD"/>
    <w:rsid w:val="00FE74F4"/>
    <w:rsid w:val="00FF2C69"/>
    <w:rsid w:val="00FF49E4"/>
    <w:rsid w:val="00FF67F9"/>
    <w:rsid w:val="00FF7094"/>
    <w:rsid w:val="00FF74F5"/>
    <w:rsid w:val="00FF7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C9E"/>
    <w:pPr>
      <w:widowControl w:val="0"/>
      <w:autoSpaceDE w:val="0"/>
      <w:autoSpaceDN w:val="0"/>
      <w:adjustRightInd w:val="0"/>
      <w:spacing w:before="240"/>
    </w:pPr>
    <w:rPr>
      <w:sz w:val="24"/>
      <w:szCs w:val="24"/>
      <w:lang w:eastAsia="zh-CN"/>
    </w:rPr>
  </w:style>
  <w:style w:type="paragraph" w:styleId="Heading1">
    <w:name w:val="heading 1"/>
    <w:basedOn w:val="Normal"/>
    <w:next w:val="Normal"/>
    <w:qFormat/>
    <w:rsid w:val="00B70C9E"/>
    <w:pPr>
      <w:keepNext/>
      <w:spacing w:after="120"/>
      <w:outlineLvl w:val="0"/>
    </w:pPr>
    <w:rPr>
      <w:rFonts w:ascii="Arial" w:hAnsi="Arial" w:cs="Arial"/>
      <w:b/>
      <w:bCs/>
      <w:kern w:val="32"/>
      <w:sz w:val="32"/>
      <w:szCs w:val="32"/>
    </w:rPr>
  </w:style>
  <w:style w:type="paragraph" w:styleId="Heading2">
    <w:name w:val="heading 2"/>
    <w:basedOn w:val="Normal"/>
    <w:next w:val="Normal"/>
    <w:qFormat/>
    <w:rsid w:val="00B70C9E"/>
    <w:pPr>
      <w:keepNext/>
      <w:spacing w:before="360" w:after="60"/>
      <w:outlineLvl w:val="1"/>
    </w:pPr>
    <w:rPr>
      <w:rFonts w:ascii="Arial" w:hAnsi="Arial" w:cs="Arial"/>
      <w:b/>
      <w:bCs/>
      <w:i/>
      <w:iCs/>
      <w:sz w:val="28"/>
      <w:szCs w:val="28"/>
    </w:rPr>
  </w:style>
  <w:style w:type="paragraph" w:styleId="Heading3">
    <w:name w:val="heading 3"/>
    <w:basedOn w:val="Normal"/>
    <w:next w:val="Normal"/>
    <w:qFormat/>
    <w:rsid w:val="00B70C9E"/>
    <w:pPr>
      <w:keepNext/>
      <w:spacing w:before="36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3A25D8"/>
    <w:pPr>
      <w:numPr>
        <w:numId w:val="3"/>
      </w:numPr>
    </w:pPr>
  </w:style>
  <w:style w:type="paragraph" w:customStyle="1" w:styleId="ScheduleHeading">
    <w:name w:val="Schedule Heading"/>
    <w:next w:val="ScheduleLevel1"/>
    <w:rsid w:val="00C524D5"/>
    <w:pPr>
      <w:pageBreakBefore/>
      <w:numPr>
        <w:numId w:val="4"/>
      </w:numPr>
      <w:shd w:val="solid" w:color="000000" w:fill="000000"/>
      <w:spacing w:after="140" w:line="280" w:lineRule="atLeast"/>
      <w:outlineLvl w:val="3"/>
    </w:pPr>
    <w:rPr>
      <w:rFonts w:ascii="Arial" w:eastAsia="Times New Roman" w:hAnsi="Arial" w:cs="Arial"/>
      <w:b/>
      <w:caps/>
      <w:color w:val="FFFFFF"/>
      <w:szCs w:val="22"/>
    </w:rPr>
  </w:style>
  <w:style w:type="paragraph" w:customStyle="1" w:styleId="ScheduleLevel1">
    <w:name w:val="Schedule Level 1"/>
    <w:next w:val="Normal"/>
    <w:rsid w:val="00C524D5"/>
    <w:pPr>
      <w:keepNext/>
      <w:numPr>
        <w:ilvl w:val="1"/>
        <w:numId w:val="4"/>
      </w:numPr>
      <w:pBdr>
        <w:bottom w:val="single" w:sz="2" w:space="0" w:color="auto"/>
      </w:pBdr>
      <w:spacing w:before="200" w:line="280" w:lineRule="atLeast"/>
      <w:outlineLvl w:val="3"/>
    </w:pPr>
    <w:rPr>
      <w:rFonts w:ascii="Arial" w:eastAsia="Times New Roman" w:hAnsi="Arial" w:cs="Arial"/>
      <w:b/>
      <w:sz w:val="22"/>
      <w:szCs w:val="22"/>
    </w:rPr>
  </w:style>
  <w:style w:type="paragraph" w:customStyle="1" w:styleId="ScheduleLevel4">
    <w:name w:val="Schedule Level 4"/>
    <w:basedOn w:val="Normal"/>
    <w:rsid w:val="00C524D5"/>
    <w:pPr>
      <w:widowControl/>
      <w:numPr>
        <w:ilvl w:val="5"/>
        <w:numId w:val="4"/>
      </w:numPr>
      <w:autoSpaceDE/>
      <w:autoSpaceDN/>
      <w:adjustRightInd/>
      <w:spacing w:before="0" w:after="140" w:line="280" w:lineRule="atLeast"/>
    </w:pPr>
    <w:rPr>
      <w:rFonts w:ascii="Arial" w:eastAsia="Times New Roman" w:hAnsi="Arial" w:cs="Arial"/>
      <w:sz w:val="22"/>
      <w:szCs w:val="22"/>
      <w:lang w:eastAsia="en-AU"/>
    </w:rPr>
  </w:style>
  <w:style w:type="paragraph" w:customStyle="1" w:styleId="ScheduleLevel6">
    <w:name w:val="Schedule Level 6"/>
    <w:basedOn w:val="ScheduleLevel4"/>
    <w:rsid w:val="00C524D5"/>
    <w:pPr>
      <w:numPr>
        <w:ilvl w:val="6"/>
      </w:numPr>
    </w:pPr>
  </w:style>
  <w:style w:type="paragraph" w:customStyle="1" w:styleId="ScheduleLevel7">
    <w:name w:val="Schedule Level 7"/>
    <w:basedOn w:val="ScheduleLevel4"/>
    <w:rsid w:val="00C524D5"/>
    <w:pPr>
      <w:numPr>
        <w:ilvl w:val="7"/>
      </w:numPr>
    </w:pPr>
  </w:style>
  <w:style w:type="paragraph" w:customStyle="1" w:styleId="ScheduleLevel8">
    <w:name w:val="Schedule Level 8"/>
    <w:basedOn w:val="ScheduleLevel4"/>
    <w:rsid w:val="00C524D5"/>
    <w:pPr>
      <w:numPr>
        <w:ilvl w:val="8"/>
      </w:numPr>
    </w:pPr>
  </w:style>
  <w:style w:type="paragraph" w:customStyle="1" w:styleId="Definition">
    <w:name w:val="Definition"/>
    <w:rsid w:val="00C524D5"/>
    <w:pPr>
      <w:spacing w:before="40" w:after="40" w:line="280" w:lineRule="atLeast"/>
    </w:pPr>
    <w:rPr>
      <w:rFonts w:ascii="Arial" w:eastAsia="Times New Roman" w:hAnsi="Arial" w:cs="Arial"/>
      <w:sz w:val="22"/>
      <w:szCs w:val="22"/>
    </w:rPr>
  </w:style>
  <w:style w:type="paragraph" w:customStyle="1" w:styleId="DefinedTerm">
    <w:name w:val="Defined Term"/>
    <w:rsid w:val="00C524D5"/>
    <w:pPr>
      <w:spacing w:before="40" w:after="40" w:line="280" w:lineRule="atLeast"/>
    </w:pPr>
    <w:rPr>
      <w:rFonts w:ascii="Arial" w:eastAsia="Times New Roman" w:hAnsi="Arial" w:cs="Arial"/>
      <w:b/>
      <w:sz w:val="22"/>
      <w:szCs w:val="22"/>
    </w:rPr>
  </w:style>
  <w:style w:type="paragraph" w:customStyle="1" w:styleId="1Reference">
    <w:name w:val="1. Reference"/>
    <w:basedOn w:val="Normal"/>
    <w:semiHidden/>
    <w:rsid w:val="00C524D5"/>
    <w:pPr>
      <w:widowControl/>
      <w:autoSpaceDE/>
      <w:autoSpaceDN/>
      <w:adjustRightInd/>
      <w:spacing w:before="0" w:line="200" w:lineRule="atLeast"/>
    </w:pPr>
    <w:rPr>
      <w:rFonts w:ascii="Arial" w:eastAsia="Times New Roman" w:hAnsi="Arial" w:cs="Arial"/>
      <w:sz w:val="20"/>
      <w:szCs w:val="22"/>
      <w:lang w:eastAsia="en-AU"/>
    </w:rPr>
  </w:style>
  <w:style w:type="paragraph" w:customStyle="1" w:styleId="2Date">
    <w:name w:val="2. Date"/>
    <w:basedOn w:val="Normal"/>
    <w:next w:val="Normal"/>
    <w:semiHidden/>
    <w:rsid w:val="00C524D5"/>
    <w:pPr>
      <w:widowControl/>
      <w:autoSpaceDE/>
      <w:autoSpaceDN/>
      <w:adjustRightInd/>
      <w:spacing w:before="280" w:after="280" w:line="280" w:lineRule="atLeast"/>
    </w:pPr>
    <w:rPr>
      <w:rFonts w:ascii="Arial" w:eastAsia="Times New Roman" w:hAnsi="Arial" w:cs="Arial"/>
      <w:sz w:val="22"/>
      <w:szCs w:val="22"/>
      <w:lang w:eastAsia="en-AU"/>
    </w:rPr>
  </w:style>
  <w:style w:type="paragraph" w:customStyle="1" w:styleId="3Address">
    <w:name w:val="3. Address"/>
    <w:basedOn w:val="Normal"/>
    <w:semiHidden/>
    <w:rsid w:val="00C524D5"/>
    <w:pPr>
      <w:keepLines/>
      <w:autoSpaceDE/>
      <w:autoSpaceDN/>
      <w:adjustRightInd/>
      <w:spacing w:before="0" w:line="280" w:lineRule="atLeast"/>
    </w:pPr>
    <w:rPr>
      <w:rFonts w:ascii="Arial" w:eastAsia="Times New Roman" w:hAnsi="Arial" w:cs="Arial"/>
      <w:sz w:val="22"/>
      <w:szCs w:val="22"/>
      <w:lang w:eastAsia="en-AU"/>
    </w:rPr>
  </w:style>
  <w:style w:type="paragraph" w:customStyle="1" w:styleId="4Addressee">
    <w:name w:val="4. Addressee"/>
    <w:basedOn w:val="Normal"/>
    <w:next w:val="Normal"/>
    <w:semiHidden/>
    <w:rsid w:val="00C524D5"/>
    <w:pPr>
      <w:keepLines/>
      <w:autoSpaceDE/>
      <w:autoSpaceDN/>
      <w:adjustRightInd/>
      <w:spacing w:before="420" w:after="280" w:line="280" w:lineRule="atLeast"/>
    </w:pPr>
    <w:rPr>
      <w:rFonts w:ascii="Arial" w:eastAsia="Times New Roman" w:hAnsi="Arial" w:cs="Arial"/>
      <w:sz w:val="22"/>
      <w:szCs w:val="22"/>
      <w:lang w:eastAsia="en-AU"/>
    </w:rPr>
  </w:style>
  <w:style w:type="paragraph" w:customStyle="1" w:styleId="Plainparaa">
    <w:name w:val="Plain para a."/>
    <w:basedOn w:val="Normal"/>
    <w:rsid w:val="00C524D5"/>
    <w:pPr>
      <w:widowControl/>
      <w:numPr>
        <w:numId w:val="5"/>
      </w:numPr>
      <w:autoSpaceDE/>
      <w:autoSpaceDN/>
      <w:adjustRightInd/>
      <w:spacing w:before="0" w:after="140" w:line="280" w:lineRule="atLeast"/>
    </w:pPr>
    <w:rPr>
      <w:rFonts w:ascii="Arial" w:eastAsia="Times New Roman" w:hAnsi="Arial" w:cs="Arial"/>
      <w:sz w:val="22"/>
      <w:szCs w:val="22"/>
      <w:lang w:eastAsia="en-AU"/>
    </w:rPr>
  </w:style>
  <w:style w:type="paragraph" w:styleId="FootnoteText">
    <w:name w:val="footnote text"/>
    <w:basedOn w:val="Normal"/>
    <w:semiHidden/>
    <w:rsid w:val="0077783F"/>
    <w:pPr>
      <w:widowControl/>
      <w:autoSpaceDE/>
      <w:autoSpaceDN/>
      <w:adjustRightInd/>
      <w:spacing w:before="0"/>
    </w:pPr>
    <w:rPr>
      <w:rFonts w:eastAsia="Times New Roman"/>
      <w:sz w:val="20"/>
      <w:szCs w:val="20"/>
      <w:lang w:eastAsia="en-AU"/>
    </w:rPr>
  </w:style>
  <w:style w:type="character" w:styleId="FootnoteReference">
    <w:name w:val="footnote reference"/>
    <w:semiHidden/>
    <w:rsid w:val="0077783F"/>
    <w:rPr>
      <w:vertAlign w:val="superscript"/>
    </w:rPr>
  </w:style>
  <w:style w:type="paragraph" w:customStyle="1" w:styleId="SimmaryofIAs2bullets">
    <w:name w:val="Simmary of IAs 2(bullets)"/>
    <w:basedOn w:val="Normal"/>
    <w:rsid w:val="0077783F"/>
    <w:pPr>
      <w:widowControl/>
      <w:numPr>
        <w:numId w:val="6"/>
      </w:numPr>
      <w:autoSpaceDE/>
      <w:autoSpaceDN/>
      <w:adjustRightInd/>
      <w:spacing w:before="0"/>
    </w:pPr>
    <w:rPr>
      <w:rFonts w:eastAsia="Times New Roman"/>
      <w:lang w:eastAsia="en-AU"/>
    </w:rPr>
  </w:style>
  <w:style w:type="paragraph" w:customStyle="1" w:styleId="Bracket">
    <w:name w:val="Bracket"/>
    <w:basedOn w:val="Normal"/>
    <w:rsid w:val="0077783F"/>
    <w:pPr>
      <w:widowControl/>
      <w:autoSpaceDE/>
      <w:autoSpaceDN/>
      <w:adjustRightInd/>
      <w:spacing w:before="0"/>
      <w:ind w:left="360"/>
    </w:pPr>
    <w:rPr>
      <w:rFonts w:eastAsia="Times New Roman"/>
      <w:lang w:eastAsia="en-AU"/>
    </w:rPr>
  </w:style>
  <w:style w:type="table" w:styleId="TableGrid">
    <w:name w:val="Table Grid"/>
    <w:basedOn w:val="TableNormal"/>
    <w:rsid w:val="009D14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77F13"/>
    <w:rPr>
      <w:rFonts w:ascii="Tahoma" w:hAnsi="Tahoma" w:cs="Tahoma"/>
      <w:sz w:val="16"/>
      <w:szCs w:val="16"/>
    </w:rPr>
  </w:style>
  <w:style w:type="paragraph" w:customStyle="1" w:styleId="NormalBlack">
    <w:name w:val="Normal + Black"/>
    <w:basedOn w:val="Normal"/>
    <w:rsid w:val="00E51B49"/>
    <w:pPr>
      <w:numPr>
        <w:ilvl w:val="1"/>
        <w:numId w:val="2"/>
      </w:numPr>
    </w:pPr>
    <w:rPr>
      <w:color w:val="000000"/>
    </w:rPr>
  </w:style>
  <w:style w:type="character" w:styleId="Hyperlink">
    <w:name w:val="Hyperlink"/>
    <w:rsid w:val="00716B7A"/>
    <w:rPr>
      <w:rFonts w:cs="Times New Roman"/>
      <w:color w:val="0000FF"/>
      <w:u w:val="single"/>
    </w:rPr>
  </w:style>
  <w:style w:type="paragraph" w:styleId="Footer">
    <w:name w:val="footer"/>
    <w:basedOn w:val="Normal"/>
    <w:link w:val="FooterChar"/>
    <w:rsid w:val="00716B7A"/>
    <w:pPr>
      <w:widowControl/>
      <w:tabs>
        <w:tab w:val="center" w:pos="4153"/>
        <w:tab w:val="right" w:pos="8306"/>
      </w:tabs>
      <w:autoSpaceDE/>
      <w:autoSpaceDN/>
      <w:adjustRightInd/>
      <w:spacing w:before="0"/>
    </w:pPr>
    <w:rPr>
      <w:rFonts w:ascii="Arial" w:eastAsia="Times New Roman" w:hAnsi="Arial" w:cs="Arial"/>
      <w:sz w:val="22"/>
      <w:szCs w:val="22"/>
      <w:lang w:eastAsia="en-AU"/>
    </w:rPr>
  </w:style>
  <w:style w:type="character" w:customStyle="1" w:styleId="FooterChar">
    <w:name w:val="Footer Char"/>
    <w:link w:val="Footer"/>
    <w:semiHidden/>
    <w:locked/>
    <w:rsid w:val="00716B7A"/>
    <w:rPr>
      <w:rFonts w:ascii="Arial" w:hAnsi="Arial" w:cs="Arial"/>
      <w:sz w:val="22"/>
      <w:szCs w:val="22"/>
      <w:lang w:val="en-AU" w:eastAsia="en-AU" w:bidi="ar-SA"/>
    </w:rPr>
  </w:style>
  <w:style w:type="paragraph" w:styleId="BodyText">
    <w:name w:val="Body Text"/>
    <w:basedOn w:val="Normal"/>
    <w:rsid w:val="00BF234E"/>
    <w:pPr>
      <w:widowControl/>
      <w:autoSpaceDE/>
      <w:autoSpaceDN/>
      <w:adjustRightInd/>
      <w:spacing w:before="100" w:after="100"/>
    </w:pPr>
    <w:rPr>
      <w:rFonts w:eastAsia="Times New Roman"/>
      <w:szCs w:val="20"/>
      <w:lang w:eastAsia="en-US"/>
    </w:rPr>
  </w:style>
  <w:style w:type="paragraph" w:customStyle="1" w:styleId="Bullet2">
    <w:name w:val="Bullet 2"/>
    <w:basedOn w:val="Normal"/>
    <w:rsid w:val="00BF234E"/>
    <w:pPr>
      <w:widowControl/>
      <w:numPr>
        <w:ilvl w:val="1"/>
        <w:numId w:val="9"/>
      </w:numPr>
      <w:tabs>
        <w:tab w:val="clear" w:pos="1440"/>
      </w:tabs>
      <w:autoSpaceDE/>
      <w:autoSpaceDN/>
      <w:adjustRightInd/>
      <w:spacing w:before="120"/>
      <w:ind w:left="720"/>
    </w:pPr>
    <w:rPr>
      <w:rFonts w:eastAsia="PMingLiU"/>
      <w:lang w:eastAsia="zh-TW"/>
    </w:rPr>
  </w:style>
  <w:style w:type="paragraph" w:styleId="NormalWeb">
    <w:name w:val="Normal (Web)"/>
    <w:basedOn w:val="Normal"/>
    <w:rsid w:val="007E6793"/>
    <w:pPr>
      <w:widowControl/>
      <w:autoSpaceDE/>
      <w:autoSpaceDN/>
      <w:adjustRightInd/>
      <w:spacing w:before="100" w:beforeAutospacing="1" w:after="100" w:afterAutospacing="1"/>
    </w:pPr>
    <w:rPr>
      <w:rFonts w:eastAsia="Times New Roman"/>
      <w:lang w:eastAsia="en-AU"/>
    </w:rPr>
  </w:style>
  <w:style w:type="paragraph" w:styleId="Header">
    <w:name w:val="header"/>
    <w:basedOn w:val="Normal"/>
    <w:rsid w:val="00C01EC4"/>
    <w:pPr>
      <w:tabs>
        <w:tab w:val="center" w:pos="4153"/>
        <w:tab w:val="right" w:pos="8306"/>
      </w:tabs>
    </w:pPr>
  </w:style>
  <w:style w:type="character" w:customStyle="1" w:styleId="sllisting1">
    <w:name w:val="sl_listing1"/>
    <w:basedOn w:val="DefaultParagraphFont"/>
    <w:rsid w:val="00100EA9"/>
  </w:style>
  <w:style w:type="character" w:styleId="PageNumber">
    <w:name w:val="page number"/>
    <w:basedOn w:val="DefaultParagraphFont"/>
    <w:rsid w:val="00903AF8"/>
  </w:style>
  <w:style w:type="character" w:customStyle="1" w:styleId="EmailStyle45">
    <w:name w:val="EmailStyle45"/>
    <w:semiHidden/>
    <w:rsid w:val="00043F77"/>
    <w:rPr>
      <w:rFonts w:ascii="Arial" w:hAnsi="Arial" w:cs="Arial"/>
      <w:color w:val="000080"/>
      <w:sz w:val="20"/>
      <w:szCs w:val="20"/>
    </w:rPr>
  </w:style>
  <w:style w:type="paragraph" w:customStyle="1" w:styleId="Default">
    <w:name w:val="Default"/>
    <w:rsid w:val="00D64D2E"/>
    <w:pPr>
      <w:autoSpaceDE w:val="0"/>
      <w:autoSpaceDN w:val="0"/>
      <w:adjustRightInd w:val="0"/>
    </w:pPr>
    <w:rPr>
      <w:rFonts w:ascii="Corbel" w:eastAsia="Times New Roman" w:hAnsi="Corbel" w:cs="Corbel"/>
      <w:color w:val="000000"/>
      <w:sz w:val="24"/>
      <w:szCs w:val="24"/>
    </w:rPr>
  </w:style>
  <w:style w:type="character" w:styleId="Strong">
    <w:name w:val="Strong"/>
    <w:qFormat/>
    <w:rsid w:val="00280243"/>
    <w:rPr>
      <w:b/>
      <w:bCs/>
    </w:rPr>
  </w:style>
  <w:style w:type="paragraph" w:styleId="CommentText">
    <w:name w:val="annotation text"/>
    <w:basedOn w:val="Normal"/>
    <w:link w:val="CommentTextChar"/>
    <w:semiHidden/>
    <w:rsid w:val="00C16B62"/>
    <w:rPr>
      <w:sz w:val="20"/>
      <w:szCs w:val="20"/>
    </w:rPr>
  </w:style>
  <w:style w:type="character" w:styleId="CommentReference">
    <w:name w:val="annotation reference"/>
    <w:semiHidden/>
    <w:rsid w:val="00C16B62"/>
    <w:rPr>
      <w:sz w:val="16"/>
      <w:szCs w:val="16"/>
    </w:rPr>
  </w:style>
  <w:style w:type="paragraph" w:styleId="ListParagraph">
    <w:name w:val="List Paragraph"/>
    <w:basedOn w:val="Normal"/>
    <w:qFormat/>
    <w:rsid w:val="00DE0F0D"/>
    <w:pPr>
      <w:widowControl/>
      <w:autoSpaceDE/>
      <w:autoSpaceDN/>
      <w:adjustRightInd/>
      <w:spacing w:before="0"/>
      <w:ind w:left="720"/>
    </w:pPr>
    <w:rPr>
      <w:rFonts w:eastAsia="Calibri"/>
      <w:lang w:eastAsia="en-AU"/>
    </w:rPr>
  </w:style>
  <w:style w:type="paragraph" w:styleId="DocumentMap">
    <w:name w:val="Document Map"/>
    <w:basedOn w:val="Normal"/>
    <w:semiHidden/>
    <w:rsid w:val="00D67A79"/>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0C21E7"/>
    <w:rPr>
      <w:b/>
      <w:bCs/>
    </w:rPr>
  </w:style>
  <w:style w:type="character" w:customStyle="1" w:styleId="CommentTextChar">
    <w:name w:val="Comment Text Char"/>
    <w:link w:val="CommentText"/>
    <w:semiHidden/>
    <w:rsid w:val="000C21E7"/>
    <w:rPr>
      <w:lang w:eastAsia="zh-CN"/>
    </w:rPr>
  </w:style>
  <w:style w:type="character" w:customStyle="1" w:styleId="CommentSubjectChar">
    <w:name w:val="Comment Subject Char"/>
    <w:link w:val="CommentSubject"/>
    <w:rsid w:val="000C21E7"/>
    <w:rPr>
      <w:lang w:eastAsia="zh-CN"/>
    </w:rPr>
  </w:style>
  <w:style w:type="paragraph" w:styleId="Revision">
    <w:name w:val="Revision"/>
    <w:hidden/>
    <w:uiPriority w:val="99"/>
    <w:semiHidden/>
    <w:rsid w:val="004065F5"/>
    <w:rPr>
      <w:sz w:val="24"/>
      <w:szCs w:val="24"/>
      <w:lang w:eastAsia="zh-CN"/>
    </w:rPr>
  </w:style>
  <w:style w:type="paragraph" w:styleId="NoSpacing">
    <w:name w:val="No Spacing"/>
    <w:uiPriority w:val="1"/>
    <w:qFormat/>
    <w:rsid w:val="008E0627"/>
    <w:pPr>
      <w:widowControl w:val="0"/>
      <w:autoSpaceDE w:val="0"/>
      <w:autoSpaceDN w:val="0"/>
      <w:adjustRightInd w:val="0"/>
    </w:pPr>
    <w:rPr>
      <w:sz w:val="24"/>
      <w:szCs w:val="24"/>
      <w:lang w:eastAsia="zh-CN"/>
    </w:rPr>
  </w:style>
  <w:style w:type="character" w:styleId="Emphasis">
    <w:name w:val="Emphasis"/>
    <w:uiPriority w:val="20"/>
    <w:qFormat/>
    <w:rsid w:val="009F0D80"/>
    <w:rPr>
      <w:i/>
      <w:iCs/>
    </w:rPr>
  </w:style>
  <w:style w:type="character" w:customStyle="1" w:styleId="RecommendationChar">
    <w:name w:val="Recommendation Char"/>
    <w:link w:val="Recommendation"/>
    <w:rsid w:val="00A6727A"/>
  </w:style>
  <w:style w:type="paragraph" w:customStyle="1" w:styleId="Recommendation">
    <w:name w:val="Recommendation"/>
    <w:basedOn w:val="Normal"/>
    <w:link w:val="RecommendationChar"/>
    <w:rsid w:val="00A6727A"/>
    <w:pPr>
      <w:widowControl/>
      <w:autoSpaceDE/>
      <w:autoSpaceDN/>
      <w:adjustRightInd/>
      <w:spacing w:before="0"/>
      <w:ind w:left="454" w:hanging="454"/>
    </w:pPr>
    <w:rPr>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C9E"/>
    <w:pPr>
      <w:widowControl w:val="0"/>
      <w:autoSpaceDE w:val="0"/>
      <w:autoSpaceDN w:val="0"/>
      <w:adjustRightInd w:val="0"/>
      <w:spacing w:before="240"/>
    </w:pPr>
    <w:rPr>
      <w:sz w:val="24"/>
      <w:szCs w:val="24"/>
      <w:lang w:eastAsia="zh-CN"/>
    </w:rPr>
  </w:style>
  <w:style w:type="paragraph" w:styleId="Heading1">
    <w:name w:val="heading 1"/>
    <w:basedOn w:val="Normal"/>
    <w:next w:val="Normal"/>
    <w:qFormat/>
    <w:rsid w:val="00B70C9E"/>
    <w:pPr>
      <w:keepNext/>
      <w:spacing w:after="120"/>
      <w:outlineLvl w:val="0"/>
    </w:pPr>
    <w:rPr>
      <w:rFonts w:ascii="Arial" w:hAnsi="Arial" w:cs="Arial"/>
      <w:b/>
      <w:bCs/>
      <w:kern w:val="32"/>
      <w:sz w:val="32"/>
      <w:szCs w:val="32"/>
    </w:rPr>
  </w:style>
  <w:style w:type="paragraph" w:styleId="Heading2">
    <w:name w:val="heading 2"/>
    <w:basedOn w:val="Normal"/>
    <w:next w:val="Normal"/>
    <w:qFormat/>
    <w:rsid w:val="00B70C9E"/>
    <w:pPr>
      <w:keepNext/>
      <w:spacing w:before="360" w:after="60"/>
      <w:outlineLvl w:val="1"/>
    </w:pPr>
    <w:rPr>
      <w:rFonts w:ascii="Arial" w:hAnsi="Arial" w:cs="Arial"/>
      <w:b/>
      <w:bCs/>
      <w:i/>
      <w:iCs/>
      <w:sz w:val="28"/>
      <w:szCs w:val="28"/>
    </w:rPr>
  </w:style>
  <w:style w:type="paragraph" w:styleId="Heading3">
    <w:name w:val="heading 3"/>
    <w:basedOn w:val="Normal"/>
    <w:next w:val="Normal"/>
    <w:qFormat/>
    <w:rsid w:val="00B70C9E"/>
    <w:pPr>
      <w:keepNext/>
      <w:spacing w:before="36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3A25D8"/>
    <w:pPr>
      <w:numPr>
        <w:numId w:val="3"/>
      </w:numPr>
    </w:pPr>
  </w:style>
  <w:style w:type="paragraph" w:customStyle="1" w:styleId="ScheduleHeading">
    <w:name w:val="Schedule Heading"/>
    <w:next w:val="ScheduleLevel1"/>
    <w:rsid w:val="00C524D5"/>
    <w:pPr>
      <w:pageBreakBefore/>
      <w:numPr>
        <w:numId w:val="4"/>
      </w:numPr>
      <w:shd w:val="solid" w:color="000000" w:fill="000000"/>
      <w:spacing w:after="140" w:line="280" w:lineRule="atLeast"/>
      <w:outlineLvl w:val="3"/>
    </w:pPr>
    <w:rPr>
      <w:rFonts w:ascii="Arial" w:eastAsia="Times New Roman" w:hAnsi="Arial" w:cs="Arial"/>
      <w:b/>
      <w:caps/>
      <w:color w:val="FFFFFF"/>
      <w:szCs w:val="22"/>
    </w:rPr>
  </w:style>
  <w:style w:type="paragraph" w:customStyle="1" w:styleId="ScheduleLevel1">
    <w:name w:val="Schedule Level 1"/>
    <w:next w:val="Normal"/>
    <w:rsid w:val="00C524D5"/>
    <w:pPr>
      <w:keepNext/>
      <w:numPr>
        <w:ilvl w:val="1"/>
        <w:numId w:val="4"/>
      </w:numPr>
      <w:pBdr>
        <w:bottom w:val="single" w:sz="2" w:space="0" w:color="auto"/>
      </w:pBdr>
      <w:spacing w:before="200" w:line="280" w:lineRule="atLeast"/>
      <w:outlineLvl w:val="3"/>
    </w:pPr>
    <w:rPr>
      <w:rFonts w:ascii="Arial" w:eastAsia="Times New Roman" w:hAnsi="Arial" w:cs="Arial"/>
      <w:b/>
      <w:sz w:val="22"/>
      <w:szCs w:val="22"/>
    </w:rPr>
  </w:style>
  <w:style w:type="paragraph" w:customStyle="1" w:styleId="ScheduleLevel4">
    <w:name w:val="Schedule Level 4"/>
    <w:basedOn w:val="Normal"/>
    <w:rsid w:val="00C524D5"/>
    <w:pPr>
      <w:widowControl/>
      <w:numPr>
        <w:ilvl w:val="5"/>
        <w:numId w:val="4"/>
      </w:numPr>
      <w:autoSpaceDE/>
      <w:autoSpaceDN/>
      <w:adjustRightInd/>
      <w:spacing w:before="0" w:after="140" w:line="280" w:lineRule="atLeast"/>
    </w:pPr>
    <w:rPr>
      <w:rFonts w:ascii="Arial" w:eastAsia="Times New Roman" w:hAnsi="Arial" w:cs="Arial"/>
      <w:sz w:val="22"/>
      <w:szCs w:val="22"/>
      <w:lang w:eastAsia="en-AU"/>
    </w:rPr>
  </w:style>
  <w:style w:type="paragraph" w:customStyle="1" w:styleId="ScheduleLevel6">
    <w:name w:val="Schedule Level 6"/>
    <w:basedOn w:val="ScheduleLevel4"/>
    <w:rsid w:val="00C524D5"/>
    <w:pPr>
      <w:numPr>
        <w:ilvl w:val="6"/>
      </w:numPr>
    </w:pPr>
  </w:style>
  <w:style w:type="paragraph" w:customStyle="1" w:styleId="ScheduleLevel7">
    <w:name w:val="Schedule Level 7"/>
    <w:basedOn w:val="ScheduleLevel4"/>
    <w:rsid w:val="00C524D5"/>
    <w:pPr>
      <w:numPr>
        <w:ilvl w:val="7"/>
      </w:numPr>
    </w:pPr>
  </w:style>
  <w:style w:type="paragraph" w:customStyle="1" w:styleId="ScheduleLevel8">
    <w:name w:val="Schedule Level 8"/>
    <w:basedOn w:val="ScheduleLevel4"/>
    <w:rsid w:val="00C524D5"/>
    <w:pPr>
      <w:numPr>
        <w:ilvl w:val="8"/>
      </w:numPr>
    </w:pPr>
  </w:style>
  <w:style w:type="paragraph" w:customStyle="1" w:styleId="Definition">
    <w:name w:val="Definition"/>
    <w:rsid w:val="00C524D5"/>
    <w:pPr>
      <w:spacing w:before="40" w:after="40" w:line="280" w:lineRule="atLeast"/>
    </w:pPr>
    <w:rPr>
      <w:rFonts w:ascii="Arial" w:eastAsia="Times New Roman" w:hAnsi="Arial" w:cs="Arial"/>
      <w:sz w:val="22"/>
      <w:szCs w:val="22"/>
    </w:rPr>
  </w:style>
  <w:style w:type="paragraph" w:customStyle="1" w:styleId="DefinedTerm">
    <w:name w:val="Defined Term"/>
    <w:rsid w:val="00C524D5"/>
    <w:pPr>
      <w:spacing w:before="40" w:after="40" w:line="280" w:lineRule="atLeast"/>
    </w:pPr>
    <w:rPr>
      <w:rFonts w:ascii="Arial" w:eastAsia="Times New Roman" w:hAnsi="Arial" w:cs="Arial"/>
      <w:b/>
      <w:sz w:val="22"/>
      <w:szCs w:val="22"/>
    </w:rPr>
  </w:style>
  <w:style w:type="paragraph" w:customStyle="1" w:styleId="1Reference">
    <w:name w:val="1. Reference"/>
    <w:basedOn w:val="Normal"/>
    <w:semiHidden/>
    <w:rsid w:val="00C524D5"/>
    <w:pPr>
      <w:widowControl/>
      <w:autoSpaceDE/>
      <w:autoSpaceDN/>
      <w:adjustRightInd/>
      <w:spacing w:before="0" w:line="200" w:lineRule="atLeast"/>
    </w:pPr>
    <w:rPr>
      <w:rFonts w:ascii="Arial" w:eastAsia="Times New Roman" w:hAnsi="Arial" w:cs="Arial"/>
      <w:sz w:val="20"/>
      <w:szCs w:val="22"/>
      <w:lang w:eastAsia="en-AU"/>
    </w:rPr>
  </w:style>
  <w:style w:type="paragraph" w:customStyle="1" w:styleId="2Date">
    <w:name w:val="2. Date"/>
    <w:basedOn w:val="Normal"/>
    <w:next w:val="Normal"/>
    <w:semiHidden/>
    <w:rsid w:val="00C524D5"/>
    <w:pPr>
      <w:widowControl/>
      <w:autoSpaceDE/>
      <w:autoSpaceDN/>
      <w:adjustRightInd/>
      <w:spacing w:before="280" w:after="280" w:line="280" w:lineRule="atLeast"/>
    </w:pPr>
    <w:rPr>
      <w:rFonts w:ascii="Arial" w:eastAsia="Times New Roman" w:hAnsi="Arial" w:cs="Arial"/>
      <w:sz w:val="22"/>
      <w:szCs w:val="22"/>
      <w:lang w:eastAsia="en-AU"/>
    </w:rPr>
  </w:style>
  <w:style w:type="paragraph" w:customStyle="1" w:styleId="3Address">
    <w:name w:val="3. Address"/>
    <w:basedOn w:val="Normal"/>
    <w:semiHidden/>
    <w:rsid w:val="00C524D5"/>
    <w:pPr>
      <w:keepLines/>
      <w:autoSpaceDE/>
      <w:autoSpaceDN/>
      <w:adjustRightInd/>
      <w:spacing w:before="0" w:line="280" w:lineRule="atLeast"/>
    </w:pPr>
    <w:rPr>
      <w:rFonts w:ascii="Arial" w:eastAsia="Times New Roman" w:hAnsi="Arial" w:cs="Arial"/>
      <w:sz w:val="22"/>
      <w:szCs w:val="22"/>
      <w:lang w:eastAsia="en-AU"/>
    </w:rPr>
  </w:style>
  <w:style w:type="paragraph" w:customStyle="1" w:styleId="4Addressee">
    <w:name w:val="4. Addressee"/>
    <w:basedOn w:val="Normal"/>
    <w:next w:val="Normal"/>
    <w:semiHidden/>
    <w:rsid w:val="00C524D5"/>
    <w:pPr>
      <w:keepLines/>
      <w:autoSpaceDE/>
      <w:autoSpaceDN/>
      <w:adjustRightInd/>
      <w:spacing w:before="420" w:after="280" w:line="280" w:lineRule="atLeast"/>
    </w:pPr>
    <w:rPr>
      <w:rFonts w:ascii="Arial" w:eastAsia="Times New Roman" w:hAnsi="Arial" w:cs="Arial"/>
      <w:sz w:val="22"/>
      <w:szCs w:val="22"/>
      <w:lang w:eastAsia="en-AU"/>
    </w:rPr>
  </w:style>
  <w:style w:type="paragraph" w:customStyle="1" w:styleId="Plainparaa">
    <w:name w:val="Plain para a."/>
    <w:basedOn w:val="Normal"/>
    <w:rsid w:val="00C524D5"/>
    <w:pPr>
      <w:widowControl/>
      <w:numPr>
        <w:numId w:val="5"/>
      </w:numPr>
      <w:autoSpaceDE/>
      <w:autoSpaceDN/>
      <w:adjustRightInd/>
      <w:spacing w:before="0" w:after="140" w:line="280" w:lineRule="atLeast"/>
    </w:pPr>
    <w:rPr>
      <w:rFonts w:ascii="Arial" w:eastAsia="Times New Roman" w:hAnsi="Arial" w:cs="Arial"/>
      <w:sz w:val="22"/>
      <w:szCs w:val="22"/>
      <w:lang w:eastAsia="en-AU"/>
    </w:rPr>
  </w:style>
  <w:style w:type="paragraph" w:styleId="FootnoteText">
    <w:name w:val="footnote text"/>
    <w:basedOn w:val="Normal"/>
    <w:semiHidden/>
    <w:rsid w:val="0077783F"/>
    <w:pPr>
      <w:widowControl/>
      <w:autoSpaceDE/>
      <w:autoSpaceDN/>
      <w:adjustRightInd/>
      <w:spacing w:before="0"/>
    </w:pPr>
    <w:rPr>
      <w:rFonts w:eastAsia="Times New Roman"/>
      <w:sz w:val="20"/>
      <w:szCs w:val="20"/>
      <w:lang w:eastAsia="en-AU"/>
    </w:rPr>
  </w:style>
  <w:style w:type="character" w:styleId="FootnoteReference">
    <w:name w:val="footnote reference"/>
    <w:semiHidden/>
    <w:rsid w:val="0077783F"/>
    <w:rPr>
      <w:vertAlign w:val="superscript"/>
    </w:rPr>
  </w:style>
  <w:style w:type="paragraph" w:customStyle="1" w:styleId="SimmaryofIAs2bullets">
    <w:name w:val="Simmary of IAs 2(bullets)"/>
    <w:basedOn w:val="Normal"/>
    <w:rsid w:val="0077783F"/>
    <w:pPr>
      <w:widowControl/>
      <w:numPr>
        <w:numId w:val="6"/>
      </w:numPr>
      <w:autoSpaceDE/>
      <w:autoSpaceDN/>
      <w:adjustRightInd/>
      <w:spacing w:before="0"/>
    </w:pPr>
    <w:rPr>
      <w:rFonts w:eastAsia="Times New Roman"/>
      <w:lang w:eastAsia="en-AU"/>
    </w:rPr>
  </w:style>
  <w:style w:type="paragraph" w:customStyle="1" w:styleId="Bracket">
    <w:name w:val="Bracket"/>
    <w:basedOn w:val="Normal"/>
    <w:rsid w:val="0077783F"/>
    <w:pPr>
      <w:widowControl/>
      <w:autoSpaceDE/>
      <w:autoSpaceDN/>
      <w:adjustRightInd/>
      <w:spacing w:before="0"/>
      <w:ind w:left="360"/>
    </w:pPr>
    <w:rPr>
      <w:rFonts w:eastAsia="Times New Roman"/>
      <w:lang w:eastAsia="en-AU"/>
    </w:rPr>
  </w:style>
  <w:style w:type="table" w:styleId="TableGrid">
    <w:name w:val="Table Grid"/>
    <w:basedOn w:val="TableNormal"/>
    <w:rsid w:val="009D14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77F13"/>
    <w:rPr>
      <w:rFonts w:ascii="Tahoma" w:hAnsi="Tahoma" w:cs="Tahoma"/>
      <w:sz w:val="16"/>
      <w:szCs w:val="16"/>
    </w:rPr>
  </w:style>
  <w:style w:type="paragraph" w:customStyle="1" w:styleId="NormalBlack">
    <w:name w:val="Normal + Black"/>
    <w:basedOn w:val="Normal"/>
    <w:rsid w:val="00E51B49"/>
    <w:pPr>
      <w:numPr>
        <w:ilvl w:val="1"/>
        <w:numId w:val="2"/>
      </w:numPr>
    </w:pPr>
    <w:rPr>
      <w:color w:val="000000"/>
    </w:rPr>
  </w:style>
  <w:style w:type="character" w:styleId="Hyperlink">
    <w:name w:val="Hyperlink"/>
    <w:rsid w:val="00716B7A"/>
    <w:rPr>
      <w:rFonts w:cs="Times New Roman"/>
      <w:color w:val="0000FF"/>
      <w:u w:val="single"/>
    </w:rPr>
  </w:style>
  <w:style w:type="paragraph" w:styleId="Footer">
    <w:name w:val="footer"/>
    <w:basedOn w:val="Normal"/>
    <w:link w:val="FooterChar"/>
    <w:rsid w:val="00716B7A"/>
    <w:pPr>
      <w:widowControl/>
      <w:tabs>
        <w:tab w:val="center" w:pos="4153"/>
        <w:tab w:val="right" w:pos="8306"/>
      </w:tabs>
      <w:autoSpaceDE/>
      <w:autoSpaceDN/>
      <w:adjustRightInd/>
      <w:spacing w:before="0"/>
    </w:pPr>
    <w:rPr>
      <w:rFonts w:ascii="Arial" w:eastAsia="Times New Roman" w:hAnsi="Arial" w:cs="Arial"/>
      <w:sz w:val="22"/>
      <w:szCs w:val="22"/>
      <w:lang w:eastAsia="en-AU"/>
    </w:rPr>
  </w:style>
  <w:style w:type="character" w:customStyle="1" w:styleId="FooterChar">
    <w:name w:val="Footer Char"/>
    <w:link w:val="Footer"/>
    <w:semiHidden/>
    <w:locked/>
    <w:rsid w:val="00716B7A"/>
    <w:rPr>
      <w:rFonts w:ascii="Arial" w:hAnsi="Arial" w:cs="Arial"/>
      <w:sz w:val="22"/>
      <w:szCs w:val="22"/>
      <w:lang w:val="en-AU" w:eastAsia="en-AU" w:bidi="ar-SA"/>
    </w:rPr>
  </w:style>
  <w:style w:type="paragraph" w:styleId="BodyText">
    <w:name w:val="Body Text"/>
    <w:basedOn w:val="Normal"/>
    <w:rsid w:val="00BF234E"/>
    <w:pPr>
      <w:widowControl/>
      <w:autoSpaceDE/>
      <w:autoSpaceDN/>
      <w:adjustRightInd/>
      <w:spacing w:before="100" w:after="100"/>
    </w:pPr>
    <w:rPr>
      <w:rFonts w:eastAsia="Times New Roman"/>
      <w:szCs w:val="20"/>
      <w:lang w:eastAsia="en-US"/>
    </w:rPr>
  </w:style>
  <w:style w:type="paragraph" w:customStyle="1" w:styleId="Bullet2">
    <w:name w:val="Bullet 2"/>
    <w:basedOn w:val="Normal"/>
    <w:rsid w:val="00BF234E"/>
    <w:pPr>
      <w:widowControl/>
      <w:numPr>
        <w:ilvl w:val="1"/>
        <w:numId w:val="9"/>
      </w:numPr>
      <w:tabs>
        <w:tab w:val="clear" w:pos="1440"/>
      </w:tabs>
      <w:autoSpaceDE/>
      <w:autoSpaceDN/>
      <w:adjustRightInd/>
      <w:spacing w:before="120"/>
      <w:ind w:left="720"/>
    </w:pPr>
    <w:rPr>
      <w:rFonts w:eastAsia="PMingLiU"/>
      <w:lang w:eastAsia="zh-TW"/>
    </w:rPr>
  </w:style>
  <w:style w:type="paragraph" w:styleId="NormalWeb">
    <w:name w:val="Normal (Web)"/>
    <w:basedOn w:val="Normal"/>
    <w:rsid w:val="007E6793"/>
    <w:pPr>
      <w:widowControl/>
      <w:autoSpaceDE/>
      <w:autoSpaceDN/>
      <w:adjustRightInd/>
      <w:spacing w:before="100" w:beforeAutospacing="1" w:after="100" w:afterAutospacing="1"/>
    </w:pPr>
    <w:rPr>
      <w:rFonts w:eastAsia="Times New Roman"/>
      <w:lang w:eastAsia="en-AU"/>
    </w:rPr>
  </w:style>
  <w:style w:type="paragraph" w:styleId="Header">
    <w:name w:val="header"/>
    <w:basedOn w:val="Normal"/>
    <w:rsid w:val="00C01EC4"/>
    <w:pPr>
      <w:tabs>
        <w:tab w:val="center" w:pos="4153"/>
        <w:tab w:val="right" w:pos="8306"/>
      </w:tabs>
    </w:pPr>
  </w:style>
  <w:style w:type="character" w:customStyle="1" w:styleId="sllisting1">
    <w:name w:val="sl_listing1"/>
    <w:basedOn w:val="DefaultParagraphFont"/>
    <w:rsid w:val="00100EA9"/>
  </w:style>
  <w:style w:type="character" w:styleId="PageNumber">
    <w:name w:val="page number"/>
    <w:basedOn w:val="DefaultParagraphFont"/>
    <w:rsid w:val="00903AF8"/>
  </w:style>
  <w:style w:type="character" w:customStyle="1" w:styleId="EmailStyle45">
    <w:name w:val="EmailStyle45"/>
    <w:semiHidden/>
    <w:rsid w:val="00043F77"/>
    <w:rPr>
      <w:rFonts w:ascii="Arial" w:hAnsi="Arial" w:cs="Arial"/>
      <w:color w:val="000080"/>
      <w:sz w:val="20"/>
      <w:szCs w:val="20"/>
    </w:rPr>
  </w:style>
  <w:style w:type="paragraph" w:customStyle="1" w:styleId="Default">
    <w:name w:val="Default"/>
    <w:rsid w:val="00D64D2E"/>
    <w:pPr>
      <w:autoSpaceDE w:val="0"/>
      <w:autoSpaceDN w:val="0"/>
      <w:adjustRightInd w:val="0"/>
    </w:pPr>
    <w:rPr>
      <w:rFonts w:ascii="Corbel" w:eastAsia="Times New Roman" w:hAnsi="Corbel" w:cs="Corbel"/>
      <w:color w:val="000000"/>
      <w:sz w:val="24"/>
      <w:szCs w:val="24"/>
    </w:rPr>
  </w:style>
  <w:style w:type="character" w:styleId="Strong">
    <w:name w:val="Strong"/>
    <w:qFormat/>
    <w:rsid w:val="00280243"/>
    <w:rPr>
      <w:b/>
      <w:bCs/>
    </w:rPr>
  </w:style>
  <w:style w:type="paragraph" w:styleId="CommentText">
    <w:name w:val="annotation text"/>
    <w:basedOn w:val="Normal"/>
    <w:link w:val="CommentTextChar"/>
    <w:semiHidden/>
    <w:rsid w:val="00C16B62"/>
    <w:rPr>
      <w:sz w:val="20"/>
      <w:szCs w:val="20"/>
    </w:rPr>
  </w:style>
  <w:style w:type="character" w:styleId="CommentReference">
    <w:name w:val="annotation reference"/>
    <w:semiHidden/>
    <w:rsid w:val="00C16B62"/>
    <w:rPr>
      <w:sz w:val="16"/>
      <w:szCs w:val="16"/>
    </w:rPr>
  </w:style>
  <w:style w:type="paragraph" w:styleId="ListParagraph">
    <w:name w:val="List Paragraph"/>
    <w:basedOn w:val="Normal"/>
    <w:qFormat/>
    <w:rsid w:val="00DE0F0D"/>
    <w:pPr>
      <w:widowControl/>
      <w:autoSpaceDE/>
      <w:autoSpaceDN/>
      <w:adjustRightInd/>
      <w:spacing w:before="0"/>
      <w:ind w:left="720"/>
    </w:pPr>
    <w:rPr>
      <w:rFonts w:eastAsia="Calibri"/>
      <w:lang w:eastAsia="en-AU"/>
    </w:rPr>
  </w:style>
  <w:style w:type="paragraph" w:styleId="DocumentMap">
    <w:name w:val="Document Map"/>
    <w:basedOn w:val="Normal"/>
    <w:semiHidden/>
    <w:rsid w:val="00D67A79"/>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0C21E7"/>
    <w:rPr>
      <w:b/>
      <w:bCs/>
    </w:rPr>
  </w:style>
  <w:style w:type="character" w:customStyle="1" w:styleId="CommentTextChar">
    <w:name w:val="Comment Text Char"/>
    <w:link w:val="CommentText"/>
    <w:semiHidden/>
    <w:rsid w:val="000C21E7"/>
    <w:rPr>
      <w:lang w:eastAsia="zh-CN"/>
    </w:rPr>
  </w:style>
  <w:style w:type="character" w:customStyle="1" w:styleId="CommentSubjectChar">
    <w:name w:val="Comment Subject Char"/>
    <w:link w:val="CommentSubject"/>
    <w:rsid w:val="000C21E7"/>
    <w:rPr>
      <w:lang w:eastAsia="zh-CN"/>
    </w:rPr>
  </w:style>
  <w:style w:type="paragraph" w:styleId="Revision">
    <w:name w:val="Revision"/>
    <w:hidden/>
    <w:uiPriority w:val="99"/>
    <w:semiHidden/>
    <w:rsid w:val="004065F5"/>
    <w:rPr>
      <w:sz w:val="24"/>
      <w:szCs w:val="24"/>
      <w:lang w:eastAsia="zh-CN"/>
    </w:rPr>
  </w:style>
  <w:style w:type="paragraph" w:styleId="NoSpacing">
    <w:name w:val="No Spacing"/>
    <w:uiPriority w:val="1"/>
    <w:qFormat/>
    <w:rsid w:val="008E0627"/>
    <w:pPr>
      <w:widowControl w:val="0"/>
      <w:autoSpaceDE w:val="0"/>
      <w:autoSpaceDN w:val="0"/>
      <w:adjustRightInd w:val="0"/>
    </w:pPr>
    <w:rPr>
      <w:sz w:val="24"/>
      <w:szCs w:val="24"/>
      <w:lang w:eastAsia="zh-CN"/>
    </w:rPr>
  </w:style>
  <w:style w:type="character" w:styleId="Emphasis">
    <w:name w:val="Emphasis"/>
    <w:uiPriority w:val="20"/>
    <w:qFormat/>
    <w:rsid w:val="009F0D80"/>
    <w:rPr>
      <w:i/>
      <w:iCs/>
    </w:rPr>
  </w:style>
  <w:style w:type="character" w:customStyle="1" w:styleId="RecommendationChar">
    <w:name w:val="Recommendation Char"/>
    <w:link w:val="Recommendation"/>
    <w:rsid w:val="00A6727A"/>
  </w:style>
  <w:style w:type="paragraph" w:customStyle="1" w:styleId="Recommendation">
    <w:name w:val="Recommendation"/>
    <w:basedOn w:val="Normal"/>
    <w:link w:val="RecommendationChar"/>
    <w:rsid w:val="00A6727A"/>
    <w:pPr>
      <w:widowControl/>
      <w:autoSpaceDE/>
      <w:autoSpaceDN/>
      <w:adjustRightInd/>
      <w:spacing w:before="0"/>
      <w:ind w:left="454" w:hanging="454"/>
    </w:pPr>
    <w:rPr>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8167">
      <w:bodyDiv w:val="1"/>
      <w:marLeft w:val="0"/>
      <w:marRight w:val="0"/>
      <w:marTop w:val="0"/>
      <w:marBottom w:val="0"/>
      <w:divBdr>
        <w:top w:val="none" w:sz="0" w:space="0" w:color="auto"/>
        <w:left w:val="none" w:sz="0" w:space="0" w:color="auto"/>
        <w:bottom w:val="none" w:sz="0" w:space="0" w:color="auto"/>
        <w:right w:val="none" w:sz="0" w:space="0" w:color="auto"/>
      </w:divBdr>
    </w:div>
    <w:div w:id="447358998">
      <w:bodyDiv w:val="1"/>
      <w:marLeft w:val="0"/>
      <w:marRight w:val="0"/>
      <w:marTop w:val="0"/>
      <w:marBottom w:val="0"/>
      <w:divBdr>
        <w:top w:val="none" w:sz="0" w:space="0" w:color="auto"/>
        <w:left w:val="none" w:sz="0" w:space="0" w:color="auto"/>
        <w:bottom w:val="none" w:sz="0" w:space="0" w:color="auto"/>
        <w:right w:val="none" w:sz="0" w:space="0" w:color="auto"/>
      </w:divBdr>
    </w:div>
    <w:div w:id="519591522">
      <w:bodyDiv w:val="1"/>
      <w:marLeft w:val="0"/>
      <w:marRight w:val="0"/>
      <w:marTop w:val="0"/>
      <w:marBottom w:val="0"/>
      <w:divBdr>
        <w:top w:val="none" w:sz="0" w:space="0" w:color="auto"/>
        <w:left w:val="none" w:sz="0" w:space="0" w:color="auto"/>
        <w:bottom w:val="none" w:sz="0" w:space="0" w:color="auto"/>
        <w:right w:val="none" w:sz="0" w:space="0" w:color="auto"/>
      </w:divBdr>
    </w:div>
    <w:div w:id="577448149">
      <w:bodyDiv w:val="1"/>
      <w:marLeft w:val="60"/>
      <w:marRight w:val="60"/>
      <w:marTop w:val="60"/>
      <w:marBottom w:val="15"/>
      <w:divBdr>
        <w:top w:val="none" w:sz="0" w:space="0" w:color="auto"/>
        <w:left w:val="none" w:sz="0" w:space="0" w:color="auto"/>
        <w:bottom w:val="none" w:sz="0" w:space="0" w:color="auto"/>
        <w:right w:val="none" w:sz="0" w:space="0" w:color="auto"/>
      </w:divBdr>
      <w:divsChild>
        <w:div w:id="13850965">
          <w:marLeft w:val="0"/>
          <w:marRight w:val="0"/>
          <w:marTop w:val="0"/>
          <w:marBottom w:val="0"/>
          <w:divBdr>
            <w:top w:val="none" w:sz="0" w:space="0" w:color="auto"/>
            <w:left w:val="none" w:sz="0" w:space="0" w:color="auto"/>
            <w:bottom w:val="none" w:sz="0" w:space="0" w:color="auto"/>
            <w:right w:val="none" w:sz="0" w:space="0" w:color="auto"/>
          </w:divBdr>
        </w:div>
        <w:div w:id="291054785">
          <w:marLeft w:val="0"/>
          <w:marRight w:val="0"/>
          <w:marTop w:val="0"/>
          <w:marBottom w:val="0"/>
          <w:divBdr>
            <w:top w:val="none" w:sz="0" w:space="0" w:color="auto"/>
            <w:left w:val="none" w:sz="0" w:space="0" w:color="auto"/>
            <w:bottom w:val="none" w:sz="0" w:space="0" w:color="auto"/>
            <w:right w:val="none" w:sz="0" w:space="0" w:color="auto"/>
          </w:divBdr>
        </w:div>
        <w:div w:id="291526064">
          <w:marLeft w:val="0"/>
          <w:marRight w:val="0"/>
          <w:marTop w:val="0"/>
          <w:marBottom w:val="0"/>
          <w:divBdr>
            <w:top w:val="none" w:sz="0" w:space="0" w:color="auto"/>
            <w:left w:val="none" w:sz="0" w:space="0" w:color="auto"/>
            <w:bottom w:val="none" w:sz="0" w:space="0" w:color="auto"/>
            <w:right w:val="none" w:sz="0" w:space="0" w:color="auto"/>
          </w:divBdr>
        </w:div>
        <w:div w:id="642001213">
          <w:marLeft w:val="0"/>
          <w:marRight w:val="0"/>
          <w:marTop w:val="0"/>
          <w:marBottom w:val="0"/>
          <w:divBdr>
            <w:top w:val="none" w:sz="0" w:space="0" w:color="auto"/>
            <w:left w:val="none" w:sz="0" w:space="0" w:color="auto"/>
            <w:bottom w:val="none" w:sz="0" w:space="0" w:color="auto"/>
            <w:right w:val="none" w:sz="0" w:space="0" w:color="auto"/>
          </w:divBdr>
        </w:div>
        <w:div w:id="1571189312">
          <w:marLeft w:val="0"/>
          <w:marRight w:val="0"/>
          <w:marTop w:val="0"/>
          <w:marBottom w:val="0"/>
          <w:divBdr>
            <w:top w:val="none" w:sz="0" w:space="0" w:color="auto"/>
            <w:left w:val="none" w:sz="0" w:space="0" w:color="auto"/>
            <w:bottom w:val="none" w:sz="0" w:space="0" w:color="auto"/>
            <w:right w:val="none" w:sz="0" w:space="0" w:color="auto"/>
          </w:divBdr>
        </w:div>
        <w:div w:id="1905796542">
          <w:marLeft w:val="0"/>
          <w:marRight w:val="0"/>
          <w:marTop w:val="0"/>
          <w:marBottom w:val="0"/>
          <w:divBdr>
            <w:top w:val="none" w:sz="0" w:space="0" w:color="auto"/>
            <w:left w:val="none" w:sz="0" w:space="0" w:color="auto"/>
            <w:bottom w:val="none" w:sz="0" w:space="0" w:color="auto"/>
            <w:right w:val="none" w:sz="0" w:space="0" w:color="auto"/>
          </w:divBdr>
        </w:div>
        <w:div w:id="1947497212">
          <w:marLeft w:val="0"/>
          <w:marRight w:val="0"/>
          <w:marTop w:val="0"/>
          <w:marBottom w:val="0"/>
          <w:divBdr>
            <w:top w:val="none" w:sz="0" w:space="0" w:color="auto"/>
            <w:left w:val="none" w:sz="0" w:space="0" w:color="auto"/>
            <w:bottom w:val="none" w:sz="0" w:space="0" w:color="auto"/>
            <w:right w:val="none" w:sz="0" w:space="0" w:color="auto"/>
          </w:divBdr>
        </w:div>
      </w:divsChild>
    </w:div>
    <w:div w:id="751708142">
      <w:bodyDiv w:val="1"/>
      <w:marLeft w:val="0"/>
      <w:marRight w:val="0"/>
      <w:marTop w:val="0"/>
      <w:marBottom w:val="0"/>
      <w:divBdr>
        <w:top w:val="none" w:sz="0" w:space="0" w:color="auto"/>
        <w:left w:val="none" w:sz="0" w:space="0" w:color="auto"/>
        <w:bottom w:val="none" w:sz="0" w:space="0" w:color="auto"/>
        <w:right w:val="none" w:sz="0" w:space="0" w:color="auto"/>
      </w:divBdr>
    </w:div>
    <w:div w:id="866409876">
      <w:bodyDiv w:val="1"/>
      <w:marLeft w:val="0"/>
      <w:marRight w:val="0"/>
      <w:marTop w:val="0"/>
      <w:marBottom w:val="0"/>
      <w:divBdr>
        <w:top w:val="none" w:sz="0" w:space="0" w:color="auto"/>
        <w:left w:val="none" w:sz="0" w:space="0" w:color="auto"/>
        <w:bottom w:val="none" w:sz="0" w:space="0" w:color="auto"/>
        <w:right w:val="none" w:sz="0" w:space="0" w:color="auto"/>
      </w:divBdr>
    </w:div>
    <w:div w:id="1148283442">
      <w:bodyDiv w:val="1"/>
      <w:marLeft w:val="0"/>
      <w:marRight w:val="0"/>
      <w:marTop w:val="0"/>
      <w:marBottom w:val="0"/>
      <w:divBdr>
        <w:top w:val="none" w:sz="0" w:space="0" w:color="auto"/>
        <w:left w:val="none" w:sz="0" w:space="0" w:color="auto"/>
        <w:bottom w:val="none" w:sz="0" w:space="0" w:color="auto"/>
        <w:right w:val="none" w:sz="0" w:space="0" w:color="auto"/>
      </w:divBdr>
      <w:divsChild>
        <w:div w:id="1043794029">
          <w:marLeft w:val="0"/>
          <w:marRight w:val="0"/>
          <w:marTop w:val="0"/>
          <w:marBottom w:val="0"/>
          <w:divBdr>
            <w:top w:val="none" w:sz="0" w:space="0" w:color="auto"/>
            <w:left w:val="none" w:sz="0" w:space="0" w:color="auto"/>
            <w:bottom w:val="none" w:sz="0" w:space="0" w:color="auto"/>
            <w:right w:val="none" w:sz="0" w:space="0" w:color="auto"/>
          </w:divBdr>
        </w:div>
      </w:divsChild>
    </w:div>
    <w:div w:id="1366784523">
      <w:bodyDiv w:val="1"/>
      <w:marLeft w:val="0"/>
      <w:marRight w:val="0"/>
      <w:marTop w:val="0"/>
      <w:marBottom w:val="0"/>
      <w:divBdr>
        <w:top w:val="none" w:sz="0" w:space="0" w:color="auto"/>
        <w:left w:val="none" w:sz="0" w:space="0" w:color="auto"/>
        <w:bottom w:val="none" w:sz="0" w:space="0" w:color="auto"/>
        <w:right w:val="none" w:sz="0" w:space="0" w:color="auto"/>
      </w:divBdr>
    </w:div>
    <w:div w:id="1370647939">
      <w:bodyDiv w:val="1"/>
      <w:marLeft w:val="0"/>
      <w:marRight w:val="0"/>
      <w:marTop w:val="0"/>
      <w:marBottom w:val="0"/>
      <w:divBdr>
        <w:top w:val="none" w:sz="0" w:space="0" w:color="auto"/>
        <w:left w:val="none" w:sz="0" w:space="0" w:color="auto"/>
        <w:bottom w:val="none" w:sz="0" w:space="0" w:color="auto"/>
        <w:right w:val="none" w:sz="0" w:space="0" w:color="auto"/>
      </w:divBdr>
    </w:div>
    <w:div w:id="1576934710">
      <w:bodyDiv w:val="1"/>
      <w:marLeft w:val="0"/>
      <w:marRight w:val="0"/>
      <w:marTop w:val="0"/>
      <w:marBottom w:val="0"/>
      <w:divBdr>
        <w:top w:val="none" w:sz="0" w:space="0" w:color="auto"/>
        <w:left w:val="none" w:sz="0" w:space="0" w:color="auto"/>
        <w:bottom w:val="none" w:sz="0" w:space="0" w:color="auto"/>
        <w:right w:val="none" w:sz="0" w:space="0" w:color="auto"/>
      </w:divBdr>
    </w:div>
    <w:div w:id="1592617854">
      <w:bodyDiv w:val="1"/>
      <w:marLeft w:val="0"/>
      <w:marRight w:val="0"/>
      <w:marTop w:val="0"/>
      <w:marBottom w:val="0"/>
      <w:divBdr>
        <w:top w:val="none" w:sz="0" w:space="0" w:color="auto"/>
        <w:left w:val="none" w:sz="0" w:space="0" w:color="auto"/>
        <w:bottom w:val="none" w:sz="0" w:space="0" w:color="auto"/>
        <w:right w:val="none" w:sz="0" w:space="0" w:color="auto"/>
      </w:divBdr>
      <w:divsChild>
        <w:div w:id="1430392675">
          <w:marLeft w:val="0"/>
          <w:marRight w:val="0"/>
          <w:marTop w:val="0"/>
          <w:marBottom w:val="0"/>
          <w:divBdr>
            <w:top w:val="none" w:sz="0" w:space="0" w:color="auto"/>
            <w:left w:val="none" w:sz="0" w:space="0" w:color="auto"/>
            <w:bottom w:val="none" w:sz="0" w:space="0" w:color="auto"/>
            <w:right w:val="none" w:sz="0" w:space="0" w:color="auto"/>
          </w:divBdr>
          <w:divsChild>
            <w:div w:id="784077407">
              <w:marLeft w:val="0"/>
              <w:marRight w:val="0"/>
              <w:marTop w:val="0"/>
              <w:marBottom w:val="0"/>
              <w:divBdr>
                <w:top w:val="none" w:sz="0" w:space="0" w:color="auto"/>
                <w:left w:val="none" w:sz="0" w:space="0" w:color="auto"/>
                <w:bottom w:val="none" w:sz="0" w:space="0" w:color="auto"/>
                <w:right w:val="none" w:sz="0" w:space="0" w:color="auto"/>
              </w:divBdr>
              <w:divsChild>
                <w:div w:id="1481844940">
                  <w:marLeft w:val="0"/>
                  <w:marRight w:val="0"/>
                  <w:marTop w:val="0"/>
                  <w:marBottom w:val="0"/>
                  <w:divBdr>
                    <w:top w:val="none" w:sz="0" w:space="0" w:color="auto"/>
                    <w:left w:val="none" w:sz="0" w:space="0" w:color="auto"/>
                    <w:bottom w:val="none" w:sz="0" w:space="0" w:color="auto"/>
                    <w:right w:val="none" w:sz="0" w:space="0" w:color="auto"/>
                  </w:divBdr>
                  <w:divsChild>
                    <w:div w:id="21043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13731">
      <w:bodyDiv w:val="1"/>
      <w:marLeft w:val="60"/>
      <w:marRight w:val="60"/>
      <w:marTop w:val="60"/>
      <w:marBottom w:val="15"/>
      <w:divBdr>
        <w:top w:val="none" w:sz="0" w:space="0" w:color="auto"/>
        <w:left w:val="none" w:sz="0" w:space="0" w:color="auto"/>
        <w:bottom w:val="none" w:sz="0" w:space="0" w:color="auto"/>
        <w:right w:val="none" w:sz="0" w:space="0" w:color="auto"/>
      </w:divBdr>
      <w:divsChild>
        <w:div w:id="260457361">
          <w:marLeft w:val="0"/>
          <w:marRight w:val="0"/>
          <w:marTop w:val="0"/>
          <w:marBottom w:val="0"/>
          <w:divBdr>
            <w:top w:val="none" w:sz="0" w:space="0" w:color="auto"/>
            <w:left w:val="none" w:sz="0" w:space="0" w:color="auto"/>
            <w:bottom w:val="none" w:sz="0" w:space="0" w:color="auto"/>
            <w:right w:val="none" w:sz="0" w:space="0" w:color="auto"/>
          </w:divBdr>
        </w:div>
        <w:div w:id="640382256">
          <w:marLeft w:val="0"/>
          <w:marRight w:val="0"/>
          <w:marTop w:val="0"/>
          <w:marBottom w:val="0"/>
          <w:divBdr>
            <w:top w:val="none" w:sz="0" w:space="0" w:color="auto"/>
            <w:left w:val="none" w:sz="0" w:space="0" w:color="auto"/>
            <w:bottom w:val="none" w:sz="0" w:space="0" w:color="auto"/>
            <w:right w:val="none" w:sz="0" w:space="0" w:color="auto"/>
          </w:divBdr>
        </w:div>
      </w:divsChild>
    </w:div>
    <w:div w:id="1689985448">
      <w:bodyDiv w:val="1"/>
      <w:marLeft w:val="60"/>
      <w:marRight w:val="60"/>
      <w:marTop w:val="60"/>
      <w:marBottom w:val="15"/>
      <w:divBdr>
        <w:top w:val="none" w:sz="0" w:space="0" w:color="auto"/>
        <w:left w:val="none" w:sz="0" w:space="0" w:color="auto"/>
        <w:bottom w:val="none" w:sz="0" w:space="0" w:color="auto"/>
        <w:right w:val="none" w:sz="0" w:space="0" w:color="auto"/>
      </w:divBdr>
    </w:div>
    <w:div w:id="214476241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4920-D761-412B-A9AC-37F9400D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A7E25D89</Template>
  <TotalTime>0</TotalTime>
  <Pages>20</Pages>
  <Words>6038</Words>
  <Characters>35067</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Intergovernmental Agreement for a National Exchange of Criminal History Information</vt:lpstr>
    </vt:vector>
  </TitlesOfParts>
  <Company>Department of the Premier and Cabinet</Company>
  <LinksUpToDate>false</LinksUpToDate>
  <CharactersWithSpaces>41023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for a National Exchange of Criminal History Information</dc:title>
  <dc:subject>Intergovernmental Agreement: National Exchange of Criminal History Information</dc:subject>
  <dc:creator>Peter Anet</dc:creator>
  <cp:lastModifiedBy>Madden, Jacob</cp:lastModifiedBy>
  <cp:revision>2</cp:revision>
  <cp:lastPrinted>2014-07-30T23:08:00Z</cp:lastPrinted>
  <dcterms:created xsi:type="dcterms:W3CDTF">2014-07-30T23:08:00Z</dcterms:created>
  <dcterms:modified xsi:type="dcterms:W3CDTF">2014-07-30T23:08:00Z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A875887</vt:lpwstr>
  </property>
  <property fmtid="{D5CDD505-2E9C-101B-9397-08002B2CF9AE}" pid="4" name="Objective-Title">
    <vt:lpwstr>ECHIPWC IGA -  Revised June 2014 - Tasmania and Queensland Amendments</vt:lpwstr>
  </property>
  <property fmtid="{D5CDD505-2E9C-101B-9397-08002B2CF9AE}" pid="5" name="Objective-Comment">
    <vt:lpwstr/>
  </property>
  <property fmtid="{D5CDD505-2E9C-101B-9397-08002B2CF9AE}" pid="6" name="Objective-CreationStamp">
    <vt:filetime>2014-06-13T05:58:25Z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2014-07-29T23:13:11Z</vt:filetime>
  </property>
  <property fmtid="{D5CDD505-2E9C-101B-9397-08002B2CF9AE}" pid="11" name="Objective-Owner">
    <vt:lpwstr>Daina Aspin</vt:lpwstr>
  </property>
  <property fmtid="{D5CDD505-2E9C-101B-9397-08002B2CF9AE}" pid="12" name="Objective-Path">
    <vt:lpwstr>Objective Global Folder:Sector Performance and Coordination Group:Government Secretariat:Intergovernmental Relations:INTERGOVERNMENTAL RELATIONS:INTERGOVERNMENTAL AGREEMENTS:Other Partnerships:ECHIPWC IGA:IGA:Current Version:</vt:lpwstr>
  </property>
  <property fmtid="{D5CDD505-2E9C-101B-9397-08002B2CF9AE}" pid="13" name="Objective-Parent">
    <vt:lpwstr>Current Version</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ocument Type [system]">
    <vt:lpwstr>Contract (CON)</vt:lpwstr>
  </property>
  <property fmtid="{D5CDD505-2E9C-101B-9397-08002B2CF9AE}" pid="22" name="Objective-Approval Status [system]">
    <vt:lpwstr>Never Submitted</vt:lpwstr>
  </property>
  <property fmtid="{D5CDD505-2E9C-101B-9397-08002B2CF9AE}" pid="23" name="Objective-Approval Date [system]">
    <vt:lpwstr/>
  </property>
  <property fmtid="{D5CDD505-2E9C-101B-9397-08002B2CF9AE}" pid="24" name="Objective-Information Links [system]">
    <vt:lpwstr/>
  </property>
  <property fmtid="{D5CDD505-2E9C-101B-9397-08002B2CF9AE}" pid="25" name="Objective-Sensitivity Label [system]">
    <vt:lpwstr>For Official Use Only</vt:lpwstr>
  </property>
  <property fmtid="{D5CDD505-2E9C-101B-9397-08002B2CF9AE}" pid="26" name="Objective-Approval Due [system]">
    <vt:lpwstr/>
  </property>
  <property fmtid="{D5CDD505-2E9C-101B-9397-08002B2CF9AE}" pid="27" name="Objective-Current Approver [system]">
    <vt:lpwstr/>
  </property>
  <property fmtid="{D5CDD505-2E9C-101B-9397-08002B2CF9AE}" pid="28" name="Objective-Document Tag(s) [system]">
    <vt:lpwstr/>
  </property>
  <property fmtid="{D5CDD505-2E9C-101B-9397-08002B2CF9AE}" pid="29" name="Objective-Approval History [system]">
    <vt:lpwstr/>
  </property>
  <property fmtid="{D5CDD505-2E9C-101B-9397-08002B2CF9AE}" pid="30" name="Objective-Submitted By [system]">
    <vt:lpwstr/>
  </property>
  <property fmtid="{D5CDD505-2E9C-101B-9397-08002B2CF9AE}" pid="31" name="Objective-Current Approver Indexed [system]">
    <vt:lpwstr/>
  </property>
  <property fmtid="{D5CDD505-2E9C-101B-9397-08002B2CF9AE}" pid="32" name="Objective-Print and Dispatch Approach [system]">
    <vt:lpwstr/>
  </property>
  <property fmtid="{D5CDD505-2E9C-101B-9397-08002B2CF9AE}" pid="33" name="Objective-Print and Dispatch Instructions [system]">
    <vt:lpwstr/>
  </property>
</Properties>
</file>